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3DEE" w14:textId="77777777" w:rsidR="005324E4" w:rsidRDefault="005324E4" w:rsidP="005324E4">
      <w:pPr>
        <w:spacing w:after="0"/>
        <w:jc w:val="right"/>
        <w:rPr>
          <w:rFonts w:ascii="Times New Roman" w:hAnsi="Times New Roman"/>
          <w:sz w:val="24"/>
        </w:rPr>
      </w:pPr>
      <w:r>
        <w:rPr>
          <w:rFonts w:ascii="Times New Roman" w:hAnsi="Times New Roman"/>
          <w:sz w:val="24"/>
        </w:rPr>
        <w:t>____.pielikums</w:t>
      </w:r>
    </w:p>
    <w:p w14:paraId="0622D10B" w14:textId="77777777" w:rsidR="005324E4" w:rsidRDefault="005324E4" w:rsidP="005324E4">
      <w:pPr>
        <w:jc w:val="right"/>
        <w:rPr>
          <w:rFonts w:ascii="Times New Roman" w:hAnsi="Times New Roman"/>
          <w:sz w:val="24"/>
        </w:rPr>
      </w:pPr>
      <w:r>
        <w:rPr>
          <w:rFonts w:ascii="Times New Roman" w:hAnsi="Times New Roman"/>
          <w:sz w:val="24"/>
        </w:rPr>
        <w:t>projekta iesniegumam</w:t>
      </w:r>
    </w:p>
    <w:p w14:paraId="00BA56F6" w14:textId="77777777" w:rsidR="009E7057" w:rsidRDefault="009E7057" w:rsidP="007A243A">
      <w:pPr>
        <w:jc w:val="center"/>
        <w:rPr>
          <w:rFonts w:ascii="Times New Roman" w:hAnsi="Times New Roman"/>
          <w:sz w:val="24"/>
        </w:rPr>
      </w:pPr>
      <w:r>
        <w:rPr>
          <w:rFonts w:ascii="Times New Roman" w:hAnsi="Times New Roman"/>
          <w:sz w:val="24"/>
        </w:rPr>
        <w:t xml:space="preserve">APLIECINĀJUMS PAR </w:t>
      </w:r>
      <w:r w:rsidR="008C04D4">
        <w:rPr>
          <w:rFonts w:ascii="Times New Roman" w:hAnsi="Times New Roman"/>
          <w:sz w:val="24"/>
        </w:rPr>
        <w:t>DE MINIMIS</w:t>
      </w:r>
      <w:r>
        <w:rPr>
          <w:rFonts w:ascii="Times New Roman" w:hAnsi="Times New Roman"/>
          <w:sz w:val="24"/>
        </w:rPr>
        <w:t xml:space="preserve"> ATBALSTA NOSACĪJUMU IEVĒROŠANU</w:t>
      </w:r>
    </w:p>
    <w:p w14:paraId="07A6C52E" w14:textId="77777777" w:rsidR="00E91E3D" w:rsidRDefault="000E32CE" w:rsidP="00E91E3D">
      <w:pPr>
        <w:spacing w:after="0" w:line="240" w:lineRule="auto"/>
        <w:jc w:val="center"/>
        <w:rPr>
          <w:rFonts w:ascii="Times New Roman" w:hAnsi="Times New Roman"/>
          <w:sz w:val="24"/>
        </w:rPr>
      </w:pPr>
      <w:r>
        <w:rPr>
          <w:rFonts w:ascii="Times New Roman" w:hAnsi="Times New Roman"/>
          <w:sz w:val="24"/>
        </w:rPr>
        <w:t xml:space="preserve">Eiropas </w:t>
      </w:r>
      <w:r w:rsidR="008C04D4">
        <w:rPr>
          <w:rFonts w:ascii="Times New Roman" w:hAnsi="Times New Roman"/>
          <w:sz w:val="24"/>
        </w:rPr>
        <w:t>Komisijas 2013.gada 18.</w:t>
      </w:r>
      <w:r w:rsidR="008C04D4" w:rsidRPr="00424748">
        <w:rPr>
          <w:rFonts w:ascii="Times New Roman" w:hAnsi="Times New Roman"/>
          <w:sz w:val="24"/>
        </w:rPr>
        <w:t>decembra Regul</w:t>
      </w:r>
      <w:r w:rsidR="008C04D4">
        <w:rPr>
          <w:rFonts w:ascii="Times New Roman" w:hAnsi="Times New Roman"/>
          <w:sz w:val="24"/>
        </w:rPr>
        <w:t>a</w:t>
      </w:r>
      <w:r w:rsidR="008C04D4" w:rsidRPr="00424748">
        <w:rPr>
          <w:rFonts w:ascii="Times New Roman" w:hAnsi="Times New Roman"/>
          <w:sz w:val="24"/>
        </w:rPr>
        <w:t xml:space="preserve"> (ES) Nr.</w:t>
      </w:r>
      <w:hyperlink r:id="rId7" w:tgtFrame="_blank" w:history="1">
        <w:r w:rsidR="008C04D4" w:rsidRPr="00424748">
          <w:rPr>
            <w:rFonts w:ascii="Times New Roman" w:hAnsi="Times New Roman"/>
            <w:sz w:val="24"/>
          </w:rPr>
          <w:t>1407/2013</w:t>
        </w:r>
      </w:hyperlink>
      <w:r w:rsidR="008C04D4" w:rsidRPr="00424748">
        <w:rPr>
          <w:rFonts w:ascii="Times New Roman" w:hAnsi="Times New Roman"/>
          <w:sz w:val="24"/>
        </w:rPr>
        <w:t xml:space="preserve"> par Līguma par ES darbību </w:t>
      </w:r>
      <w:hyperlink r:id="rId8" w:anchor="p107" w:tgtFrame="_blank" w:history="1">
        <w:r w:rsidR="008C04D4" w:rsidRPr="00424748">
          <w:rPr>
            <w:rFonts w:ascii="Times New Roman" w:hAnsi="Times New Roman"/>
            <w:sz w:val="24"/>
          </w:rPr>
          <w:t xml:space="preserve">107. </w:t>
        </w:r>
      </w:hyperlink>
      <w:r w:rsidR="008C04D4" w:rsidRPr="00424748">
        <w:rPr>
          <w:rFonts w:ascii="Times New Roman" w:hAnsi="Times New Roman"/>
          <w:sz w:val="24"/>
        </w:rPr>
        <w:t xml:space="preserve">un </w:t>
      </w:r>
      <w:hyperlink r:id="rId9" w:anchor="p108" w:tgtFrame="_blank" w:history="1">
        <w:r w:rsidR="008C04D4">
          <w:rPr>
            <w:rFonts w:ascii="Times New Roman" w:hAnsi="Times New Roman"/>
            <w:sz w:val="24"/>
          </w:rPr>
          <w:t>108.</w:t>
        </w:r>
        <w:r w:rsidR="008C04D4" w:rsidRPr="00424748">
          <w:rPr>
            <w:rFonts w:ascii="Times New Roman" w:hAnsi="Times New Roman"/>
            <w:sz w:val="24"/>
          </w:rPr>
          <w:t>panta</w:t>
        </w:r>
      </w:hyperlink>
      <w:r w:rsidR="008C04D4" w:rsidRPr="00424748">
        <w:rPr>
          <w:rFonts w:ascii="Times New Roman" w:hAnsi="Times New Roman"/>
          <w:sz w:val="24"/>
        </w:rPr>
        <w:t xml:space="preserve"> piemērošanu </w:t>
      </w:r>
      <w:r w:rsidR="008C04D4" w:rsidRPr="008C04D4">
        <w:rPr>
          <w:rFonts w:ascii="Times New Roman" w:hAnsi="Times New Roman"/>
          <w:i/>
          <w:sz w:val="24"/>
          <w:u w:val="single"/>
        </w:rPr>
        <w:t>de minimis</w:t>
      </w:r>
      <w:r w:rsidR="008C04D4" w:rsidRPr="00424748">
        <w:rPr>
          <w:rFonts w:ascii="Times New Roman" w:hAnsi="Times New Roman"/>
          <w:sz w:val="24"/>
        </w:rPr>
        <w:t xml:space="preserve"> atbalstam</w:t>
      </w:r>
      <w:r w:rsidR="00E91E3D">
        <w:rPr>
          <w:rFonts w:ascii="Times New Roman" w:hAnsi="Times New Roman"/>
          <w:sz w:val="24"/>
        </w:rPr>
        <w:t xml:space="preserve"> </w:t>
      </w:r>
    </w:p>
    <w:p w14:paraId="23E736D4" w14:textId="77777777" w:rsidR="00E91E3D" w:rsidRDefault="00E91E3D" w:rsidP="00E91E3D">
      <w:pPr>
        <w:spacing w:after="0" w:line="240" w:lineRule="auto"/>
        <w:jc w:val="center"/>
        <w:rPr>
          <w:rFonts w:ascii="Times New Roman" w:hAnsi="Times New Roman"/>
          <w:sz w:val="24"/>
        </w:rPr>
      </w:pPr>
    </w:p>
    <w:p w14:paraId="782F1C12" w14:textId="77777777" w:rsidR="00D23480" w:rsidRDefault="00E85815" w:rsidP="00E91E3D">
      <w:pPr>
        <w:spacing w:after="0" w:line="240" w:lineRule="auto"/>
        <w:jc w:val="both"/>
        <w:rPr>
          <w:rFonts w:ascii="Times New Roman" w:hAnsi="Times New Roman"/>
          <w:sz w:val="24"/>
        </w:rPr>
      </w:pPr>
      <w:r>
        <w:rPr>
          <w:rFonts w:ascii="Times New Roman" w:hAnsi="Times New Roman"/>
          <w:sz w:val="24"/>
        </w:rPr>
        <w:t>Projekta iesniedzējs</w:t>
      </w:r>
      <w:r w:rsidR="007A243A">
        <w:rPr>
          <w:rFonts w:ascii="Times New Roman" w:hAnsi="Times New Roman"/>
          <w:sz w:val="24"/>
        </w:rPr>
        <w:t xml:space="preserve"> ______________</w:t>
      </w:r>
      <w:r w:rsidR="00995608">
        <w:rPr>
          <w:rFonts w:ascii="Times New Roman" w:hAnsi="Times New Roman"/>
          <w:sz w:val="24"/>
        </w:rPr>
        <w:t>_______________________________________________</w:t>
      </w:r>
    </w:p>
    <w:p w14:paraId="4254D7D0" w14:textId="77777777" w:rsidR="00995608" w:rsidRDefault="00E85815"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sidR="00995608">
        <w:rPr>
          <w:rFonts w:ascii="Times New Roman" w:hAnsi="Times New Roman"/>
          <w:sz w:val="24"/>
          <w:vertAlign w:val="superscript"/>
        </w:rPr>
        <w:t xml:space="preserve">                                                    </w:t>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t xml:space="preserve"> </w:t>
      </w:r>
      <w:r w:rsidR="00D23480" w:rsidRPr="00D23480">
        <w:rPr>
          <w:rFonts w:ascii="Times New Roman" w:hAnsi="Times New Roman"/>
          <w:sz w:val="24"/>
          <w:vertAlign w:val="superscript"/>
        </w:rPr>
        <w:t>(nosaukums)</w:t>
      </w:r>
    </w:p>
    <w:p w14:paraId="4BE80CC5" w14:textId="77777777" w:rsidR="00726C31" w:rsidRDefault="00726C31" w:rsidP="00E91E3D">
      <w:pPr>
        <w:spacing w:after="120" w:line="240" w:lineRule="auto"/>
        <w:jc w:val="both"/>
        <w:rPr>
          <w:rFonts w:ascii="Times New Roman" w:hAnsi="Times New Roman"/>
          <w:sz w:val="24"/>
        </w:rPr>
      </w:pPr>
      <w:r>
        <w:rPr>
          <w:rFonts w:ascii="Times New Roman" w:hAnsi="Times New Roman"/>
          <w:sz w:val="24"/>
        </w:rPr>
        <w:t>un/vai</w:t>
      </w:r>
    </w:p>
    <w:p w14:paraId="203EC2FA" w14:textId="77777777" w:rsidR="00995608" w:rsidRDefault="00726C31" w:rsidP="00E91E3D">
      <w:pPr>
        <w:spacing w:after="0" w:line="240" w:lineRule="auto"/>
        <w:jc w:val="both"/>
        <w:rPr>
          <w:rFonts w:ascii="Times New Roman" w:hAnsi="Times New Roman"/>
          <w:sz w:val="24"/>
        </w:rPr>
      </w:pPr>
      <w:r>
        <w:rPr>
          <w:rFonts w:ascii="Times New Roman" w:hAnsi="Times New Roman"/>
          <w:sz w:val="24"/>
        </w:rPr>
        <w:t xml:space="preserve">projekta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22CAA96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53D1407C" w14:textId="77777777" w:rsidR="00995608" w:rsidRDefault="00E85815" w:rsidP="00E91E3D">
      <w:pPr>
        <w:spacing w:after="0" w:line="240" w:lineRule="auto"/>
        <w:jc w:val="both"/>
        <w:rPr>
          <w:rFonts w:ascii="Times New Roman" w:hAnsi="Times New Roman"/>
          <w:sz w:val="24"/>
        </w:rPr>
      </w:pPr>
      <w:r>
        <w:rPr>
          <w:rFonts w:ascii="Times New Roman" w:hAnsi="Times New Roman"/>
          <w:sz w:val="24"/>
        </w:rPr>
        <w:t xml:space="preserve">apliecina, ka projekta iesniegumā </w:t>
      </w:r>
    </w:p>
    <w:p w14:paraId="1DA3C91D" w14:textId="77777777"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14:paraId="2F671EE0" w14:textId="77777777"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221839D7" w14:textId="77777777" w:rsidR="00995608" w:rsidRDefault="00995608" w:rsidP="0004734F">
      <w:pPr>
        <w:spacing w:after="0" w:line="240" w:lineRule="auto"/>
        <w:jc w:val="both"/>
        <w:rPr>
          <w:rFonts w:ascii="Times New Roman" w:hAnsi="Times New Roman"/>
          <w:sz w:val="24"/>
        </w:rPr>
      </w:pPr>
    </w:p>
    <w:p w14:paraId="166FA501" w14:textId="77777777" w:rsidR="00CD052B" w:rsidRDefault="00E539C4" w:rsidP="0004734F">
      <w:pPr>
        <w:spacing w:after="120" w:line="240" w:lineRule="auto"/>
        <w:jc w:val="both"/>
        <w:rPr>
          <w:rFonts w:ascii="Times New Roman" w:hAnsi="Times New Roman"/>
          <w:sz w:val="24"/>
        </w:rPr>
      </w:pPr>
      <w:r>
        <w:rPr>
          <w:rFonts w:ascii="Times New Roman" w:hAnsi="Times New Roman"/>
          <w:sz w:val="24"/>
        </w:rPr>
        <w:t xml:space="preserve">plānotās </w:t>
      </w:r>
      <w:r w:rsidR="008C04D4" w:rsidRPr="00A70558">
        <w:rPr>
          <w:rFonts w:ascii="Times New Roman" w:hAnsi="Times New Roman"/>
          <w:b/>
          <w:sz w:val="24"/>
        </w:rPr>
        <w:t xml:space="preserve">projekta pamatojošās dokumentācijas sagatavošanas izmaksas par projekta </w:t>
      </w:r>
      <w:r w:rsidRPr="00A70558">
        <w:rPr>
          <w:rFonts w:ascii="Times New Roman" w:hAnsi="Times New Roman"/>
          <w:b/>
          <w:sz w:val="24"/>
        </w:rPr>
        <w:t>darbībām</w:t>
      </w:r>
      <w:r>
        <w:rPr>
          <w:rFonts w:ascii="Times New Roman" w:hAnsi="Times New Roman"/>
          <w:sz w:val="24"/>
        </w:rPr>
        <w:t>, kas plānotas</w:t>
      </w:r>
      <w:r w:rsidR="00E85815">
        <w:rPr>
          <w:rFonts w:ascii="Times New Roman" w:hAnsi="Times New Roman"/>
          <w:sz w:val="24"/>
        </w:rPr>
        <w:t xml:space="preserve"> </w:t>
      </w:r>
      <w:r w:rsidR="000E32CE" w:rsidRPr="000E32CE">
        <w:rPr>
          <w:rFonts w:ascii="Times New Roman" w:hAnsi="Times New Roman"/>
          <w:sz w:val="24"/>
        </w:rPr>
        <w:t>Ministru kabineta 2022. gada 30. augusta noteikumu Nr. 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w:t>
      </w:r>
      <w:r w:rsidR="000E32CE">
        <w:rPr>
          <w:rFonts w:ascii="Times New Roman" w:hAnsi="Times New Roman"/>
          <w:sz w:val="24"/>
        </w:rPr>
        <w:t xml:space="preserve"> </w:t>
      </w:r>
      <w:r w:rsidR="000E32CE">
        <w:rPr>
          <w:rFonts w:ascii="Times New Roman" w:hAnsi="Times New Roman"/>
          <w:b/>
          <w:sz w:val="24"/>
        </w:rPr>
        <w:t xml:space="preserve">55.punkta </w:t>
      </w:r>
      <w:r w:rsidRPr="00A70558">
        <w:rPr>
          <w:rFonts w:ascii="Times New Roman" w:hAnsi="Times New Roman"/>
          <w:b/>
          <w:sz w:val="24"/>
        </w:rPr>
        <w:t>ietvaros</w:t>
      </w:r>
      <w:r w:rsidR="00E85815">
        <w:rPr>
          <w:rFonts w:ascii="Times New Roman" w:hAnsi="Times New Roman"/>
          <w:sz w:val="24"/>
        </w:rPr>
        <w:t xml:space="preserve">, </w:t>
      </w:r>
      <w:r w:rsidR="007A243A">
        <w:rPr>
          <w:rFonts w:ascii="Times New Roman" w:hAnsi="Times New Roman"/>
          <w:sz w:val="24"/>
        </w:rPr>
        <w:t>atbilst</w:t>
      </w:r>
      <w:r w:rsidR="00E85815">
        <w:rPr>
          <w:rFonts w:ascii="Times New Roman" w:hAnsi="Times New Roman"/>
          <w:sz w:val="24"/>
        </w:rPr>
        <w:t xml:space="preserve"> Regulas Nr.</w:t>
      </w:r>
      <w:r w:rsidR="008C04D4">
        <w:rPr>
          <w:rFonts w:ascii="Times New Roman" w:hAnsi="Times New Roman"/>
          <w:sz w:val="24"/>
        </w:rPr>
        <w:t>1407</w:t>
      </w:r>
      <w:r w:rsidR="00E85815">
        <w:rPr>
          <w:rFonts w:ascii="Times New Roman" w:hAnsi="Times New Roman"/>
          <w:sz w:val="24"/>
        </w:rPr>
        <w:t>/201</w:t>
      </w:r>
      <w:r w:rsidR="008C04D4">
        <w:rPr>
          <w:rFonts w:ascii="Times New Roman" w:hAnsi="Times New Roman"/>
          <w:sz w:val="24"/>
        </w:rPr>
        <w:t>3</w:t>
      </w:r>
      <w:r w:rsidR="00E85815">
        <w:rPr>
          <w:rFonts w:ascii="Times New Roman" w:hAnsi="Times New Roman"/>
          <w:sz w:val="24"/>
        </w:rPr>
        <w:t xml:space="preserve"> nosacījumiem</w:t>
      </w:r>
      <w:r w:rsidR="007A243A">
        <w:rPr>
          <w:rFonts w:ascii="Times New Roman" w:hAnsi="Times New Roman"/>
          <w:sz w:val="24"/>
        </w:rPr>
        <w:t xml:space="preserve">, tajā skaitā </w:t>
      </w:r>
      <w:r w:rsidR="004C32C4">
        <w:rPr>
          <w:rFonts w:ascii="Times New Roman" w:hAnsi="Times New Roman"/>
          <w:sz w:val="24"/>
        </w:rPr>
        <w:t>šādiem nosacījumiem</w:t>
      </w:r>
      <w:r w:rsidR="00E85815">
        <w:rPr>
          <w:rFonts w:ascii="Times New Roman" w:hAnsi="Times New Roman"/>
          <w:sz w:val="24"/>
        </w:rPr>
        <w:t>:</w:t>
      </w:r>
    </w:p>
    <w:p w14:paraId="5419DE2B" w14:textId="77777777" w:rsidR="008C04D4" w:rsidRPr="00967B9B" w:rsidRDefault="008C04D4" w:rsidP="008C04D4">
      <w:pPr>
        <w:pStyle w:val="NoSpacing"/>
        <w:numPr>
          <w:ilvl w:val="0"/>
          <w:numId w:val="1"/>
        </w:numPr>
        <w:spacing w:after="120"/>
        <w:ind w:left="426"/>
        <w:jc w:val="both"/>
        <w:rPr>
          <w:rFonts w:ascii="Times New Roman" w:hAnsi="Times New Roman"/>
          <w:color w:val="auto"/>
          <w:sz w:val="24"/>
        </w:rPr>
      </w:pPr>
      <w:r>
        <w:rPr>
          <w:rFonts w:ascii="Times New Roman" w:hAnsi="Times New Roman"/>
          <w:sz w:val="24"/>
        </w:rPr>
        <w:t>atbalsts netiek sniegts kādā no jomām, kas minētas kā neatbalstāmas Regulas Nr.1407/2013 1.pantā;</w:t>
      </w:r>
    </w:p>
    <w:p w14:paraId="7F6D0A68" w14:textId="77777777" w:rsidR="008C04D4" w:rsidRPr="00326B7C" w:rsidRDefault="008C04D4" w:rsidP="008C04D4">
      <w:pPr>
        <w:pStyle w:val="NoSpacing"/>
        <w:numPr>
          <w:ilvl w:val="0"/>
          <w:numId w:val="1"/>
        </w:numPr>
        <w:spacing w:after="120"/>
        <w:ind w:left="426"/>
        <w:jc w:val="both"/>
        <w:rPr>
          <w:rFonts w:ascii="Times New Roman" w:hAnsi="Times New Roman"/>
          <w:color w:val="auto"/>
          <w:sz w:val="24"/>
        </w:rPr>
      </w:pPr>
      <w:r>
        <w:rPr>
          <w:rFonts w:ascii="Times New Roman" w:hAnsi="Times New Roman"/>
          <w:sz w:val="24"/>
        </w:rPr>
        <w:t xml:space="preserve">ja </w:t>
      </w:r>
      <w:r w:rsidRPr="00967B9B">
        <w:rPr>
          <w:rFonts w:ascii="Times New Roman" w:hAnsi="Times New Roman"/>
          <w:i/>
          <w:sz w:val="24"/>
        </w:rPr>
        <w:t>de minimis</w:t>
      </w:r>
      <w:r>
        <w:rPr>
          <w:rFonts w:ascii="Times New Roman" w:hAnsi="Times New Roman"/>
          <w:sz w:val="24"/>
        </w:rPr>
        <w:t xml:space="preserve"> atbalsta pretendents iepriekš </w:t>
      </w:r>
      <w:r w:rsidRPr="00967B9B">
        <w:rPr>
          <w:rFonts w:ascii="Times New Roman" w:hAnsi="Times New Roman"/>
          <w:i/>
          <w:sz w:val="24"/>
        </w:rPr>
        <w:t>de minimis</w:t>
      </w:r>
      <w:r>
        <w:rPr>
          <w:rFonts w:ascii="Times New Roman" w:hAnsi="Times New Roman"/>
          <w:sz w:val="24"/>
        </w:rPr>
        <w:t xml:space="preserve"> atbalstu nav saņēmis, </w:t>
      </w:r>
      <w:r w:rsidRPr="00595D4A">
        <w:rPr>
          <w:rFonts w:ascii="Times New Roman" w:hAnsi="Times New Roman"/>
          <w:i/>
          <w:sz w:val="24"/>
        </w:rPr>
        <w:t>de minimis</w:t>
      </w:r>
      <w:r>
        <w:rPr>
          <w:rFonts w:ascii="Times New Roman" w:hAnsi="Times New Roman"/>
          <w:sz w:val="24"/>
        </w:rPr>
        <w:t xml:space="preserve"> atbalsts vienam </w:t>
      </w:r>
      <w:r w:rsidR="00B90A6F">
        <w:rPr>
          <w:rFonts w:ascii="Times New Roman" w:hAnsi="Times New Roman"/>
          <w:sz w:val="24"/>
        </w:rPr>
        <w:t xml:space="preserve">vienotam </w:t>
      </w:r>
      <w:r>
        <w:rPr>
          <w:rFonts w:ascii="Times New Roman" w:hAnsi="Times New Roman"/>
          <w:sz w:val="24"/>
        </w:rPr>
        <w:t xml:space="preserve">uzņēmumam nepārsniedz 200 000 </w:t>
      </w:r>
      <w:r w:rsidRPr="00595D4A">
        <w:rPr>
          <w:rFonts w:ascii="Times New Roman" w:hAnsi="Times New Roman"/>
          <w:i/>
          <w:sz w:val="24"/>
        </w:rPr>
        <w:t>euro</w:t>
      </w:r>
      <w:r>
        <w:rPr>
          <w:rFonts w:ascii="Times New Roman" w:hAnsi="Times New Roman"/>
          <w:sz w:val="24"/>
        </w:rPr>
        <w:t xml:space="preserve"> triju fiskālo gadu periodā;</w:t>
      </w:r>
    </w:p>
    <w:p w14:paraId="1535427A" w14:textId="77777777" w:rsidR="00204F4C" w:rsidRPr="008C04D4" w:rsidRDefault="008C04D4" w:rsidP="008C04D4">
      <w:pPr>
        <w:pStyle w:val="NoSpacing"/>
        <w:numPr>
          <w:ilvl w:val="0"/>
          <w:numId w:val="1"/>
        </w:numPr>
        <w:spacing w:after="120"/>
        <w:ind w:left="426"/>
        <w:jc w:val="both"/>
        <w:rPr>
          <w:rFonts w:ascii="Times New Roman" w:hAnsi="Times New Roman"/>
          <w:sz w:val="24"/>
        </w:rPr>
      </w:pPr>
      <w:r w:rsidRPr="008C04D4">
        <w:rPr>
          <w:rFonts w:ascii="Times New Roman" w:hAnsi="Times New Roman"/>
          <w:sz w:val="24"/>
        </w:rPr>
        <w:t>nodrošināta izmaksu nošķiršana</w:t>
      </w:r>
      <w:r>
        <w:rPr>
          <w:rFonts w:ascii="Times New Roman" w:hAnsi="Times New Roman"/>
          <w:sz w:val="24"/>
        </w:rPr>
        <w:t>,</w:t>
      </w:r>
      <w:r w:rsidRPr="008C04D4">
        <w:rPr>
          <w:rFonts w:ascii="Times New Roman" w:hAnsi="Times New Roman"/>
          <w:sz w:val="24"/>
        </w:rPr>
        <w:t xml:space="preserve"> tādejādi, ka darbības izslēgtajās nozarēs negūst labumu no atbalsta, kas piešķirts saskaņā ar Regulu Nr.1407/2013</w:t>
      </w:r>
      <w:r w:rsidR="00204F4C" w:rsidRPr="008C04D4">
        <w:rPr>
          <w:rFonts w:ascii="Times New Roman" w:hAnsi="Times New Roman"/>
          <w:sz w:val="24"/>
        </w:rPr>
        <w:t>.</w:t>
      </w:r>
    </w:p>
    <w:p w14:paraId="3743FE30" w14:textId="77777777" w:rsidR="00B70D36" w:rsidRDefault="00B70D36" w:rsidP="00B70D36">
      <w:pPr>
        <w:spacing w:after="120" w:line="240" w:lineRule="auto"/>
        <w:jc w:val="both"/>
      </w:pPr>
    </w:p>
    <w:p w14:paraId="467B564C"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Projekta iesniedzēja pārstāvja paraksts </w:t>
      </w:r>
    </w:p>
    <w:p w14:paraId="04AA79CE"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1B0F7F4C" w14:textId="77777777" w:rsidR="00B70D36" w:rsidRPr="000A2E25" w:rsidRDefault="00B70D36" w:rsidP="00B70D36">
      <w:pPr>
        <w:spacing w:after="120" w:line="240" w:lineRule="auto"/>
        <w:jc w:val="both"/>
        <w:rPr>
          <w:rFonts w:ascii="Times New Roman" w:hAnsi="Times New Roman"/>
        </w:rPr>
      </w:pPr>
    </w:p>
    <w:p w14:paraId="3C934793"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792D9862" w14:textId="77777777" w:rsidR="00B70D36" w:rsidRPr="000A2E25" w:rsidRDefault="00B70D36" w:rsidP="00B70D36">
      <w:pPr>
        <w:spacing w:after="120" w:line="240" w:lineRule="auto"/>
        <w:jc w:val="both"/>
        <w:rPr>
          <w:rFonts w:ascii="Times New Roman" w:hAnsi="Times New Roman"/>
        </w:rPr>
      </w:pPr>
    </w:p>
    <w:p w14:paraId="653BDA77"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Sadarbības partnera pārstāvja paraksts </w:t>
      </w:r>
    </w:p>
    <w:p w14:paraId="4438F29A"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57BFE2F3" w14:textId="77777777" w:rsidR="00B70D36" w:rsidRPr="000A2E25" w:rsidRDefault="00B70D36" w:rsidP="00B70D36">
      <w:pPr>
        <w:spacing w:after="120" w:line="240" w:lineRule="auto"/>
        <w:jc w:val="both"/>
        <w:rPr>
          <w:rFonts w:ascii="Times New Roman" w:hAnsi="Times New Roman"/>
        </w:rPr>
      </w:pPr>
    </w:p>
    <w:p w14:paraId="7772586B"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78B70065" w14:textId="77777777" w:rsidR="00B70D36" w:rsidRDefault="00B70D36" w:rsidP="00B70D36">
      <w:pPr>
        <w:spacing w:after="120" w:line="240" w:lineRule="auto"/>
        <w:jc w:val="both"/>
      </w:pPr>
    </w:p>
    <w:sectPr w:rsidR="00B70D36" w:rsidSect="00152118">
      <w:headerReference w:type="default" r:id="rId10"/>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8C61" w14:textId="77777777" w:rsidR="00E80DC6" w:rsidRDefault="00E80DC6" w:rsidP="00152118">
      <w:pPr>
        <w:spacing w:after="0" w:line="240" w:lineRule="auto"/>
      </w:pPr>
      <w:r>
        <w:separator/>
      </w:r>
    </w:p>
  </w:endnote>
  <w:endnote w:type="continuationSeparator" w:id="0">
    <w:p w14:paraId="69CACFDF" w14:textId="77777777" w:rsidR="00E80DC6" w:rsidRDefault="00E80DC6" w:rsidP="0015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28E4" w14:textId="77777777" w:rsidR="00E80DC6" w:rsidRDefault="00E80DC6" w:rsidP="00152118">
      <w:pPr>
        <w:spacing w:after="0" w:line="240" w:lineRule="auto"/>
      </w:pPr>
      <w:r>
        <w:separator/>
      </w:r>
    </w:p>
  </w:footnote>
  <w:footnote w:type="continuationSeparator" w:id="0">
    <w:p w14:paraId="3020FACD" w14:textId="77777777" w:rsidR="00E80DC6" w:rsidRDefault="00E80DC6" w:rsidP="0015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6B32" w14:textId="77777777" w:rsidR="00152118" w:rsidRDefault="00152118">
    <w:pPr>
      <w:pStyle w:val="Header"/>
      <w:jc w:val="center"/>
    </w:pPr>
    <w:r>
      <w:fldChar w:fldCharType="begin"/>
    </w:r>
    <w:r>
      <w:instrText xml:space="preserve"> PAGE   \* MERGEFORMAT </w:instrText>
    </w:r>
    <w:r>
      <w:fldChar w:fldCharType="separate"/>
    </w:r>
    <w:r w:rsidR="008C04D4">
      <w:rPr>
        <w:noProof/>
      </w:rPr>
      <w:t>2</w:t>
    </w:r>
    <w:r>
      <w:rPr>
        <w:noProof/>
      </w:rPr>
      <w:fldChar w:fldCharType="end"/>
    </w:r>
  </w:p>
  <w:p w14:paraId="4D462253"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8559">
    <w:abstractNumId w:val="0"/>
  </w:num>
  <w:num w:numId="2" w16cid:durableId="42808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418"/>
    <w:rsid w:val="0001134A"/>
    <w:rsid w:val="0004734F"/>
    <w:rsid w:val="0005308F"/>
    <w:rsid w:val="00087BE8"/>
    <w:rsid w:val="000A2E25"/>
    <w:rsid w:val="000C5585"/>
    <w:rsid w:val="000E32CE"/>
    <w:rsid w:val="000F75E1"/>
    <w:rsid w:val="00105D74"/>
    <w:rsid w:val="00127B20"/>
    <w:rsid w:val="00152118"/>
    <w:rsid w:val="00204F4C"/>
    <w:rsid w:val="0027769B"/>
    <w:rsid w:val="00287DC8"/>
    <w:rsid w:val="002F25B2"/>
    <w:rsid w:val="003D5D46"/>
    <w:rsid w:val="004C32C4"/>
    <w:rsid w:val="005324E4"/>
    <w:rsid w:val="00537FD2"/>
    <w:rsid w:val="00541D12"/>
    <w:rsid w:val="005C0953"/>
    <w:rsid w:val="006C1EAC"/>
    <w:rsid w:val="00726C31"/>
    <w:rsid w:val="0074361A"/>
    <w:rsid w:val="007A243A"/>
    <w:rsid w:val="008535C8"/>
    <w:rsid w:val="00891026"/>
    <w:rsid w:val="008C04D4"/>
    <w:rsid w:val="00914BAE"/>
    <w:rsid w:val="00995608"/>
    <w:rsid w:val="0099680D"/>
    <w:rsid w:val="009A36EB"/>
    <w:rsid w:val="009E7057"/>
    <w:rsid w:val="00A70558"/>
    <w:rsid w:val="00A72606"/>
    <w:rsid w:val="00B70D36"/>
    <w:rsid w:val="00B90A6F"/>
    <w:rsid w:val="00CD052B"/>
    <w:rsid w:val="00D23480"/>
    <w:rsid w:val="00DE526D"/>
    <w:rsid w:val="00E30AF0"/>
    <w:rsid w:val="00E539C4"/>
    <w:rsid w:val="00E80DC6"/>
    <w:rsid w:val="00E85815"/>
    <w:rsid w:val="00E908D2"/>
    <w:rsid w:val="00E91E3D"/>
    <w:rsid w:val="00FF44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06BAC"/>
  <w15:docId w15:val="{49BA8DEB-97AD-4983-9B4C-481660D5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customStyle="1" w:styleId="tv2132">
    <w:name w:val="tv2132"/>
    <w:basedOn w:val="Normal"/>
    <w:rsid w:val="00204F4C"/>
    <w:pPr>
      <w:spacing w:after="0" w:line="360" w:lineRule="auto"/>
      <w:ind w:firstLine="300"/>
    </w:pPr>
    <w:rPr>
      <w:rFonts w:ascii="Times New Roman" w:eastAsia="Times New Roman" w:hAnsi="Times New Roman"/>
      <w:color w:val="414142"/>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8C0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7959-darbibas-programmas-izaugsme-un-nodarbinatiba-3-3-1-specifiska-atbalsta-merka-palielinat-privato-investiciju-apjomu-regionos" TargetMode="External"/><Relationship Id="rId3" Type="http://schemas.openxmlformats.org/officeDocument/2006/relationships/settings" Target="settings.xml"/><Relationship Id="rId7" Type="http://schemas.openxmlformats.org/officeDocument/2006/relationships/hyperlink" Target="http://eur-lex.europa.eu/eli/reg/2013/1407?loca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kumi.lv/ta/id/277959-darbibas-programmas-izaugsme-un-nodarbinatiba-3-3-1-specifiska-atbalsta-merka-palielinat-privato-investiciju-apjomu-regio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Links>
    <vt:vector size="18" baseType="variant">
      <vt:variant>
        <vt:i4>6357042</vt:i4>
      </vt:variant>
      <vt:variant>
        <vt:i4>6</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7209010</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p107</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Ozola-Tīruma</cp:lastModifiedBy>
  <cp:revision>2</cp:revision>
  <dcterms:created xsi:type="dcterms:W3CDTF">2022-10-10T09:39:00Z</dcterms:created>
  <dcterms:modified xsi:type="dcterms:W3CDTF">2022-10-10T09:39:00Z</dcterms:modified>
</cp:coreProperties>
</file>