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13"/>
    <w:bookmarkStart w:id="1" w:name="OLE_LINK14"/>
    <w:bookmarkStart w:id="2" w:name="OLE_LINK1"/>
    <w:bookmarkStart w:id="3" w:name="OLE_LINK2"/>
    <w:bookmarkStart w:id="4" w:name="OLE_LINK3"/>
    <w:bookmarkStart w:id="5" w:name="OLE_LINK10"/>
    <w:p w14:paraId="00F2D358" w14:textId="42DA2CDC" w:rsidR="009F74E6" w:rsidRPr="00DE4099" w:rsidRDefault="00763AF5" w:rsidP="00683BA6">
      <w:pPr>
        <w:tabs>
          <w:tab w:val="left" w:pos="2977"/>
          <w:tab w:val="center" w:pos="4153"/>
          <w:tab w:val="right" w:pos="8306"/>
        </w:tabs>
        <w:jc w:val="center"/>
        <w:rPr>
          <w:b/>
          <w:sz w:val="28"/>
        </w:rPr>
      </w:pPr>
      <w:r w:rsidRPr="00DE4099">
        <w:rPr>
          <w:b/>
          <w:noProof/>
          <w:sz w:val="28"/>
          <w:lang w:eastAsia="lv-LV"/>
        </w:rPr>
        <mc:AlternateContent>
          <mc:Choice Requires="wps">
            <w:drawing>
              <wp:anchor distT="0" distB="0" distL="114300" distR="114300" simplePos="0" relativeHeight="251658240" behindDoc="0" locked="0" layoutInCell="1" allowOverlap="1" wp14:anchorId="4E5D3528" wp14:editId="689B8E95">
                <wp:simplePos x="0" y="0"/>
                <wp:positionH relativeFrom="column">
                  <wp:posOffset>2595245</wp:posOffset>
                </wp:positionH>
                <wp:positionV relativeFrom="paragraph">
                  <wp:posOffset>-540385</wp:posOffset>
                </wp:positionV>
                <wp:extent cx="533400" cy="3238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6AB2" id="Rectangle 2" o:spid="_x0000_s1026" style="position:absolute;margin-left:204.35pt;margin-top:-42.55pt;width: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" strokecolor="white [3212]"/>
            </w:pict>
          </mc:Fallback>
        </mc:AlternateContent>
      </w:r>
      <w:bookmarkEnd w:id="0"/>
      <w:bookmarkEnd w:id="1"/>
      <w:bookmarkEnd w:id="2"/>
      <w:r w:rsidR="009F74E6" w:rsidRPr="00DE4099">
        <w:rPr>
          <w:b/>
          <w:sz w:val="28"/>
        </w:rPr>
        <w:t xml:space="preserve"> Ministru kabineta noteikumu projekta „</w:t>
      </w:r>
      <w:bookmarkStart w:id="6" w:name="OLE_LINK26"/>
      <w:bookmarkStart w:id="7" w:name="OLE_LINK27"/>
      <w:bookmarkStart w:id="8" w:name="OLE_LINK11"/>
      <w:bookmarkStart w:id="9" w:name="OLE_LINK12"/>
      <w:r w:rsidR="00B277B8" w:rsidRPr="00DE4099">
        <w:rPr>
          <w:b/>
          <w:sz w:val="28"/>
        </w:rPr>
        <w:t xml:space="preserve">Grozījumi Ministru kabineta </w:t>
      </w:r>
      <w:bookmarkEnd w:id="6"/>
      <w:bookmarkEnd w:id="7"/>
      <w:r w:rsidR="00B277B8" w:rsidRPr="00DE4099">
        <w:rPr>
          <w:b/>
          <w:sz w:val="28"/>
        </w:rPr>
        <w:t xml:space="preserve">2016. gada 17. maija noteikumos Nr.310 „Darbības programmas </w:t>
      </w:r>
      <w:r w:rsidR="001437BD" w:rsidRPr="00DE4099">
        <w:rPr>
          <w:b/>
          <w:sz w:val="28"/>
        </w:rPr>
        <w:t>“Izaugsme un nodarbinātība”</w:t>
      </w:r>
      <w:r w:rsidR="00B277B8" w:rsidRPr="00DE4099">
        <w:rPr>
          <w:b/>
          <w:sz w:val="28"/>
        </w:rPr>
        <w:t xml:space="preserve"> 9.2.4. specifiskā atbalsta mērķa </w:t>
      </w:r>
      <w:r w:rsidR="001437BD" w:rsidRPr="00DE4099">
        <w:rPr>
          <w:b/>
          <w:sz w:val="28"/>
        </w:rPr>
        <w:t>“Uzlabot pieejamību veselības veicināšanas un slimību profilakses pakalpojumiem, jo īpaši nabadzības un sociālās atstumtības riskam pakļautajiem iedzīvotājiem”</w:t>
      </w:r>
      <w:r w:rsidR="00B277B8" w:rsidRPr="00DE4099">
        <w:rPr>
          <w:b/>
          <w:sz w:val="28"/>
        </w:rPr>
        <w:t xml:space="preserve"> 9.2.4.1. pasākuma </w:t>
      </w:r>
      <w:r w:rsidR="001437BD" w:rsidRPr="00DE4099">
        <w:rPr>
          <w:b/>
          <w:sz w:val="28"/>
        </w:rPr>
        <w:t>“Kompleksi veselības veicināšanas un slimību profilakses pasākumi”</w:t>
      </w:r>
      <w:r w:rsidR="00B277B8" w:rsidRPr="00DE4099">
        <w:rPr>
          <w:b/>
          <w:sz w:val="28"/>
        </w:rPr>
        <w:t xml:space="preserve"> un 9.2.4.2. pasākuma </w:t>
      </w:r>
      <w:r w:rsidR="001437BD" w:rsidRPr="00DE4099">
        <w:rPr>
          <w:b/>
          <w:sz w:val="28"/>
        </w:rPr>
        <w:t>“Pasākumi vietējās sabiedrības veselības veicināšanai un slimību profilaksei”</w:t>
      </w:r>
      <w:r w:rsidR="00B277B8" w:rsidRPr="00DE4099">
        <w:rPr>
          <w:b/>
          <w:sz w:val="28"/>
        </w:rPr>
        <w:t xml:space="preserve"> īstenošanas noteikumi</w:t>
      </w:r>
      <w:bookmarkEnd w:id="8"/>
      <w:bookmarkEnd w:id="9"/>
      <w:r w:rsidR="00B277B8" w:rsidRPr="00DE4099">
        <w:rPr>
          <w:b/>
          <w:sz w:val="28"/>
        </w:rPr>
        <w:t>”</w:t>
      </w:r>
      <w:r w:rsidR="009F74E6" w:rsidRPr="00DE4099">
        <w:rPr>
          <w:b/>
          <w:sz w:val="28"/>
        </w:rPr>
        <w:t>” sākotnējās ietekmes novērtējuma ziņojums (anotācija)</w:t>
      </w:r>
    </w:p>
    <w:p w14:paraId="46F7DC4C" w14:textId="2C2FF57C" w:rsidR="00EC2621" w:rsidRPr="009B0B4A" w:rsidRDefault="00EC2621" w:rsidP="00683BA6">
      <w:pPr>
        <w:tabs>
          <w:tab w:val="left" w:pos="2977"/>
          <w:tab w:val="center" w:pos="4153"/>
          <w:tab w:val="right" w:pos="8306"/>
        </w:tabs>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464827" w:rsidRPr="009B0B4A" w14:paraId="387B949F" w14:textId="77777777" w:rsidTr="00EC2621">
        <w:trPr>
          <w:cantSplit/>
        </w:trPr>
        <w:tc>
          <w:tcPr>
            <w:tcW w:w="9061" w:type="dxa"/>
            <w:gridSpan w:val="2"/>
            <w:shd w:val="clear" w:color="auto" w:fill="FFFFFF"/>
            <w:vAlign w:val="center"/>
            <w:hideMark/>
          </w:tcPr>
          <w:p w14:paraId="41B0D8D7" w14:textId="77777777" w:rsidR="00EC2621" w:rsidRPr="009B0B4A" w:rsidRDefault="00EC2621" w:rsidP="00683BA6">
            <w:pPr>
              <w:tabs>
                <w:tab w:val="left" w:pos="2977"/>
              </w:tabs>
              <w:jc w:val="center"/>
              <w:rPr>
                <w:b/>
                <w:iCs/>
              </w:rPr>
            </w:pPr>
            <w:r w:rsidRPr="009B0B4A">
              <w:rPr>
                <w:b/>
                <w:iCs/>
              </w:rPr>
              <w:t>Tiesību akta projekta anotācijas kopsavilkums</w:t>
            </w:r>
          </w:p>
        </w:tc>
      </w:tr>
      <w:tr w:rsidR="00464827" w:rsidRPr="009B0B4A" w14:paraId="5DA96D59" w14:textId="77777777" w:rsidTr="00EC2621">
        <w:trPr>
          <w:cantSplit/>
        </w:trPr>
        <w:tc>
          <w:tcPr>
            <w:tcW w:w="2830" w:type="dxa"/>
            <w:shd w:val="clear" w:color="auto" w:fill="FFFFFF"/>
            <w:hideMark/>
          </w:tcPr>
          <w:p w14:paraId="7801781E" w14:textId="77777777" w:rsidR="00EC2621" w:rsidRPr="009B0B4A" w:rsidRDefault="00EC2621" w:rsidP="00683BA6">
            <w:pPr>
              <w:tabs>
                <w:tab w:val="left" w:pos="2977"/>
              </w:tabs>
              <w:rPr>
                <w:iCs/>
              </w:rPr>
            </w:pPr>
            <w:r w:rsidRPr="009B0B4A">
              <w:rPr>
                <w:iCs/>
              </w:rPr>
              <w:t>Mērķis, risinājums un projekta spēkā stāšanās laiks (500 zīmes bez atstarpēm)</w:t>
            </w:r>
          </w:p>
        </w:tc>
        <w:tc>
          <w:tcPr>
            <w:tcW w:w="6231" w:type="dxa"/>
            <w:shd w:val="clear" w:color="auto" w:fill="FFFFFF"/>
            <w:hideMark/>
          </w:tcPr>
          <w:p w14:paraId="387C0AA3" w14:textId="77777777" w:rsidR="00EC2621" w:rsidRPr="009B0B4A" w:rsidRDefault="00F3276B" w:rsidP="002603E9">
            <w:pPr>
              <w:tabs>
                <w:tab w:val="left" w:pos="2977"/>
              </w:tabs>
              <w:ind w:left="108" w:right="115"/>
              <w:jc w:val="both"/>
            </w:pPr>
            <w:r w:rsidRPr="009B0B4A">
              <w:t>Noteikumu projekta</w:t>
            </w:r>
            <w:r w:rsidR="001331BA" w:rsidRPr="009B0B4A">
              <w:t xml:space="preserve"> </w:t>
            </w:r>
            <w:r w:rsidRPr="009B0B4A">
              <w:t xml:space="preserve">“Grozījumi </w:t>
            </w:r>
            <w:r w:rsidR="001331BA" w:rsidRPr="009B0B4A">
              <w:t>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w:t>
            </w:r>
            <w:r w:rsidR="001331BA" w:rsidRPr="009B0B4A">
              <w:rPr>
                <w:b/>
                <w:lang w:eastAsia="lv-LV"/>
              </w:rPr>
              <w:t xml:space="preserve"> </w:t>
            </w:r>
            <w:r w:rsidR="001331BA" w:rsidRPr="009B0B4A">
              <w:rPr>
                <w:lang w:eastAsia="lv-LV"/>
              </w:rPr>
              <w:t>īstenošanas noteikumi”</w:t>
            </w:r>
            <w:r w:rsidR="006B452C" w:rsidRPr="009B0B4A">
              <w:rPr>
                <w:lang w:eastAsia="lv-LV"/>
              </w:rPr>
              <w:t>”</w:t>
            </w:r>
            <w:r w:rsidR="001331BA" w:rsidRPr="009B0B4A">
              <w:t xml:space="preserve"> (turpmāk – noteikumu projekts) mērķis ir nodrošināt 9.2.4. specifiskā atbalsta mērķa “Uzlabot pieejamību veselības veicināšanas un slimību profilakses pakalpojumiem, jo īpaši nabadzības un sociālās atstumtības riskam pakļautajiem iedzīvotājiem”  (turpmāk – SAM 9.2.4.) 9.2.4.1. pasākuma “Kompleksi veselības veicināšanas un slimību profilakses pasākumi” </w:t>
            </w:r>
            <w:r w:rsidR="00677ABD" w:rsidRPr="009B0B4A">
              <w:t xml:space="preserve">(turpmāk – 9.2.4.1.pasākums) </w:t>
            </w:r>
            <w:r w:rsidR="001331BA" w:rsidRPr="009B0B4A">
              <w:t xml:space="preserve">un 9.2.4.2. pasākuma “Pasākumi vietējās sabiedrības veselības veicināšanai un slimību profilaksei” </w:t>
            </w:r>
            <w:r w:rsidR="00677ABD" w:rsidRPr="009B0B4A">
              <w:t xml:space="preserve">(turpmāk – 9.2.4.2.pasākums) </w:t>
            </w:r>
            <w:r w:rsidR="001331BA" w:rsidRPr="009B0B4A">
              <w:t>ietvaros īstenoto Eiropas Savienības fondu projektu īstenošanu vienkāršojot īstenošanas procesus un mazinot administratīvo slogu, savlaicīgi sasniedzot specifiskā atbalsta mērķi  - uzlabot pieejamību veselības veicināšanas un slimību profilakses pakalpojumiem visiem Latvijas iedzīvotājiem, jo īpaši teritoriālās, nabadzības un sociālās atstumtības riskam pakļautajiem iedzīvotājiem</w:t>
            </w:r>
            <w:r w:rsidR="00F14FFC" w:rsidRPr="009B0B4A">
              <w:t>.</w:t>
            </w:r>
          </w:p>
          <w:p w14:paraId="6B6A075D" w14:textId="4E7734BD" w:rsidR="000D3847" w:rsidRPr="009B0B4A" w:rsidRDefault="000D3847" w:rsidP="002603E9">
            <w:pPr>
              <w:tabs>
                <w:tab w:val="left" w:pos="2977"/>
              </w:tabs>
              <w:ind w:left="108" w:right="115"/>
              <w:jc w:val="both"/>
            </w:pPr>
            <w:r w:rsidRPr="009B0B4A">
              <w:t>Spēkā stāšanās laiks: nepieciešams risināt nekavējoties, lai nodrošinātu pakalpojum</w:t>
            </w:r>
            <w:r w:rsidR="0040042A" w:rsidRPr="009B0B4A">
              <w:t>u</w:t>
            </w:r>
            <w:r w:rsidRPr="009B0B4A">
              <w:t xml:space="preserve"> nepārtrauktību.</w:t>
            </w:r>
            <w:r w:rsidR="00AC05B4" w:rsidRPr="009B0B4A">
              <w:t xml:space="preserve"> </w:t>
            </w:r>
          </w:p>
        </w:tc>
      </w:tr>
      <w:bookmarkEnd w:id="3"/>
      <w:bookmarkEnd w:id="4"/>
      <w:bookmarkEnd w:id="5"/>
    </w:tbl>
    <w:p w14:paraId="3A308569" w14:textId="77777777" w:rsidR="00C1591C" w:rsidRPr="009B0B4A" w:rsidRDefault="00C1591C" w:rsidP="00683BA6">
      <w:pPr>
        <w:tabs>
          <w:tab w:val="left" w:pos="2977"/>
        </w:tabs>
        <w:autoSpaceDE w:val="0"/>
        <w:autoSpaceDN w:val="0"/>
        <w:adjustRightInd w:val="0"/>
        <w:jc w:val="both"/>
        <w:outlineLvl w:val="0"/>
      </w:pPr>
    </w:p>
    <w:tbl>
      <w:tblPr>
        <w:tblpPr w:leftFromText="180" w:rightFromText="180" w:vertAnchor="text" w:horzAnchor="margin" w:tblpX="5"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2408"/>
        <w:gridCol w:w="6230"/>
      </w:tblGrid>
      <w:tr w:rsidR="00464827" w:rsidRPr="009B0B4A" w14:paraId="6EEDEF5F" w14:textId="77777777" w:rsidTr="002603E9">
        <w:trPr>
          <w:trHeight w:val="419"/>
        </w:trPr>
        <w:tc>
          <w:tcPr>
            <w:tcW w:w="5000" w:type="pct"/>
            <w:gridSpan w:val="3"/>
            <w:vAlign w:val="center"/>
          </w:tcPr>
          <w:p w14:paraId="727ADFF0" w14:textId="77777777" w:rsidR="003735C6" w:rsidRPr="009B0B4A" w:rsidRDefault="003735C6" w:rsidP="00683BA6">
            <w:pPr>
              <w:pStyle w:val="naisnod"/>
              <w:tabs>
                <w:tab w:val="left" w:pos="2977"/>
              </w:tabs>
              <w:spacing w:before="0" w:beforeAutospacing="0" w:after="0" w:afterAutospacing="0"/>
              <w:ind w:left="57" w:right="57"/>
              <w:jc w:val="center"/>
              <w:rPr>
                <w:b/>
              </w:rPr>
            </w:pPr>
            <w:r w:rsidRPr="009B0B4A">
              <w:rPr>
                <w:b/>
              </w:rPr>
              <w:t>I</w:t>
            </w:r>
            <w:r w:rsidR="00D46E0B" w:rsidRPr="009B0B4A">
              <w:rPr>
                <w:b/>
              </w:rPr>
              <w:t xml:space="preserve">. </w:t>
            </w:r>
            <w:r w:rsidRPr="009B0B4A">
              <w:rPr>
                <w:b/>
              </w:rPr>
              <w:t>Tiesību akta projekta izstrādes nepieciešamība</w:t>
            </w:r>
          </w:p>
        </w:tc>
      </w:tr>
      <w:tr w:rsidR="00464827" w:rsidRPr="009B0B4A" w14:paraId="6EC6B4FC" w14:textId="77777777" w:rsidTr="002603E9">
        <w:trPr>
          <w:trHeight w:val="415"/>
        </w:trPr>
        <w:tc>
          <w:tcPr>
            <w:tcW w:w="233" w:type="pct"/>
          </w:tcPr>
          <w:p w14:paraId="39051303" w14:textId="77777777" w:rsidR="002130F9" w:rsidRPr="009B0B4A" w:rsidRDefault="002130F9" w:rsidP="00683BA6">
            <w:pPr>
              <w:pStyle w:val="naiskr"/>
              <w:tabs>
                <w:tab w:val="left" w:pos="2977"/>
              </w:tabs>
              <w:spacing w:before="0" w:beforeAutospacing="0" w:after="0" w:afterAutospacing="0"/>
              <w:ind w:left="57" w:right="57"/>
              <w:jc w:val="center"/>
            </w:pPr>
            <w:r w:rsidRPr="009B0B4A">
              <w:t xml:space="preserve">1. </w:t>
            </w:r>
          </w:p>
        </w:tc>
        <w:tc>
          <w:tcPr>
            <w:tcW w:w="1329" w:type="pct"/>
          </w:tcPr>
          <w:p w14:paraId="12B72B8A" w14:textId="77777777" w:rsidR="002130F9" w:rsidRPr="009B0B4A" w:rsidRDefault="002130F9" w:rsidP="00683BA6">
            <w:pPr>
              <w:pStyle w:val="naiskr"/>
              <w:tabs>
                <w:tab w:val="left" w:pos="2977"/>
              </w:tabs>
              <w:spacing w:before="0" w:beforeAutospacing="0" w:after="0" w:afterAutospacing="0"/>
              <w:ind w:left="57" w:right="57"/>
              <w:rPr>
                <w:rFonts w:eastAsiaTheme="minorHAnsi"/>
                <w:lang w:eastAsia="en-US"/>
              </w:rPr>
            </w:pPr>
            <w:r w:rsidRPr="009B0B4A">
              <w:rPr>
                <w:rFonts w:eastAsiaTheme="minorHAnsi"/>
                <w:lang w:eastAsia="en-US"/>
              </w:rPr>
              <w:t>Pamatojums</w:t>
            </w:r>
          </w:p>
        </w:tc>
        <w:tc>
          <w:tcPr>
            <w:tcW w:w="3438" w:type="pct"/>
          </w:tcPr>
          <w:p w14:paraId="67E89B46" w14:textId="61AE72A8" w:rsidR="00233ED5" w:rsidRPr="009B0B4A" w:rsidRDefault="00233ED5" w:rsidP="00683BA6">
            <w:pPr>
              <w:pStyle w:val="naiskr"/>
              <w:tabs>
                <w:tab w:val="left" w:pos="2977"/>
              </w:tabs>
              <w:spacing w:before="40" w:beforeAutospacing="0" w:after="40" w:afterAutospacing="0"/>
              <w:ind w:left="57" w:right="57"/>
              <w:jc w:val="both"/>
            </w:pPr>
            <w:r w:rsidRPr="009B0B4A">
              <w:t>Eiropas Savienības struktūrfondu un Kohēzijas fonda 2014. —2020. gada plānošanas perioda vadības likuma 20. panta 6. un 13. punkts.</w:t>
            </w:r>
          </w:p>
          <w:p w14:paraId="180E119F" w14:textId="6199BB2C" w:rsidR="002130F9" w:rsidRPr="009B0B4A" w:rsidRDefault="00233ED5" w:rsidP="0082258B">
            <w:pPr>
              <w:pStyle w:val="naiskr"/>
              <w:tabs>
                <w:tab w:val="left" w:pos="2977"/>
              </w:tabs>
              <w:spacing w:before="40" w:beforeAutospacing="0" w:after="40" w:afterAutospacing="0"/>
              <w:ind w:left="143" w:right="57"/>
              <w:jc w:val="both"/>
            </w:pPr>
            <w:r w:rsidRPr="009B0B4A">
              <w:rPr>
                <w:lang w:eastAsia="en-US" w:bidi="ar-SA"/>
              </w:rPr>
              <w:t>Veselības ministrijas iniciatīva.</w:t>
            </w:r>
          </w:p>
        </w:tc>
      </w:tr>
      <w:tr w:rsidR="00464827" w:rsidRPr="009B0B4A" w14:paraId="4E2D3F81" w14:textId="77777777" w:rsidTr="002603E9">
        <w:trPr>
          <w:trHeight w:val="56"/>
        </w:trPr>
        <w:tc>
          <w:tcPr>
            <w:tcW w:w="233" w:type="pct"/>
          </w:tcPr>
          <w:p w14:paraId="581A188A" w14:textId="77777777" w:rsidR="002130F9" w:rsidRPr="009B0B4A" w:rsidRDefault="002130F9" w:rsidP="00683BA6">
            <w:pPr>
              <w:pStyle w:val="naiskr"/>
              <w:tabs>
                <w:tab w:val="left" w:pos="2977"/>
              </w:tabs>
              <w:spacing w:before="0" w:beforeAutospacing="0" w:after="0" w:afterAutospacing="0"/>
              <w:ind w:left="57" w:right="57"/>
              <w:jc w:val="center"/>
            </w:pPr>
            <w:r w:rsidRPr="009B0B4A">
              <w:t xml:space="preserve">2. </w:t>
            </w:r>
          </w:p>
        </w:tc>
        <w:tc>
          <w:tcPr>
            <w:tcW w:w="1329" w:type="pct"/>
          </w:tcPr>
          <w:p w14:paraId="7C2C3CAC" w14:textId="77777777" w:rsidR="002130F9" w:rsidRPr="009B0B4A" w:rsidRDefault="002130F9" w:rsidP="00683BA6">
            <w:pPr>
              <w:pStyle w:val="naiskr"/>
              <w:tabs>
                <w:tab w:val="left" w:pos="170"/>
                <w:tab w:val="left" w:pos="2977"/>
              </w:tabs>
              <w:spacing w:before="0" w:beforeAutospacing="0" w:after="0" w:afterAutospacing="0"/>
              <w:ind w:left="57" w:right="57"/>
            </w:pPr>
            <w:r w:rsidRPr="009B0B4A">
              <w:t xml:space="preserve">Pašreizējā situācija un problēmas, kuru risināšanai tiesību akta projekts izstrādāts, </w:t>
            </w:r>
            <w:r w:rsidRPr="009B0B4A">
              <w:lastRenderedPageBreak/>
              <w:t>tiesiskā regulējuma mērķis un būtība</w:t>
            </w:r>
          </w:p>
        </w:tc>
        <w:tc>
          <w:tcPr>
            <w:tcW w:w="3438" w:type="pct"/>
          </w:tcPr>
          <w:p w14:paraId="5415DDC3" w14:textId="2FE1068A" w:rsidR="00FC7756" w:rsidRPr="009B0B4A" w:rsidRDefault="00FC7756" w:rsidP="008F2058">
            <w:pPr>
              <w:pStyle w:val="ListParagraph"/>
              <w:tabs>
                <w:tab w:val="left" w:pos="2977"/>
              </w:tabs>
              <w:spacing w:before="40" w:after="160"/>
              <w:ind w:left="285" w:right="142"/>
              <w:jc w:val="both"/>
              <w:rPr>
                <w:iCs/>
              </w:rPr>
            </w:pPr>
          </w:p>
          <w:p w14:paraId="7813490D" w14:textId="5595C802" w:rsidR="00A11400" w:rsidRPr="009B0B4A" w:rsidRDefault="001C5B9C" w:rsidP="0082258B">
            <w:pPr>
              <w:pStyle w:val="ListParagraph"/>
              <w:numPr>
                <w:ilvl w:val="0"/>
                <w:numId w:val="2"/>
              </w:numPr>
              <w:tabs>
                <w:tab w:val="left" w:pos="2977"/>
              </w:tabs>
              <w:spacing w:before="120"/>
              <w:ind w:left="285" w:right="142" w:hanging="284"/>
              <w:jc w:val="both"/>
            </w:pPr>
            <w:r w:rsidRPr="009B0B4A">
              <w:rPr>
                <w:shd w:val="clear" w:color="auto" w:fill="FFFFFF"/>
              </w:rPr>
              <w:t xml:space="preserve">Uzklausot </w:t>
            </w:r>
            <w:r w:rsidR="008F2058" w:rsidRPr="009B0B4A">
              <w:rPr>
                <w:shd w:val="clear" w:color="auto" w:fill="FFFFFF"/>
              </w:rPr>
              <w:t xml:space="preserve">SAM 9.2.4.1. pasākuma un 9.2.4.2.pasākuma </w:t>
            </w:r>
            <w:r w:rsidRPr="009B0B4A">
              <w:rPr>
                <w:shd w:val="clear" w:color="auto" w:fill="FFFFFF"/>
              </w:rPr>
              <w:t xml:space="preserve">finansējuma saņēmēju pieredzi ar veselības veicināšanas un slimību profilakses pasākumu apmeklētāju pretenzijām par </w:t>
            </w:r>
            <w:r w:rsidRPr="009B0B4A">
              <w:rPr>
                <w:shd w:val="clear" w:color="auto" w:fill="FFFFFF"/>
              </w:rPr>
              <w:lastRenderedPageBreak/>
              <w:t xml:space="preserve">to anketēšanu iznākuma rādītāja noskaidrošanai un ar mērķi </w:t>
            </w:r>
            <w:r w:rsidR="005141CD" w:rsidRPr="009B0B4A">
              <w:rPr>
                <w:bCs/>
                <w:shd w:val="clear" w:color="auto" w:fill="FFFFFF"/>
              </w:rPr>
              <w:t xml:space="preserve">uzlabot darbības programmā noteiktās SAM 9.2.4. īpašās mērķa grupas labāku iesaisti veselības veicināšanas un slimību profilakses pasākumos, tādējādi mazinot sociālās un teritoriālās atstumtības riskus, kā arī uzlabotu mērķa grupu veselības stāvokli, nepieciešams mainīt darbības programmā noteiktos iznākuma rādītājus. </w:t>
            </w:r>
            <w:r w:rsidR="005141CD" w:rsidRPr="009B0B4A">
              <w:rPr>
                <w:iCs/>
              </w:rPr>
              <w:t xml:space="preserve">Tādejādi ar </w:t>
            </w:r>
            <w:r w:rsidR="002E78ED" w:rsidRPr="009B0B4A">
              <w:rPr>
                <w:iCs/>
              </w:rPr>
              <w:t>2019.gada 3.oktobra Veselības minis</w:t>
            </w:r>
            <w:r w:rsidR="002F0E45" w:rsidRPr="009B0B4A">
              <w:rPr>
                <w:iCs/>
              </w:rPr>
              <w:t>tr</w:t>
            </w:r>
            <w:r w:rsidR="00A11400" w:rsidRPr="009B0B4A">
              <w:rPr>
                <w:iCs/>
              </w:rPr>
              <w:t>i</w:t>
            </w:r>
            <w:r w:rsidR="002F0E45" w:rsidRPr="009B0B4A">
              <w:rPr>
                <w:iCs/>
              </w:rPr>
              <w:t>jas vēstuli Nr.</w:t>
            </w:r>
            <w:r w:rsidR="002F0E45" w:rsidRPr="009B0B4A">
              <w:t xml:space="preserve"> 01-10.2-01/4185 ir nosūtīti Finanšu ministrijai</w:t>
            </w:r>
            <w:r w:rsidR="00FC7756" w:rsidRPr="009B0B4A">
              <w:rPr>
                <w:iCs/>
              </w:rPr>
              <w:t xml:space="preserve"> </w:t>
            </w:r>
            <w:r w:rsidR="002F0E45" w:rsidRPr="009B0B4A">
              <w:rPr>
                <w:iCs/>
              </w:rPr>
              <w:t xml:space="preserve">saskaņošanai ar </w:t>
            </w:r>
            <w:r w:rsidR="00FC7756" w:rsidRPr="009B0B4A">
              <w:rPr>
                <w:iCs/>
              </w:rPr>
              <w:t>Eiropas Komisiju grozījumi darbības programmā "Izaugsme un nodarbinātība"</w:t>
            </w:r>
            <w:r w:rsidR="002F0E45" w:rsidRPr="009B0B4A">
              <w:rPr>
                <w:iCs/>
              </w:rPr>
              <w:t>, tostarp</w:t>
            </w:r>
            <w:r w:rsidR="00FC7756" w:rsidRPr="009B0B4A">
              <w:rPr>
                <w:iCs/>
              </w:rPr>
              <w:t xml:space="preserve"> SAM 9.2.4. iznākuma rādītājos</w:t>
            </w:r>
            <w:r w:rsidR="00CA6869">
              <w:rPr>
                <w:iCs/>
              </w:rPr>
              <w:t>, paredzot šādas izmaiņas ar 2020.gada 1.janvāri:</w:t>
            </w:r>
          </w:p>
          <w:p w14:paraId="09E38781" w14:textId="2CA56106" w:rsidR="00A11400" w:rsidRPr="009B0B4A" w:rsidRDefault="002F0E45" w:rsidP="00683BA6">
            <w:pPr>
              <w:pStyle w:val="ListParagraph"/>
              <w:numPr>
                <w:ilvl w:val="1"/>
                <w:numId w:val="2"/>
              </w:numPr>
              <w:tabs>
                <w:tab w:val="left" w:pos="2977"/>
              </w:tabs>
              <w:spacing w:after="160"/>
              <w:ind w:right="142"/>
              <w:jc w:val="both"/>
            </w:pPr>
            <w:r w:rsidRPr="009B0B4A">
              <w:rPr>
                <w:bCs/>
              </w:rPr>
              <w:t>Samazināt</w:t>
            </w:r>
            <w:r w:rsidR="00A11400" w:rsidRPr="009B0B4A">
              <w:rPr>
                <w:bCs/>
              </w:rPr>
              <w:t>a</w:t>
            </w:r>
            <w:r w:rsidRPr="009B0B4A">
              <w:rPr>
                <w:bCs/>
              </w:rPr>
              <w:t xml:space="preserve"> </w:t>
            </w:r>
            <w:r w:rsidR="00D9650F" w:rsidRPr="009B0B4A">
              <w:rPr>
                <w:bCs/>
              </w:rPr>
              <w:t xml:space="preserve"> </w:t>
            </w:r>
            <w:r w:rsidR="001C7C44" w:rsidRPr="009B0B4A">
              <w:t xml:space="preserve">šobrīd spēkā esošo Ministru kabineta 2016.gada 17.maija noteikumu Nr.310 </w:t>
            </w:r>
            <w:r w:rsidR="001C7C44" w:rsidRPr="009B0B4A">
              <w:rPr>
                <w:i/>
              </w:rPr>
              <w:t>„Darbības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w:t>
            </w:r>
            <w:r w:rsidR="001C7C44" w:rsidRPr="009B0B4A">
              <w:rPr>
                <w:b/>
                <w:i/>
                <w:lang w:eastAsia="lv-LV"/>
              </w:rPr>
              <w:t xml:space="preserve"> </w:t>
            </w:r>
            <w:r w:rsidR="001C7C44" w:rsidRPr="009B0B4A">
              <w:rPr>
                <w:i/>
                <w:lang w:eastAsia="lv-LV"/>
              </w:rPr>
              <w:t>īstenošanas noteikumi”</w:t>
            </w:r>
            <w:r w:rsidR="001C7C44" w:rsidRPr="009B0B4A">
              <w:t xml:space="preserve"> (turpmāk – MK noteikumi) </w:t>
            </w:r>
            <w:r w:rsidR="00D9650F" w:rsidRPr="009B0B4A">
              <w:rPr>
                <w:bCs/>
              </w:rPr>
              <w:t xml:space="preserve">9.1.apakšpunktā noteiktā </w:t>
            </w:r>
            <w:r w:rsidRPr="009B0B4A">
              <w:rPr>
                <w:bCs/>
              </w:rPr>
              <w:t xml:space="preserve">rādītāja </w:t>
            </w:r>
            <w:r w:rsidRPr="009B0B4A">
              <w:t>i.9.2.4.a mērķa vērtīb</w:t>
            </w:r>
            <w:r w:rsidR="00A11400" w:rsidRPr="009B0B4A">
              <w:t>a</w:t>
            </w:r>
            <w:r w:rsidRPr="009B0B4A">
              <w:t xml:space="preserve"> </w:t>
            </w:r>
            <w:r w:rsidR="00D9650F" w:rsidRPr="009B0B4A">
              <w:t xml:space="preserve">uz 2023.gada 31.decembri </w:t>
            </w:r>
            <w:r w:rsidRPr="009B0B4A">
              <w:t xml:space="preserve">no 100 000 uz </w:t>
            </w:r>
            <w:r w:rsidR="00962866" w:rsidRPr="009B0B4A">
              <w:t>45</w:t>
            </w:r>
            <w:r w:rsidR="001C5B9C" w:rsidRPr="009B0B4A">
              <w:t> </w:t>
            </w:r>
            <w:r w:rsidRPr="009B0B4A">
              <w:t>000</w:t>
            </w:r>
            <w:r w:rsidR="001C5B9C" w:rsidRPr="009B0B4A">
              <w:t xml:space="preserve">, paredzot rādītāja uzskaiti līdz 31.12.2019 </w:t>
            </w:r>
            <w:r w:rsidR="00D9650F" w:rsidRPr="009B0B4A">
              <w:t xml:space="preserve">Tāpat atbilstoši rādītāja vērtības samazinājumam precizēta </w:t>
            </w:r>
            <w:r w:rsidR="001C7C44" w:rsidRPr="009B0B4A">
              <w:t xml:space="preserve">MK noteikumu </w:t>
            </w:r>
            <w:r w:rsidR="002248AA" w:rsidRPr="009B0B4A">
              <w:t xml:space="preserve">9.1.1. un </w:t>
            </w:r>
            <w:r w:rsidR="00D9650F" w:rsidRPr="009B0B4A">
              <w:t>9.1.2.apakšpunktā minētā</w:t>
            </w:r>
            <w:r w:rsidR="002248AA" w:rsidRPr="009B0B4A">
              <w:t>s</w:t>
            </w:r>
            <w:r w:rsidR="00D9650F" w:rsidRPr="009B0B4A">
              <w:t xml:space="preserve"> rādītāja vērtības starp 9.2.4.1.pasākumu un 9.2.4.2.pasākumu</w:t>
            </w:r>
            <w:r w:rsidR="005734B7" w:rsidRPr="009B0B4A">
              <w:t>;</w:t>
            </w:r>
          </w:p>
          <w:p w14:paraId="62EDEAD5" w14:textId="4A50C868" w:rsidR="00A11400" w:rsidRPr="009B0B4A" w:rsidRDefault="002F0E45" w:rsidP="00683BA6">
            <w:pPr>
              <w:pStyle w:val="ListParagraph"/>
              <w:numPr>
                <w:ilvl w:val="1"/>
                <w:numId w:val="2"/>
              </w:numPr>
              <w:tabs>
                <w:tab w:val="left" w:pos="2977"/>
              </w:tabs>
              <w:spacing w:after="160"/>
              <w:ind w:right="142"/>
              <w:jc w:val="both"/>
            </w:pPr>
            <w:r w:rsidRPr="009B0B4A">
              <w:rPr>
                <w:bCs/>
              </w:rPr>
              <w:t>Samazināt</w:t>
            </w:r>
            <w:r w:rsidR="00A11400" w:rsidRPr="009B0B4A">
              <w:rPr>
                <w:bCs/>
              </w:rPr>
              <w:t>a</w:t>
            </w:r>
            <w:r w:rsidRPr="009B0B4A">
              <w:rPr>
                <w:bCs/>
              </w:rPr>
              <w:t xml:space="preserve"> </w:t>
            </w:r>
            <w:r w:rsidR="00D9650F" w:rsidRPr="009B0B4A">
              <w:rPr>
                <w:bCs/>
              </w:rPr>
              <w:t>MK noteikumu 9.</w:t>
            </w:r>
            <w:r w:rsidR="00782A2F" w:rsidRPr="009B0B4A">
              <w:rPr>
                <w:bCs/>
              </w:rPr>
              <w:t>2</w:t>
            </w:r>
            <w:r w:rsidR="00D9650F" w:rsidRPr="009B0B4A">
              <w:rPr>
                <w:bCs/>
              </w:rPr>
              <w:t xml:space="preserve">.apakšpunktā noteiktā </w:t>
            </w:r>
            <w:r w:rsidRPr="009B0B4A">
              <w:rPr>
                <w:bCs/>
              </w:rPr>
              <w:t>rādītāja i.9.2.4.b mērķa vērtīb</w:t>
            </w:r>
            <w:r w:rsidR="00A11400" w:rsidRPr="009B0B4A">
              <w:rPr>
                <w:bCs/>
              </w:rPr>
              <w:t>a</w:t>
            </w:r>
            <w:r w:rsidRPr="009B0B4A">
              <w:rPr>
                <w:bCs/>
              </w:rPr>
              <w:t xml:space="preserve"> </w:t>
            </w:r>
            <w:r w:rsidR="00782A2F" w:rsidRPr="009B0B4A">
              <w:t xml:space="preserve"> uz 2023.gada 31.decembri</w:t>
            </w:r>
            <w:r w:rsidR="00782A2F" w:rsidRPr="009B0B4A">
              <w:rPr>
                <w:bCs/>
              </w:rPr>
              <w:t xml:space="preserve"> </w:t>
            </w:r>
            <w:r w:rsidRPr="009B0B4A">
              <w:rPr>
                <w:bCs/>
              </w:rPr>
              <w:t>no 500 000 uz 1</w:t>
            </w:r>
            <w:r w:rsidR="00962866" w:rsidRPr="009B0B4A">
              <w:rPr>
                <w:bCs/>
              </w:rPr>
              <w:t>75</w:t>
            </w:r>
            <w:r w:rsidR="00A11400" w:rsidRPr="009B0B4A">
              <w:rPr>
                <w:bCs/>
              </w:rPr>
              <w:t> </w:t>
            </w:r>
            <w:r w:rsidRPr="009B0B4A">
              <w:rPr>
                <w:bCs/>
              </w:rPr>
              <w:t>000</w:t>
            </w:r>
            <w:r w:rsidR="001C5B9C" w:rsidRPr="009B0B4A">
              <w:t>,  paredzot rādītāja uzskaiti līdz 31.12.</w:t>
            </w:r>
            <w:r w:rsidR="001C5B9C" w:rsidRPr="005D611E">
              <w:t xml:space="preserve">2019 </w:t>
            </w:r>
            <w:r w:rsidR="00782A2F" w:rsidRPr="005D611E">
              <w:t>Tāpat atbilsto</w:t>
            </w:r>
            <w:r w:rsidR="00782A2F" w:rsidRPr="009B0B4A">
              <w:t>ši rādītāja vērtības samazinājumam precizēta 9.2.2.apakšpunktā minētā rādītāja vērtības starp 9.2.4.1.pasākumu un 9.2.4.2.pasākumu</w:t>
            </w:r>
            <w:r w:rsidRPr="009B0B4A">
              <w:rPr>
                <w:bCs/>
              </w:rPr>
              <w:t>;</w:t>
            </w:r>
          </w:p>
          <w:p w14:paraId="3C978486" w14:textId="600553FB" w:rsidR="00A11400" w:rsidRPr="009B0B4A" w:rsidRDefault="002F0E45" w:rsidP="00683BA6">
            <w:pPr>
              <w:pStyle w:val="ListParagraph"/>
              <w:numPr>
                <w:ilvl w:val="1"/>
                <w:numId w:val="2"/>
              </w:numPr>
              <w:tabs>
                <w:tab w:val="left" w:pos="2977"/>
              </w:tabs>
              <w:spacing w:after="160"/>
              <w:ind w:right="142"/>
              <w:jc w:val="both"/>
            </w:pPr>
            <w:r w:rsidRPr="009B0B4A">
              <w:rPr>
                <w:bCs/>
              </w:rPr>
              <w:t>Papildināt</w:t>
            </w:r>
            <w:r w:rsidR="00A11400" w:rsidRPr="009B0B4A">
              <w:rPr>
                <w:bCs/>
              </w:rPr>
              <w:t>s</w:t>
            </w:r>
            <w:r w:rsidRPr="009B0B4A">
              <w:rPr>
                <w:bCs/>
              </w:rPr>
              <w:t xml:space="preserve"> iznākuma rādītāju sarakst</w:t>
            </w:r>
            <w:r w:rsidR="00A11400" w:rsidRPr="009B0B4A">
              <w:rPr>
                <w:bCs/>
              </w:rPr>
              <w:t>s</w:t>
            </w:r>
            <w:r w:rsidRPr="009B0B4A">
              <w:rPr>
                <w:bCs/>
              </w:rPr>
              <w:t xml:space="preserve"> ar jaunu rādītāju i.9.2.4.c “</w:t>
            </w:r>
            <w:r w:rsidRPr="009B0B4A">
              <w:t xml:space="preserve">ESF ietvaros īstenoto veselības veicināšanas un slimību profilakses pasākumu skaits” </w:t>
            </w:r>
            <w:r w:rsidRPr="009B0B4A">
              <w:rPr>
                <w:bCs/>
              </w:rPr>
              <w:t xml:space="preserve">ar sākotnējo vērtību 0 un mērķa vērtību </w:t>
            </w:r>
            <w:r w:rsidR="00B4288D" w:rsidRPr="009B0B4A">
              <w:rPr>
                <w:bCs/>
              </w:rPr>
              <w:t>60 197</w:t>
            </w:r>
            <w:r w:rsidRPr="009B0B4A">
              <w:rPr>
                <w:bCs/>
              </w:rPr>
              <w:t xml:space="preserve">, mērvienība – pasākumu skaits, finansējuma avots – ESF, datu avots – projektu dati, ziņošanas </w:t>
            </w:r>
            <w:r w:rsidRPr="005D611E">
              <w:rPr>
                <w:bCs/>
              </w:rPr>
              <w:t>biežums – reizi gadā</w:t>
            </w:r>
            <w:r w:rsidR="001C5B9C" w:rsidRPr="005D611E">
              <w:t xml:space="preserve">, paredzot rādītāja uzskaiti no 01.01.2020 </w:t>
            </w:r>
            <w:r w:rsidR="00E30455" w:rsidRPr="009B0B4A">
              <w:t>līdz 2023.gada 31.decembrim</w:t>
            </w:r>
            <w:r w:rsidRPr="009B0B4A">
              <w:rPr>
                <w:bCs/>
              </w:rPr>
              <w:t>;</w:t>
            </w:r>
          </w:p>
          <w:p w14:paraId="25B13CA8" w14:textId="3A344D8C" w:rsidR="00A11400" w:rsidRPr="009B0B4A" w:rsidRDefault="002F0E45" w:rsidP="00683BA6">
            <w:pPr>
              <w:pStyle w:val="ListParagraph"/>
              <w:numPr>
                <w:ilvl w:val="1"/>
                <w:numId w:val="2"/>
              </w:numPr>
              <w:tabs>
                <w:tab w:val="left" w:pos="2977"/>
              </w:tabs>
              <w:spacing w:after="160"/>
              <w:ind w:right="142"/>
              <w:jc w:val="both"/>
            </w:pPr>
            <w:r w:rsidRPr="009B0B4A">
              <w:rPr>
                <w:bCs/>
              </w:rPr>
              <w:t>Papildināt</w:t>
            </w:r>
            <w:r w:rsidR="00A11400" w:rsidRPr="009B0B4A">
              <w:rPr>
                <w:bCs/>
              </w:rPr>
              <w:t>s</w:t>
            </w:r>
            <w:r w:rsidRPr="009B0B4A">
              <w:rPr>
                <w:bCs/>
              </w:rPr>
              <w:t xml:space="preserve"> iznākuma rādītāju sarakst</w:t>
            </w:r>
            <w:r w:rsidR="00A11400" w:rsidRPr="009B0B4A">
              <w:rPr>
                <w:bCs/>
              </w:rPr>
              <w:t>s</w:t>
            </w:r>
            <w:r w:rsidRPr="009B0B4A">
              <w:rPr>
                <w:bCs/>
              </w:rPr>
              <w:t xml:space="preserve"> ar jaunu rādītāju i.9.2.4.d “</w:t>
            </w:r>
            <w:r w:rsidRPr="009B0B4A">
              <w:t xml:space="preserve">ESF ietvaros īstenoto veselības veicināšanas un slimību profilakses kampaņu skaits” ar sākotnējo vērtību 0 un mērķa vērtību 5, </w:t>
            </w:r>
            <w:r w:rsidRPr="009B0B4A">
              <w:rPr>
                <w:bCs/>
              </w:rPr>
              <w:t>mērvienība – kampaņu skaits, finansējuma avots – ESF, datu avots – projektu dati, ziņošanas biežums – reizi gadā</w:t>
            </w:r>
            <w:r w:rsidR="001C5B9C" w:rsidRPr="009B0B4A">
              <w:t xml:space="preserve">,  paredzot rādītāja </w:t>
            </w:r>
            <w:r w:rsidR="00E30455" w:rsidRPr="009B0B4A">
              <w:lastRenderedPageBreak/>
              <w:t>sniegumu</w:t>
            </w:r>
            <w:r w:rsidR="001C5B9C" w:rsidRPr="009B0B4A">
              <w:t xml:space="preserve"> no 01.01.2020</w:t>
            </w:r>
            <w:r w:rsidR="00E30455" w:rsidRPr="009B0B4A">
              <w:t xml:space="preserve"> un līdz </w:t>
            </w:r>
            <w:r w:rsidR="008D5242" w:rsidRPr="009B0B4A">
              <w:t>2023</w:t>
            </w:r>
            <w:r w:rsidR="00E30455" w:rsidRPr="009B0B4A">
              <w:t>.gada 31.decembrim</w:t>
            </w:r>
            <w:r w:rsidR="00A11400" w:rsidRPr="009B0B4A">
              <w:rPr>
                <w:bCs/>
              </w:rPr>
              <w:t>.</w:t>
            </w:r>
          </w:p>
          <w:p w14:paraId="6271D826" w14:textId="2B1DAF0D" w:rsidR="00B14DF3" w:rsidRPr="009B0B4A" w:rsidRDefault="00CC6D40" w:rsidP="00DE4099">
            <w:pPr>
              <w:pStyle w:val="BodyText"/>
              <w:spacing w:before="240"/>
              <w:rPr>
                <w:iCs/>
              </w:rPr>
            </w:pPr>
            <w:r w:rsidRPr="009B0B4A">
              <w:rPr>
                <w:iCs/>
              </w:rPr>
              <w:t xml:space="preserve">Iznākuma rādītājam </w:t>
            </w:r>
            <w:r w:rsidRPr="009B0B4A">
              <w:t xml:space="preserve"> </w:t>
            </w:r>
            <w:r w:rsidRPr="009B0B4A">
              <w:rPr>
                <w:iCs/>
              </w:rPr>
              <w:t xml:space="preserve">i.9.2.4.d “ESF ietvaros īstenoto veselības veicināšanas un slimību profilakses kampaņu skaits” paredzēts sniegums līdz 2023.gada 31.decembrim pamatojoties uz </w:t>
            </w:r>
            <w:r w:rsidR="00F265C7" w:rsidRPr="009B0B4A">
              <w:rPr>
                <w:iCs/>
              </w:rPr>
              <w:t>rādītāja sinerģij</w:t>
            </w:r>
            <w:r w:rsidR="00CD504E" w:rsidRPr="009B0B4A">
              <w:rPr>
                <w:iCs/>
              </w:rPr>
              <w:t>u</w:t>
            </w:r>
            <w:r w:rsidR="00F265C7" w:rsidRPr="009B0B4A">
              <w:rPr>
                <w:iCs/>
              </w:rPr>
              <w:t xml:space="preserve"> ar</w:t>
            </w:r>
            <w:r w:rsidR="00CD504E" w:rsidRPr="009B0B4A">
              <w:t xml:space="preserve"> </w:t>
            </w:r>
            <w:r w:rsidR="00CD504E" w:rsidRPr="009B0B4A">
              <w:rPr>
                <w:iCs/>
              </w:rPr>
              <w:t xml:space="preserve">rādītāju i.9.2.4.c “ESF ietvaros īstenoto veselības veicināšanas un slimību profilakses pasākumu skaits” kopīgi sasniedzot </w:t>
            </w:r>
            <w:r w:rsidR="00516D95" w:rsidRPr="009B0B4A">
              <w:rPr>
                <w:iCs/>
              </w:rPr>
              <w:t xml:space="preserve">darbības programmas </w:t>
            </w:r>
            <w:r w:rsidR="00CD504E" w:rsidRPr="009B0B4A">
              <w:rPr>
                <w:iCs/>
              </w:rPr>
              <w:t>mērķa vērtības īstenojot veselības veicināšanas un slimību profilakses pasākumus</w:t>
            </w:r>
            <w:r w:rsidR="007E21C1" w:rsidRPr="009B0B4A">
              <w:rPr>
                <w:iCs/>
              </w:rPr>
              <w:t xml:space="preserve"> 9.2.4.1. pasākuma “Kompleksi veselības veicināšanas un slimību profilakses pasākumi” un 9.2.4.2. pasākuma “Pasākumi vietējās sabiedrības veselības veicināšanai un slimību profilaksei” ietvaros.</w:t>
            </w:r>
            <w:r w:rsidR="003C365D" w:rsidRPr="009B0B4A">
              <w:rPr>
                <w:iCs/>
              </w:rPr>
              <w:t xml:space="preserve"> Sākotnēji</w:t>
            </w:r>
            <w:r w:rsidR="00EC57EC" w:rsidRPr="009B0B4A">
              <w:rPr>
                <w:iCs/>
              </w:rPr>
              <w:t>,</w:t>
            </w:r>
            <w:r w:rsidR="003C365D" w:rsidRPr="009B0B4A">
              <w:rPr>
                <w:iCs/>
              </w:rPr>
              <w:t xml:space="preserve"> projekta iesnieguma sagatavošanas procesā</w:t>
            </w:r>
            <w:r w:rsidR="00EC57EC" w:rsidRPr="009B0B4A">
              <w:rPr>
                <w:iCs/>
              </w:rPr>
              <w:t>,</w:t>
            </w:r>
            <w:r w:rsidR="003C365D" w:rsidRPr="009B0B4A">
              <w:rPr>
                <w:iCs/>
              </w:rPr>
              <w:t xml:space="preserve"> tika nolemts noteikt projekta īstenošanas termiņu līdz 2022.gada beigām, paredzot 2023.gadu kā rezervi plānoto aktivitāšu īstenošanai. Projekta realizācijas gaitā </w:t>
            </w:r>
            <w:r w:rsidR="00EC57EC" w:rsidRPr="009B0B4A">
              <w:rPr>
                <w:iCs/>
              </w:rPr>
              <w:t>projekta virzību būtiski ietekmēja iepirkumu procesu kavēšanās un projekta vadības un īstenošanas personāla kapacitāte un mainība, kā rezultātā nepieciešams pagarināt projekta īstenošanas termiņu līdz 2023.gada 31.decembrim.</w:t>
            </w:r>
            <w:r w:rsidR="001A28D7" w:rsidRPr="009B0B4A">
              <w:rPr>
                <w:iCs/>
              </w:rPr>
              <w:t xml:space="preserve"> Attiecīgi papildināts </w:t>
            </w:r>
            <w:proofErr w:type="spellStart"/>
            <w:r w:rsidR="001A28D7" w:rsidRPr="009B0B4A">
              <w:rPr>
                <w:iCs/>
              </w:rPr>
              <w:t>protokollēmums</w:t>
            </w:r>
            <w:proofErr w:type="spellEnd"/>
            <w:r w:rsidR="001A28D7" w:rsidRPr="009B0B4A">
              <w:rPr>
                <w:iCs/>
              </w:rPr>
              <w:t xml:space="preserve"> ar atļauju </w:t>
            </w:r>
            <w:r w:rsidR="00B14DF3" w:rsidRPr="009B0B4A">
              <w:rPr>
                <w:iCs/>
              </w:rPr>
              <w:t>Centrālajai finanšu un līgumu aģentūrai saskaņā ar Ministru kabineta 2014.gada 16.decembra noteikumu Nr.784 "Kārtība, kādā Eiropas Savienības struktūrfondu un Kohēzijas fonda vadībā iesaistītās institūcijas nodrošina plānošanas dokumentu sagatavošanu un šo fondu ieviešanu 2014.-2020.gada plānošanas periodā" 51.</w:t>
            </w:r>
            <w:r w:rsidR="00B14DF3" w:rsidRPr="00CB4602">
              <w:rPr>
                <w:iCs/>
                <w:vertAlign w:val="superscript"/>
              </w:rPr>
              <w:t>4</w:t>
            </w:r>
            <w:r w:rsidR="00B14DF3" w:rsidRPr="009B0B4A">
              <w:rPr>
                <w:iCs/>
              </w:rPr>
              <w:t xml:space="preserve"> 7. apakšpunktu </w:t>
            </w:r>
            <w:r w:rsidR="001A28D7" w:rsidRPr="009B0B4A">
              <w:rPr>
                <w:iCs/>
              </w:rPr>
              <w:t xml:space="preserve">pagarināt </w:t>
            </w:r>
            <w:r w:rsidR="00B14DF3" w:rsidRPr="009B0B4A">
              <w:rPr>
                <w:iCs/>
              </w:rPr>
              <w:t xml:space="preserve"> projekta Nr. 9.2.4.1/16/I/001</w:t>
            </w:r>
            <w:r w:rsidR="00B14DF3" w:rsidRPr="009B0B4A" w:rsidDel="00EF3203">
              <w:rPr>
                <w:iCs/>
              </w:rPr>
              <w:t xml:space="preserve"> </w:t>
            </w:r>
            <w:r w:rsidR="00B14DF3" w:rsidRPr="009B0B4A">
              <w:rPr>
                <w:iCs/>
              </w:rPr>
              <w:t>"Kompleksi veselības vecināšanas un slimību profilakses pasākumi" īstenošanas termiņu par laiku, kas pārsniedz sešus mēnešus, ja, izvērtējot attiecīgās vienošanās grozījumu lietderību, pamatotību un nepieciešamību projekta mērķa sasniegšanai, termiņa pagarinājums ir uzskatāms par pamatotu.</w:t>
            </w:r>
          </w:p>
          <w:p w14:paraId="7D9C69D5" w14:textId="77777777" w:rsidR="00232EB5" w:rsidRPr="009B0B4A" w:rsidRDefault="00232EB5" w:rsidP="00B14DF3">
            <w:pPr>
              <w:tabs>
                <w:tab w:val="left" w:pos="2977"/>
              </w:tabs>
              <w:ind w:left="285" w:right="142"/>
              <w:jc w:val="both"/>
              <w:rPr>
                <w:iCs/>
              </w:rPr>
            </w:pPr>
            <w:r w:rsidRPr="009B0B4A">
              <w:rPr>
                <w:iCs/>
              </w:rPr>
              <w:t xml:space="preserve">Kampaņa šo noteikumu izpratnē ir vienas tēmas (fiziskā aktivitāte, garīgā veselība, veselīgs uzturs, seksuāli reproduktīvā veselība, atkarību profilakse, slimību profilakse) ietvaros īstenots sabiedrības informēšanas aktivitāšu kopums par veselības veicināšanu un slimību profilaksi prioritārajās veselības jomās (sirds un asinsvadu slimības, onkoloģiskās slimības, bērnu (sākot no perinatālā un </w:t>
            </w:r>
            <w:proofErr w:type="spellStart"/>
            <w:r w:rsidRPr="009B0B4A">
              <w:rPr>
                <w:iCs/>
              </w:rPr>
              <w:t>neonatālā</w:t>
            </w:r>
            <w:proofErr w:type="spellEnd"/>
            <w:r w:rsidRPr="009B0B4A">
              <w:rPr>
                <w:iCs/>
              </w:rPr>
              <w:t xml:space="preserve"> perioda) veselība un psihiskā veselība) 9.2.4.1. pasākuma projekta ietvaros. Papildus skaidrojam, ka plānotas 5 kampaņas, atbilstoši kurām tiek īstenoti pasākumi 9.2.4.1. pasākuma projekta ietvaros: </w:t>
            </w:r>
          </w:p>
          <w:p w14:paraId="74951453" w14:textId="5446E355" w:rsidR="00232EB5" w:rsidRPr="009B0B4A" w:rsidRDefault="00232EB5" w:rsidP="00425BA8">
            <w:pPr>
              <w:pStyle w:val="ListParagraph"/>
              <w:numPr>
                <w:ilvl w:val="0"/>
                <w:numId w:val="24"/>
              </w:numPr>
              <w:ind w:right="142"/>
              <w:jc w:val="both"/>
              <w:rPr>
                <w:iCs/>
              </w:rPr>
            </w:pPr>
            <w:r w:rsidRPr="009B0B4A">
              <w:rPr>
                <w:iCs/>
              </w:rPr>
              <w:t>Sabiedrības informēšanas kampaņa iedzīvotāju fiziskās aktivitātes veicināšanai;</w:t>
            </w:r>
          </w:p>
          <w:p w14:paraId="1639AF6A" w14:textId="1B51D503" w:rsidR="00232EB5" w:rsidRPr="009B0B4A" w:rsidRDefault="00232EB5" w:rsidP="00425BA8">
            <w:pPr>
              <w:pStyle w:val="ListParagraph"/>
              <w:numPr>
                <w:ilvl w:val="0"/>
                <w:numId w:val="24"/>
              </w:numPr>
              <w:ind w:right="142"/>
              <w:jc w:val="both"/>
              <w:rPr>
                <w:iCs/>
              </w:rPr>
            </w:pPr>
            <w:r w:rsidRPr="009B0B4A">
              <w:rPr>
                <w:iCs/>
              </w:rPr>
              <w:t>Sabiedrības informēšanas kampaņa psihiskās veselības veicināšanai;</w:t>
            </w:r>
          </w:p>
          <w:p w14:paraId="3E0B2157" w14:textId="329917BC" w:rsidR="00232EB5" w:rsidRPr="009B0B4A" w:rsidRDefault="00232EB5" w:rsidP="00425BA8">
            <w:pPr>
              <w:pStyle w:val="ListParagraph"/>
              <w:numPr>
                <w:ilvl w:val="0"/>
                <w:numId w:val="24"/>
              </w:numPr>
              <w:ind w:right="142"/>
              <w:jc w:val="both"/>
              <w:rPr>
                <w:iCs/>
              </w:rPr>
            </w:pPr>
            <w:r w:rsidRPr="009B0B4A">
              <w:rPr>
                <w:iCs/>
              </w:rPr>
              <w:t>Sabiedrības informēšanas kampaņa par veselīgu uzturu;</w:t>
            </w:r>
          </w:p>
          <w:p w14:paraId="4C0AEA69" w14:textId="4391C41D" w:rsidR="00232EB5" w:rsidRPr="009B0B4A" w:rsidRDefault="00232EB5" w:rsidP="00425BA8">
            <w:pPr>
              <w:pStyle w:val="ListParagraph"/>
              <w:numPr>
                <w:ilvl w:val="0"/>
                <w:numId w:val="24"/>
              </w:numPr>
              <w:ind w:right="142"/>
              <w:jc w:val="both"/>
              <w:rPr>
                <w:iCs/>
              </w:rPr>
            </w:pPr>
            <w:r w:rsidRPr="009B0B4A">
              <w:rPr>
                <w:iCs/>
              </w:rPr>
              <w:t>Sabiedrības informēšanas kampaņa seksuālās un reproduktīvās veselības veicināšanai;</w:t>
            </w:r>
          </w:p>
          <w:p w14:paraId="7F31EAD1" w14:textId="42A021C8" w:rsidR="00232EB5" w:rsidRPr="009B0B4A" w:rsidRDefault="00232EB5" w:rsidP="00425BA8">
            <w:pPr>
              <w:pStyle w:val="ListParagraph"/>
              <w:numPr>
                <w:ilvl w:val="0"/>
                <w:numId w:val="24"/>
              </w:numPr>
              <w:ind w:right="142"/>
              <w:jc w:val="both"/>
              <w:rPr>
                <w:iCs/>
              </w:rPr>
            </w:pPr>
            <w:r w:rsidRPr="009B0B4A">
              <w:rPr>
                <w:iCs/>
              </w:rPr>
              <w:lastRenderedPageBreak/>
              <w:t>Sabiedrības informēšanas kampaņa atkarību izraisošo vielu un procesu izplatības mazināšanai.</w:t>
            </w:r>
          </w:p>
          <w:p w14:paraId="2E5D4534" w14:textId="3278C75F" w:rsidR="00FC7756" w:rsidRPr="009B0B4A" w:rsidRDefault="00FC7756" w:rsidP="00425BA8">
            <w:pPr>
              <w:pStyle w:val="ListParagraph"/>
              <w:numPr>
                <w:ilvl w:val="0"/>
                <w:numId w:val="24"/>
              </w:numPr>
              <w:tabs>
                <w:tab w:val="left" w:pos="2977"/>
              </w:tabs>
              <w:spacing w:after="160"/>
              <w:ind w:right="142"/>
              <w:jc w:val="both"/>
              <w:rPr>
                <w:iCs/>
              </w:rPr>
            </w:pPr>
            <w:r w:rsidRPr="009B0B4A">
              <w:rPr>
                <w:iCs/>
              </w:rPr>
              <w:t xml:space="preserve">Minētos grozījumus darbības programmā plānots saskaņot </w:t>
            </w:r>
            <w:r w:rsidR="00A11400" w:rsidRPr="009B0B4A">
              <w:rPr>
                <w:iCs/>
              </w:rPr>
              <w:t xml:space="preserve">līdz </w:t>
            </w:r>
            <w:r w:rsidR="00466F89" w:rsidRPr="009B0B4A">
              <w:rPr>
                <w:iCs/>
              </w:rPr>
              <w:t>2020</w:t>
            </w:r>
            <w:r w:rsidRPr="009B0B4A">
              <w:rPr>
                <w:iCs/>
              </w:rPr>
              <w:t xml:space="preserve">.gada </w:t>
            </w:r>
            <w:r w:rsidR="00A11400" w:rsidRPr="009B0B4A">
              <w:rPr>
                <w:iCs/>
              </w:rPr>
              <w:t>gada beigām</w:t>
            </w:r>
            <w:r w:rsidR="00AA06F1" w:rsidRPr="009B0B4A">
              <w:rPr>
                <w:iCs/>
              </w:rPr>
              <w:t xml:space="preserve">. </w:t>
            </w:r>
          </w:p>
          <w:p w14:paraId="31B0A90D" w14:textId="6B21EA31" w:rsidR="007017A7" w:rsidRPr="009B0B4A" w:rsidRDefault="007017A7" w:rsidP="0082258B">
            <w:pPr>
              <w:tabs>
                <w:tab w:val="left" w:pos="2977"/>
              </w:tabs>
              <w:spacing w:after="160"/>
              <w:ind w:left="285" w:right="142"/>
              <w:jc w:val="both"/>
            </w:pPr>
            <w:r w:rsidRPr="009B0B4A">
              <w:t>Līdz šim i.9.2.4.a un i.9.2.4.b iznākuma rādītāji -  Iedzīvotāju skaits, kas iekļaujas 6 mērķa grupās, un kas piedalījušies ESF veselības veicināšanas un slimību profilakses pasākumos</w:t>
            </w:r>
            <w:r w:rsidR="00243772">
              <w:t>,</w:t>
            </w:r>
            <w:r w:rsidRPr="009B0B4A">
              <w:t xml:space="preserve"> paredzēja veikt uzskaiti tikai par 6 īpašajām </w:t>
            </w:r>
            <w:proofErr w:type="spellStart"/>
            <w:r w:rsidRPr="009B0B4A">
              <w:t>mērķgrupām</w:t>
            </w:r>
            <w:proofErr w:type="spellEnd"/>
            <w:r w:rsidRPr="009B0B4A">
              <w:t xml:space="preserve"> - </w:t>
            </w:r>
            <w:r w:rsidR="00293371" w:rsidRPr="009B0B4A">
              <w:t xml:space="preserve"> iedzīvotāji, kuri dzīvo teritorijā ārpus pilsētām ar iedzīvotāju blīvumu zem 50 iedzīvotājiem uz kvadrātkilometru; trūcīgie un maznodrošinātie iedzīvotāji; bezdarbnieki; personas ar invaliditāti; iedzīvotāji, kas vecāki par 54 gadiem; bērni. Savukārt jaunais rādītājs </w:t>
            </w:r>
            <w:r w:rsidR="00293371" w:rsidRPr="009B0B4A">
              <w:rPr>
                <w:bCs/>
              </w:rPr>
              <w:t xml:space="preserve"> i.9.2.4.c - </w:t>
            </w:r>
            <w:r w:rsidR="00293371" w:rsidRPr="009B0B4A">
              <w:t xml:space="preserve"> ESF ietvaros īstenoto veselības veicināšanas un slimību profilakses pasākumu skaits, paredzēts uzskatīt par </w:t>
            </w:r>
            <w:r w:rsidR="00293371" w:rsidRPr="009B0B4A">
              <w:rPr>
                <w:bCs/>
              </w:rPr>
              <w:t xml:space="preserve"> MK noteikumu 8.punktā visām minētajām mērķa grupām, proti visiem Latvijas iedzīvotājiem.</w:t>
            </w:r>
          </w:p>
          <w:p w14:paraId="42C8994E" w14:textId="6E26EB43" w:rsidR="00A11400" w:rsidRPr="009B0B4A" w:rsidRDefault="00A11400" w:rsidP="0082258B">
            <w:pPr>
              <w:tabs>
                <w:tab w:val="left" w:pos="2977"/>
              </w:tabs>
              <w:spacing w:after="160"/>
              <w:ind w:left="285" w:right="142"/>
              <w:jc w:val="both"/>
              <w:rPr>
                <w:bCs/>
              </w:rPr>
            </w:pPr>
            <w:r w:rsidRPr="009B0B4A">
              <w:rPr>
                <w:iCs/>
              </w:rPr>
              <w:t xml:space="preserve">Attiecīgi noteikumu projekts paredz </w:t>
            </w:r>
            <w:r w:rsidR="001C7C44" w:rsidRPr="009B0B4A">
              <w:rPr>
                <w:iCs/>
              </w:rPr>
              <w:t xml:space="preserve">precizēt </w:t>
            </w:r>
            <w:r w:rsidR="008F2058" w:rsidRPr="009B0B4A">
              <w:t xml:space="preserve">MK noteikumu redakcijas </w:t>
            </w:r>
            <w:r w:rsidRPr="009B0B4A">
              <w:rPr>
                <w:iCs/>
              </w:rPr>
              <w:t xml:space="preserve">9.1., </w:t>
            </w:r>
            <w:r w:rsidR="005D611E">
              <w:rPr>
                <w:iCs/>
              </w:rPr>
              <w:t xml:space="preserve">9.1.1., </w:t>
            </w:r>
            <w:r w:rsidRPr="009B0B4A">
              <w:rPr>
                <w:iCs/>
              </w:rPr>
              <w:t>9.1.2., 9.2.</w:t>
            </w:r>
            <w:r w:rsidR="005D611E" w:rsidRPr="009B0B4A" w:rsidDel="005D611E">
              <w:rPr>
                <w:iCs/>
              </w:rPr>
              <w:t xml:space="preserve"> </w:t>
            </w:r>
            <w:r w:rsidR="00962866" w:rsidRPr="009B0B4A">
              <w:rPr>
                <w:iCs/>
              </w:rPr>
              <w:t>apakšpunktus</w:t>
            </w:r>
            <w:r w:rsidRPr="009B0B4A">
              <w:rPr>
                <w:iCs/>
              </w:rPr>
              <w:t xml:space="preserve"> un papildināt ar diviem jauniem </w:t>
            </w:r>
            <w:r w:rsidR="00962866" w:rsidRPr="009B0B4A">
              <w:rPr>
                <w:iCs/>
              </w:rPr>
              <w:t>apakš</w:t>
            </w:r>
            <w:r w:rsidRPr="009B0B4A">
              <w:rPr>
                <w:iCs/>
              </w:rPr>
              <w:t xml:space="preserve">punktiem </w:t>
            </w:r>
            <w:r w:rsidR="00962866" w:rsidRPr="009B0B4A">
              <w:rPr>
                <w:iCs/>
              </w:rPr>
              <w:t xml:space="preserve">- </w:t>
            </w:r>
            <w:r w:rsidRPr="009B0B4A">
              <w:rPr>
                <w:iCs/>
              </w:rPr>
              <w:t>9.3. un 9.4</w:t>
            </w:r>
            <w:r w:rsidR="00ED16F9" w:rsidRPr="009B0B4A">
              <w:rPr>
                <w:iCs/>
              </w:rPr>
              <w:t>. (attiecīgi</w:t>
            </w:r>
            <w:r w:rsidR="00782A2F" w:rsidRPr="009B0B4A">
              <w:rPr>
                <w:iCs/>
              </w:rPr>
              <w:t xml:space="preserve"> 9.2.4.2.pasākumam ar atsauci uz jaunu 9.3.punktā noteikto rādītāju</w:t>
            </w:r>
            <w:r w:rsidR="00ED16F9" w:rsidRPr="009B0B4A">
              <w:rPr>
                <w:iCs/>
              </w:rPr>
              <w:t xml:space="preserve"> tiek papildināts arī 52.</w:t>
            </w:r>
            <w:r w:rsidR="00ED16F9" w:rsidRPr="009B0B4A">
              <w:rPr>
                <w:iCs/>
                <w:vertAlign w:val="superscript"/>
              </w:rPr>
              <w:t>1</w:t>
            </w:r>
            <w:r w:rsidR="00ED16F9" w:rsidRPr="009B0B4A">
              <w:rPr>
                <w:iCs/>
              </w:rPr>
              <w:t xml:space="preserve"> punkts)</w:t>
            </w:r>
            <w:r w:rsidRPr="009B0B4A">
              <w:rPr>
                <w:iCs/>
              </w:rPr>
              <w:t xml:space="preserve">. Papildus MK noteikumu jaunie </w:t>
            </w:r>
            <w:r w:rsidR="00466F89" w:rsidRPr="009B0B4A">
              <w:rPr>
                <w:iCs/>
              </w:rPr>
              <w:t>71</w:t>
            </w:r>
            <w:r w:rsidRPr="009B0B4A">
              <w:rPr>
                <w:iCs/>
              </w:rPr>
              <w:t xml:space="preserve">. un </w:t>
            </w:r>
            <w:r w:rsidR="00466F89" w:rsidRPr="009B0B4A">
              <w:rPr>
                <w:iCs/>
              </w:rPr>
              <w:t>72</w:t>
            </w:r>
            <w:r w:rsidRPr="009B0B4A">
              <w:rPr>
                <w:iCs/>
              </w:rPr>
              <w:t xml:space="preserve">.punkti nosaka, ka </w:t>
            </w:r>
            <w:r w:rsidRPr="009B0B4A">
              <w:rPr>
                <w:bCs/>
              </w:rPr>
              <w:t xml:space="preserve"> rādītāji </w:t>
            </w:r>
            <w:r w:rsidRPr="009B0B4A">
              <w:t xml:space="preserve">i.9.2.4.a un </w:t>
            </w:r>
            <w:r w:rsidRPr="009B0B4A">
              <w:rPr>
                <w:bCs/>
              </w:rPr>
              <w:t xml:space="preserve"> i.9.2.4.b uzskaitāmi līdz 2019.gada 31.decembrim, savukārt jaunie i.9.2.4.c un i.9.2.4.d uzskaitāmi no 2020.gada 1.janvāra</w:t>
            </w:r>
            <w:r w:rsidR="00F02BA0" w:rsidRPr="009B0B4A">
              <w:rPr>
                <w:bCs/>
              </w:rPr>
              <w:t xml:space="preserve">. </w:t>
            </w:r>
            <w:r w:rsidR="00D868F5" w:rsidRPr="009B0B4A">
              <w:rPr>
                <w:bCs/>
              </w:rPr>
              <w:t>Tāpat jauns noteikumu 66.2.</w:t>
            </w:r>
            <w:r w:rsidR="00D868F5" w:rsidRPr="009B0B4A">
              <w:rPr>
                <w:bCs/>
                <w:vertAlign w:val="superscript"/>
              </w:rPr>
              <w:t>1</w:t>
            </w:r>
            <w:r w:rsidR="00D868F5" w:rsidRPr="009B0B4A">
              <w:rPr>
                <w:bCs/>
              </w:rPr>
              <w:t xml:space="preserve">punkts nosaka pienākumu finansējuma saņēmējam </w:t>
            </w:r>
            <w:r w:rsidR="00E90B55" w:rsidRPr="009B0B4A">
              <w:rPr>
                <w:bCs/>
              </w:rPr>
              <w:t>uzkrāt  jauno  i.9.2.4.c un  i.9.2.4.d rādītāju datus.</w:t>
            </w:r>
          </w:p>
          <w:p w14:paraId="34BC5F17" w14:textId="5E855A3B" w:rsidR="00425BA8" w:rsidRPr="009B0B4A" w:rsidRDefault="00425BA8" w:rsidP="0082258B">
            <w:pPr>
              <w:tabs>
                <w:tab w:val="left" w:pos="2977"/>
              </w:tabs>
              <w:spacing w:after="160"/>
              <w:ind w:left="285" w:right="142"/>
              <w:jc w:val="both"/>
              <w:rPr>
                <w:bCs/>
              </w:rPr>
            </w:pPr>
            <w:r w:rsidRPr="009B0B4A">
              <w:rPr>
                <w:bCs/>
              </w:rPr>
              <w:t>Ņemot vērā, ka iznākumu rādītā</w:t>
            </w:r>
            <w:r w:rsidR="00243772">
              <w:rPr>
                <w:bCs/>
              </w:rPr>
              <w:t>ju</w:t>
            </w:r>
            <w:r w:rsidRPr="009B0B4A">
              <w:rPr>
                <w:bCs/>
              </w:rPr>
              <w:t xml:space="preserve"> maiņa no 2020.gada 1.janvāra ir darbības programmas grozījumu līmeņa izmaiņas, kurām vajadzīgs Eiropas Komisijas apstiprinājums, un ņemot vērā, ka provizoriski grozījumu darbības programmā varētu tikt apstiprināti </w:t>
            </w:r>
            <w:r w:rsidR="00FD6B5E" w:rsidRPr="009B0B4A">
              <w:rPr>
                <w:bCs/>
              </w:rPr>
              <w:t>līdz</w:t>
            </w:r>
            <w:r w:rsidR="00F43E2B" w:rsidRPr="009B0B4A">
              <w:rPr>
                <w:bCs/>
              </w:rPr>
              <w:t xml:space="preserve"> </w:t>
            </w:r>
            <w:r w:rsidR="00FD6B5E" w:rsidRPr="009B0B4A">
              <w:rPr>
                <w:bCs/>
              </w:rPr>
              <w:t xml:space="preserve">pat 2020.gada beigām, Veselības ministrija uzņemas risku noteikt, ka  rādītāji </w:t>
            </w:r>
            <w:r w:rsidR="00FD6B5E" w:rsidRPr="009B0B4A">
              <w:t xml:space="preserve">i.9.2.4.a un </w:t>
            </w:r>
            <w:r w:rsidR="00FD6B5E" w:rsidRPr="009B0B4A">
              <w:rPr>
                <w:bCs/>
              </w:rPr>
              <w:t xml:space="preserve"> i.9.2.4.b uzskaitāmi līdz 2019.gada 31.decembrim</w:t>
            </w:r>
            <w:r w:rsidR="00FD6B5E" w:rsidRPr="009B0B4A">
              <w:t xml:space="preserve"> </w:t>
            </w:r>
            <w:r w:rsidR="00FD6B5E" w:rsidRPr="009B0B4A">
              <w:rPr>
                <w:lang w:eastAsia="lv-LV"/>
              </w:rPr>
              <w:t>un ka</w:t>
            </w:r>
            <w:r w:rsidR="00FD6B5E" w:rsidRPr="009B0B4A">
              <w:rPr>
                <w:bCs/>
              </w:rPr>
              <w:t xml:space="preserve"> jaunie i.9.2.4.c un i.9.2.4.d rādītāji uzskaitāmi no 2020.gada 1.janvāra. Noteikumu projektam attiecīgi pievienots </w:t>
            </w:r>
            <w:proofErr w:type="spellStart"/>
            <w:r w:rsidR="00FD6B5E" w:rsidRPr="009B0B4A">
              <w:rPr>
                <w:bCs/>
              </w:rPr>
              <w:t>protokollēmums</w:t>
            </w:r>
            <w:proofErr w:type="spellEnd"/>
            <w:r w:rsidR="00FD6B5E" w:rsidRPr="009B0B4A">
              <w:rPr>
                <w:bCs/>
              </w:rPr>
              <w:t xml:space="preserve">, kurš nosaka, ka gadījumā, ja </w:t>
            </w:r>
            <w:r w:rsidR="00FD6B5E" w:rsidRPr="009B0B4A">
              <w:t xml:space="preserve">Eiropas </w:t>
            </w:r>
            <w:r w:rsidR="00243772" w:rsidRPr="00E70AA1">
              <w:t>K</w:t>
            </w:r>
            <w:r w:rsidR="00FD6B5E" w:rsidRPr="00E70AA1">
              <w:t>omisija</w:t>
            </w:r>
            <w:r w:rsidR="00FD6B5E" w:rsidRPr="009B0B4A">
              <w:t xml:space="preserve"> nesaskaņo grozījumus Darbības programmā, aizstājot dalībnieku uzskaiti ar pasākumu un kampaņu uzskaiti, tad Veselības ministrija nodrošina informācijas apkopošanu par dalībniekiem atbilstoši SAM 9.2.4. rādītājam – dalībnieku skaits.</w:t>
            </w:r>
          </w:p>
          <w:p w14:paraId="0943AE8E" w14:textId="554855FF" w:rsidR="00293371" w:rsidRPr="009B0B4A" w:rsidRDefault="00293371" w:rsidP="0082258B">
            <w:pPr>
              <w:tabs>
                <w:tab w:val="left" w:pos="2977"/>
              </w:tabs>
              <w:spacing w:after="160"/>
              <w:ind w:left="285" w:right="142"/>
              <w:jc w:val="both"/>
            </w:pPr>
            <w:r w:rsidRPr="009B0B4A">
              <w:rPr>
                <w:bCs/>
              </w:rPr>
              <w:t xml:space="preserve">Lai arī tiek samazināta </w:t>
            </w:r>
            <w:r w:rsidRPr="009B0B4A">
              <w:t xml:space="preserve"> i.9.2.4.a un </w:t>
            </w:r>
            <w:r w:rsidRPr="009B0B4A">
              <w:rPr>
                <w:bCs/>
              </w:rPr>
              <w:t xml:space="preserve"> </w:t>
            </w:r>
            <w:r w:rsidRPr="009B0B4A">
              <w:t xml:space="preserve">i.9.2.4.b iznākuma rādītāju vērtības, gan noteikts rādītāju mērķa vērtības no 2023.gada uz 2019.gada beigām, MK noteikumu 10.punktā minēto SAM līmeņa uzraudzības rādītāju vērtības netiek samazinātas un joprojām uzraudzības rādītāju dati atspoguļos tieši īpašo </w:t>
            </w:r>
            <w:proofErr w:type="spellStart"/>
            <w:r w:rsidRPr="009B0B4A">
              <w:t>mērķgrupu</w:t>
            </w:r>
            <w:proofErr w:type="spellEnd"/>
            <w:r w:rsidRPr="009B0B4A">
              <w:t xml:space="preserve"> iesaistes rezultātus.</w:t>
            </w:r>
          </w:p>
          <w:p w14:paraId="62D97086" w14:textId="7DF7C07B" w:rsidR="00717131" w:rsidRPr="009B0B4A" w:rsidRDefault="003A33E9" w:rsidP="0082258B">
            <w:pPr>
              <w:pStyle w:val="ListParagraph"/>
              <w:numPr>
                <w:ilvl w:val="0"/>
                <w:numId w:val="2"/>
              </w:numPr>
              <w:tabs>
                <w:tab w:val="left" w:pos="427"/>
              </w:tabs>
              <w:spacing w:after="160"/>
              <w:ind w:left="285" w:right="142" w:hanging="284"/>
              <w:jc w:val="both"/>
            </w:pPr>
            <w:r w:rsidRPr="009B0B4A">
              <w:lastRenderedPageBreak/>
              <w:t xml:space="preserve">MK noteikumu šī brīža </w:t>
            </w:r>
            <w:r w:rsidR="00ED4F6E" w:rsidRPr="009B0B4A">
              <w:t xml:space="preserve">redakcijas </w:t>
            </w:r>
            <w:r w:rsidR="007044A4" w:rsidRPr="009B0B4A">
              <w:t>12.pun</w:t>
            </w:r>
            <w:r w:rsidR="00437B7B">
              <w:t>k</w:t>
            </w:r>
            <w:r w:rsidR="007044A4" w:rsidRPr="009B0B4A">
              <w:t xml:space="preserve">ts nosaka SAM 9.2.4. un 9.2.4.1.pasākumam un 9.2.4.2.pasākumam pieejamo finansējumu, tāpat </w:t>
            </w:r>
            <w:r w:rsidR="00500AC8" w:rsidRPr="009B0B4A">
              <w:t>13</w:t>
            </w:r>
            <w:r w:rsidR="00F91BDD" w:rsidRPr="009B0B4A">
              <w:t xml:space="preserve">.punkts </w:t>
            </w:r>
            <w:r w:rsidR="00500AC8" w:rsidRPr="009B0B4A">
              <w:t xml:space="preserve">nosaka 9.2.4.2.pasākumam pieejamo kopējo attiecināmo finansējumu vienošanās slēgšanai </w:t>
            </w:r>
            <w:r w:rsidR="00437B7B">
              <w:t>32 926 517</w:t>
            </w:r>
            <w:r w:rsidR="00500AC8" w:rsidRPr="009B0B4A">
              <w:t> </w:t>
            </w:r>
            <w:proofErr w:type="spellStart"/>
            <w:r w:rsidR="00500AC8" w:rsidRPr="009B0B4A">
              <w:rPr>
                <w:i/>
                <w:iCs/>
              </w:rPr>
              <w:t>euro</w:t>
            </w:r>
            <w:proofErr w:type="spellEnd"/>
            <w:r w:rsidR="00500AC8" w:rsidRPr="009B0B4A">
              <w:t xml:space="preserve"> </w:t>
            </w:r>
            <w:r w:rsidR="0090131E" w:rsidRPr="009B0B4A">
              <w:t xml:space="preserve">apmērā </w:t>
            </w:r>
            <w:r w:rsidR="00500AC8" w:rsidRPr="009B0B4A">
              <w:t>(paredzot sasniedzamo iznākuma rādītāju plānojumu noteiktā apjomā līdz 2018.gada 31.decembrim), proti līgumu slēgšanai paredzot finansējumu bez 9.prioritātes E</w:t>
            </w:r>
            <w:r w:rsidR="006B452C" w:rsidRPr="009B0B4A">
              <w:t xml:space="preserve">iropas Sociālā fonda (turpmāk – ESF) </w:t>
            </w:r>
            <w:r w:rsidR="00500AC8" w:rsidRPr="009B0B4A">
              <w:t xml:space="preserve">rezerves – 5 765 881 </w:t>
            </w:r>
            <w:proofErr w:type="spellStart"/>
            <w:r w:rsidR="00500AC8" w:rsidRPr="009B0B4A">
              <w:rPr>
                <w:i/>
              </w:rPr>
              <w:t>euro</w:t>
            </w:r>
            <w:proofErr w:type="spellEnd"/>
            <w:r w:rsidR="00F3276B" w:rsidRPr="009B0B4A">
              <w:rPr>
                <w:i/>
              </w:rPr>
              <w:t xml:space="preserve"> </w:t>
            </w:r>
            <w:r w:rsidR="00F3276B" w:rsidRPr="009B0B4A">
              <w:rPr>
                <w:iCs/>
              </w:rPr>
              <w:t xml:space="preserve">(tai skaitā </w:t>
            </w:r>
            <w:r w:rsidR="006B452C" w:rsidRPr="009B0B4A">
              <w:rPr>
                <w:iCs/>
              </w:rPr>
              <w:t xml:space="preserve">ESF – 4 900 999 </w:t>
            </w:r>
            <w:proofErr w:type="spellStart"/>
            <w:r w:rsidR="006B452C" w:rsidRPr="009B0B4A">
              <w:rPr>
                <w:i/>
                <w:iCs/>
              </w:rPr>
              <w:t>euro</w:t>
            </w:r>
            <w:proofErr w:type="spellEnd"/>
            <w:r w:rsidR="006B452C" w:rsidRPr="009B0B4A">
              <w:rPr>
                <w:iCs/>
              </w:rPr>
              <w:t xml:space="preserve"> un valsts budžets 864 882 </w:t>
            </w:r>
            <w:proofErr w:type="spellStart"/>
            <w:r w:rsidR="006B452C" w:rsidRPr="009B0B4A">
              <w:rPr>
                <w:i/>
                <w:iCs/>
              </w:rPr>
              <w:t>euro</w:t>
            </w:r>
            <w:proofErr w:type="spellEnd"/>
            <w:r w:rsidR="00F3276B" w:rsidRPr="009B0B4A">
              <w:rPr>
                <w:iCs/>
              </w:rPr>
              <w:t>)</w:t>
            </w:r>
            <w:r w:rsidR="00500AC8" w:rsidRPr="009B0B4A">
              <w:t xml:space="preserve">. Tāpat </w:t>
            </w:r>
            <w:r w:rsidR="00D86BF6" w:rsidRPr="009B0B4A">
              <w:t>13.</w:t>
            </w:r>
            <w:r w:rsidR="00500AC8" w:rsidRPr="009B0B4A">
              <w:t xml:space="preserve">punkts nosaka, ka </w:t>
            </w:r>
            <w:r w:rsidR="00500AC8" w:rsidRPr="009B0B4A">
              <w:rPr>
                <w:u w:val="single"/>
              </w:rPr>
              <w:t>no 2019.gada 1.janvāra</w:t>
            </w:r>
            <w:r w:rsidR="00500AC8" w:rsidRPr="009B0B4A">
              <w:t xml:space="preserve"> atbildīgā iestāde saskaņā ar Eiropas Komisijas lēmumu var ierosināt palielināt pieejamo kopējo attiecināmo finansējumu vienošanās slēgšanai līdz MK noteikumu 12.2.apakšpunktā norādītajam finansējuma apjomam - 38 692 398 </w:t>
            </w:r>
            <w:proofErr w:type="spellStart"/>
            <w:r w:rsidR="00500AC8" w:rsidRPr="009B0B4A">
              <w:rPr>
                <w:i/>
                <w:iCs/>
              </w:rPr>
              <w:t>euro</w:t>
            </w:r>
            <w:proofErr w:type="spellEnd"/>
            <w:r w:rsidR="00500AC8" w:rsidRPr="009B0B4A">
              <w:t>.</w:t>
            </w:r>
          </w:p>
          <w:p w14:paraId="50CB00DF" w14:textId="53FFA606" w:rsidR="00316276" w:rsidRPr="009B0B4A" w:rsidRDefault="00624CDA" w:rsidP="0082258B">
            <w:pPr>
              <w:pStyle w:val="ListParagraph"/>
              <w:tabs>
                <w:tab w:val="left" w:pos="2977"/>
              </w:tabs>
              <w:spacing w:after="160"/>
              <w:ind w:left="285" w:right="142"/>
              <w:jc w:val="both"/>
            </w:pPr>
            <w:r w:rsidRPr="009B0B4A">
              <w:t xml:space="preserve">Atbilstoši 2019.gada 23.aprīļa Ministru kabineta sēdes protokola Nr.21 23.§ </w:t>
            </w:r>
            <w:r w:rsidR="00067464" w:rsidRPr="009B0B4A">
              <w:t>6.punktam Veselības ministrija ir iesniegusi Finanšu ministrijā priekšlikumus par prioritāro virzienu snieguma rezerves finansējuma izmantošanu</w:t>
            </w:r>
            <w:r w:rsidR="00CE5A6B" w:rsidRPr="009B0B4A">
              <w:t>.</w:t>
            </w:r>
            <w:r w:rsidR="00067464" w:rsidRPr="009B0B4A">
              <w:t xml:space="preserve"> </w:t>
            </w:r>
            <w:r w:rsidR="00CE5A6B" w:rsidRPr="009B0B4A">
              <w:t>Ņ</w:t>
            </w:r>
            <w:r w:rsidR="003316C8" w:rsidRPr="009B0B4A">
              <w:t>emot vērā 20</w:t>
            </w:r>
            <w:r w:rsidR="00437B7B">
              <w:t>20</w:t>
            </w:r>
            <w:r w:rsidR="003316C8" w:rsidRPr="009B0B4A">
              <w:t xml:space="preserve">.gada </w:t>
            </w:r>
            <w:r w:rsidR="00437B7B">
              <w:t>21</w:t>
            </w:r>
            <w:r w:rsidR="003316C8" w:rsidRPr="009B0B4A">
              <w:t>.</w:t>
            </w:r>
            <w:r w:rsidR="00437B7B">
              <w:t>janvāra</w:t>
            </w:r>
            <w:r w:rsidR="00437B7B" w:rsidRPr="009B0B4A">
              <w:t xml:space="preserve"> </w:t>
            </w:r>
            <w:r w:rsidR="003316C8" w:rsidRPr="009B0B4A">
              <w:t>Ministru kabinetā izskatīto un apstiprināto</w:t>
            </w:r>
            <w:r w:rsidR="00FB18DD">
              <w:t xml:space="preserve"> Rīkojumu</w:t>
            </w:r>
            <w:r w:rsidR="00437B7B">
              <w:t xml:space="preserve"> </w:t>
            </w:r>
            <w:r w:rsidR="00437B7B" w:rsidRPr="007716D4">
              <w:t xml:space="preserve">“Grozījumi Eiropas Savienības struktūrfondu un Kohēzijas fonda </w:t>
            </w:r>
            <w:r w:rsidR="00437B7B">
              <w:t>2014.–2020.</w:t>
            </w:r>
            <w:r w:rsidR="00437B7B" w:rsidRPr="007716D4">
              <w:t>gada plānošanas perioda darbības programmā “Izaugsme un nodarbinātība””</w:t>
            </w:r>
            <w:r w:rsidR="003316C8" w:rsidRPr="009B0B4A">
              <w:rPr>
                <w:shd w:val="clear" w:color="auto" w:fill="FFFFFF"/>
              </w:rPr>
              <w:t xml:space="preserve">, un tā </w:t>
            </w:r>
            <w:proofErr w:type="spellStart"/>
            <w:r w:rsidR="003316C8" w:rsidRPr="009B0B4A">
              <w:rPr>
                <w:shd w:val="clear" w:color="auto" w:fill="FFFFFF"/>
              </w:rPr>
              <w:t>protokollēmuma</w:t>
            </w:r>
            <w:proofErr w:type="spellEnd"/>
            <w:r w:rsidR="003316C8" w:rsidRPr="009B0B4A">
              <w:rPr>
                <w:shd w:val="clear" w:color="auto" w:fill="FFFFFF"/>
              </w:rPr>
              <w:t xml:space="preserve"> </w:t>
            </w:r>
            <w:r w:rsidR="00437B7B">
              <w:rPr>
                <w:shd w:val="clear" w:color="auto" w:fill="FFFFFF"/>
              </w:rPr>
              <w:t>5</w:t>
            </w:r>
            <w:r w:rsidR="003316C8" w:rsidRPr="009B0B4A">
              <w:rPr>
                <w:shd w:val="clear" w:color="auto" w:fill="FFFFFF"/>
              </w:rPr>
              <w:t xml:space="preserve">.punktā </w:t>
            </w:r>
            <w:r w:rsidR="000A7007" w:rsidRPr="009B0B4A">
              <w:rPr>
                <w:shd w:val="clear" w:color="auto" w:fill="FFFFFF"/>
              </w:rPr>
              <w:t xml:space="preserve">(turpmāk - </w:t>
            </w:r>
            <w:r w:rsidR="009A6BF6">
              <w:rPr>
                <w:bCs/>
                <w:shd w:val="clear" w:color="auto" w:fill="FFFFFF"/>
              </w:rPr>
              <w:t xml:space="preserve"> 21.01.2020 </w:t>
            </w:r>
            <w:r w:rsidR="000A7007" w:rsidRPr="009B0B4A">
              <w:rPr>
                <w:bCs/>
                <w:shd w:val="clear" w:color="auto" w:fill="FFFFFF"/>
              </w:rPr>
              <w:t xml:space="preserve">MK </w:t>
            </w:r>
            <w:proofErr w:type="spellStart"/>
            <w:r w:rsidR="000A7007" w:rsidRPr="009B0B4A">
              <w:rPr>
                <w:bCs/>
                <w:shd w:val="clear" w:color="auto" w:fill="FFFFFF"/>
              </w:rPr>
              <w:t>protokollēmums</w:t>
            </w:r>
            <w:proofErr w:type="spellEnd"/>
            <w:r w:rsidR="000A7007" w:rsidRPr="009B0B4A">
              <w:rPr>
                <w:bCs/>
                <w:shd w:val="clear" w:color="auto" w:fill="FFFFFF"/>
              </w:rPr>
              <w:t xml:space="preserve">) </w:t>
            </w:r>
            <w:r w:rsidR="003316C8" w:rsidRPr="009B0B4A">
              <w:rPr>
                <w:shd w:val="clear" w:color="auto" w:fill="FFFFFF"/>
              </w:rPr>
              <w:t xml:space="preserve">noteikto, ka </w:t>
            </w:r>
            <w:r w:rsidR="003316C8" w:rsidRPr="009B0B4A">
              <w:t xml:space="preserve">lai nodrošinātu efektīvāku publisko resursu pārvaldību,  Eiropas Savienības struktūrfondu un Kohēzijas fonda (turpmāk – ES fondi) snieguma rezerves finansējums un ES fondu finansējuma atlikumi novirzāmi </w:t>
            </w:r>
            <w:r w:rsidR="003316C8" w:rsidRPr="009B0B4A">
              <w:rPr>
                <w:bCs/>
              </w:rPr>
              <w:t>stratēģiski nozīmīgiem augstas gatavības projektiem,</w:t>
            </w:r>
            <w:r w:rsidR="003316C8" w:rsidRPr="009B0B4A">
              <w:t xml:space="preserve"> </w:t>
            </w:r>
            <w:r w:rsidR="003316C8" w:rsidRPr="00E70AA1">
              <w:t>attiecīgaj</w:t>
            </w:r>
            <w:r w:rsidR="00243772" w:rsidRPr="00E70AA1">
              <w:t>ā</w:t>
            </w:r>
            <w:r w:rsidR="003316C8" w:rsidRPr="00E70AA1">
              <w:t>m</w:t>
            </w:r>
            <w:r w:rsidR="003316C8" w:rsidRPr="009B0B4A">
              <w:t xml:space="preserve"> nozaru ministrijām veicot pārdales</w:t>
            </w:r>
            <w:r w:rsidR="003316C8" w:rsidRPr="009B0B4A">
              <w:rPr>
                <w:bCs/>
              </w:rPr>
              <w:t>, proti 3.3.un 3.3.1.ap</w:t>
            </w:r>
            <w:r w:rsidR="000A7007" w:rsidRPr="009B0B4A">
              <w:rPr>
                <w:bCs/>
              </w:rPr>
              <w:t>a</w:t>
            </w:r>
            <w:r w:rsidR="003316C8" w:rsidRPr="009B0B4A">
              <w:rPr>
                <w:bCs/>
              </w:rPr>
              <w:t xml:space="preserve">kšpunktā specificējot, ka </w:t>
            </w:r>
            <w:r w:rsidR="003316C8" w:rsidRPr="009B0B4A">
              <w:t>VSIA “Paula Stradiņa klīniskās universitātes slimnīca” ERAF projekta</w:t>
            </w:r>
            <w:r w:rsidR="003316C8" w:rsidRPr="009B0B4A">
              <w:rPr>
                <w:bCs/>
              </w:rPr>
              <w:t xml:space="preserve"> valsts budžeta līdzfinansējuma daļas </w:t>
            </w:r>
            <w:r w:rsidR="003316C8" w:rsidRPr="00DE4099">
              <w:rPr>
                <w:bCs/>
              </w:rPr>
              <w:t xml:space="preserve">segšanai novirzīt ES fondu finansējumu </w:t>
            </w:r>
            <w:r w:rsidR="004726C3" w:rsidRPr="00DE4099">
              <w:rPr>
                <w:bCs/>
              </w:rPr>
              <w:t xml:space="preserve"> 29 378 444 </w:t>
            </w:r>
            <w:r w:rsidR="003316C8" w:rsidRPr="00DE4099">
              <w:rPr>
                <w:bCs/>
              </w:rPr>
              <w:t>EUR, tostarp</w:t>
            </w:r>
            <w:r w:rsidR="003316C8" w:rsidRPr="009B0B4A">
              <w:rPr>
                <w:bCs/>
              </w:rPr>
              <w:t xml:space="preserve"> no Veselības ministrijas 9.2.4.2.pasākuma “Pasākumi vietējās sabiedrības veselības veicināšanai” Eiropas Sociālā fonda (turpmāk – ESF) finansējumu </w:t>
            </w:r>
            <w:r w:rsidR="00F2144F" w:rsidRPr="009B0B4A">
              <w:rPr>
                <w:bCs/>
              </w:rPr>
              <w:t>6 077 960</w:t>
            </w:r>
            <w:r w:rsidR="003316C8" w:rsidRPr="009B0B4A">
              <w:rPr>
                <w:bCs/>
              </w:rPr>
              <w:t xml:space="preserve"> EUR. Tādejādi kopā no 9.2.4.2.pasākuma tiek pārdalīts attiecināmais finansējums </w:t>
            </w:r>
            <w:r w:rsidR="00F2144F" w:rsidRPr="009B0B4A">
              <w:rPr>
                <w:bCs/>
              </w:rPr>
              <w:t>7 150 541</w:t>
            </w:r>
            <w:r w:rsidR="003316C8" w:rsidRPr="009B0B4A">
              <w:rPr>
                <w:bCs/>
              </w:rPr>
              <w:t xml:space="preserve"> EUR, t.sk. ESF līdzfinansējums 85% apmērā  jeb </w:t>
            </w:r>
            <w:r w:rsidR="00F2144F" w:rsidRPr="009B0B4A">
              <w:rPr>
                <w:bCs/>
              </w:rPr>
              <w:t>6 077 960</w:t>
            </w:r>
            <w:r w:rsidR="003316C8" w:rsidRPr="009B0B4A">
              <w:rPr>
                <w:bCs/>
              </w:rPr>
              <w:t xml:space="preserve"> EUR un valsts budž</w:t>
            </w:r>
            <w:r w:rsidR="004E7640" w:rsidRPr="009B0B4A">
              <w:rPr>
                <w:bCs/>
              </w:rPr>
              <w:t>e</w:t>
            </w:r>
            <w:r w:rsidR="003316C8" w:rsidRPr="009B0B4A">
              <w:rPr>
                <w:bCs/>
              </w:rPr>
              <w:t xml:space="preserve">ta līdzfinansējums 15% apmērā jeb </w:t>
            </w:r>
            <w:r w:rsidR="00F2144F" w:rsidRPr="009B0B4A">
              <w:rPr>
                <w:bCs/>
              </w:rPr>
              <w:t>1 072 581</w:t>
            </w:r>
            <w:r w:rsidR="003316C8" w:rsidRPr="009B0B4A">
              <w:rPr>
                <w:bCs/>
              </w:rPr>
              <w:t xml:space="preserve"> EU</w:t>
            </w:r>
            <w:r w:rsidR="006C2A49" w:rsidRPr="009B0B4A">
              <w:rPr>
                <w:bCs/>
              </w:rPr>
              <w:t>R</w:t>
            </w:r>
            <w:r w:rsidR="003316C8" w:rsidRPr="009B0B4A">
              <w:rPr>
                <w:bCs/>
              </w:rPr>
              <w:t>. A</w:t>
            </w:r>
            <w:r w:rsidR="00316276" w:rsidRPr="009B0B4A">
              <w:rPr>
                <w:shd w:val="clear" w:color="auto" w:fill="FFFFFF"/>
              </w:rPr>
              <w:t xml:space="preserve">ttiecīgi </w:t>
            </w:r>
            <w:r w:rsidR="003316C8" w:rsidRPr="009B0B4A">
              <w:rPr>
                <w:shd w:val="clear" w:color="auto" w:fill="FFFFFF"/>
              </w:rPr>
              <w:t xml:space="preserve">tiek </w:t>
            </w:r>
            <w:r w:rsidR="00316276" w:rsidRPr="009B0B4A">
              <w:rPr>
                <w:shd w:val="clear" w:color="auto" w:fill="FFFFFF"/>
              </w:rPr>
              <w:t>samazin</w:t>
            </w:r>
            <w:r w:rsidR="003316C8" w:rsidRPr="009B0B4A">
              <w:rPr>
                <w:shd w:val="clear" w:color="auto" w:fill="FFFFFF"/>
              </w:rPr>
              <w:t>āts</w:t>
            </w:r>
            <w:r w:rsidR="00316276" w:rsidRPr="009B0B4A">
              <w:rPr>
                <w:shd w:val="clear" w:color="auto" w:fill="FFFFFF"/>
              </w:rPr>
              <w:t xml:space="preserve"> kopēj</w:t>
            </w:r>
            <w:r w:rsidR="003316C8" w:rsidRPr="009B0B4A">
              <w:rPr>
                <w:shd w:val="clear" w:color="auto" w:fill="FFFFFF"/>
              </w:rPr>
              <w:t>ais</w:t>
            </w:r>
            <w:r w:rsidR="00316276" w:rsidRPr="009B0B4A">
              <w:rPr>
                <w:shd w:val="clear" w:color="auto" w:fill="FFFFFF"/>
              </w:rPr>
              <w:t xml:space="preserve"> </w:t>
            </w:r>
            <w:r w:rsidR="000A7007" w:rsidRPr="009B0B4A">
              <w:rPr>
                <w:shd w:val="clear" w:color="auto" w:fill="FFFFFF"/>
              </w:rPr>
              <w:t xml:space="preserve">SAM 9.2.4. </w:t>
            </w:r>
            <w:r w:rsidR="00316276" w:rsidRPr="009B0B4A">
              <w:rPr>
                <w:shd w:val="clear" w:color="auto" w:fill="FFFFFF"/>
              </w:rPr>
              <w:t>pieejam</w:t>
            </w:r>
            <w:r w:rsidR="003316C8" w:rsidRPr="009B0B4A">
              <w:rPr>
                <w:shd w:val="clear" w:color="auto" w:fill="FFFFFF"/>
              </w:rPr>
              <w:t>ais</w:t>
            </w:r>
            <w:r w:rsidR="00316276" w:rsidRPr="009B0B4A">
              <w:rPr>
                <w:shd w:val="clear" w:color="auto" w:fill="FFFFFF"/>
              </w:rPr>
              <w:t xml:space="preserve"> finansējum</w:t>
            </w:r>
            <w:r w:rsidR="003316C8" w:rsidRPr="009B0B4A">
              <w:rPr>
                <w:shd w:val="clear" w:color="auto" w:fill="FFFFFF"/>
              </w:rPr>
              <w:t>s</w:t>
            </w:r>
            <w:r w:rsidR="00316276" w:rsidRPr="009B0B4A">
              <w:rPr>
                <w:shd w:val="clear" w:color="auto" w:fill="FFFFFF"/>
              </w:rPr>
              <w:t>, kas pārsniedz snieguma rezerves finansējuma apjomu</w:t>
            </w:r>
            <w:r w:rsidR="0030103F" w:rsidRPr="009B0B4A">
              <w:rPr>
                <w:shd w:val="clear" w:color="auto" w:fill="FFFFFF"/>
              </w:rPr>
              <w:t>.</w:t>
            </w:r>
            <w:r w:rsidR="0030103F" w:rsidRPr="009B0B4A">
              <w:t xml:space="preserve"> </w:t>
            </w:r>
            <w:r w:rsidR="00316276" w:rsidRPr="009B0B4A">
              <w:t>Attiecīgi SAM 9.2.4. pieejamā finansējuma dalījums  pārplānots atbilstoši šī brīža finansējuma atlikumiem:</w:t>
            </w:r>
          </w:p>
          <w:p w14:paraId="0FB737CE" w14:textId="3CE377A7" w:rsidR="00316276" w:rsidRPr="009B0B4A" w:rsidRDefault="00316276" w:rsidP="0082258B">
            <w:pPr>
              <w:pStyle w:val="NormalWeb"/>
              <w:numPr>
                <w:ilvl w:val="0"/>
                <w:numId w:val="20"/>
              </w:numPr>
              <w:shd w:val="clear" w:color="auto" w:fill="FFFFFF"/>
              <w:tabs>
                <w:tab w:val="left" w:pos="2977"/>
              </w:tabs>
              <w:spacing w:before="0" w:beforeAutospacing="0" w:after="0" w:afterAutospacing="0"/>
              <w:ind w:left="710" w:right="137"/>
              <w:jc w:val="both"/>
              <w:rPr>
                <w:lang w:val="lv-LV"/>
              </w:rPr>
            </w:pPr>
            <w:r w:rsidRPr="009B0B4A">
              <w:rPr>
                <w:lang w:val="lv-LV"/>
              </w:rPr>
              <w:t xml:space="preserve">9.2.4.1. pasākumam finansējums tiek samazināts par neatbilstoši veikto izdevumu summu 1 </w:t>
            </w:r>
            <w:r w:rsidR="00BF465F" w:rsidRPr="009B0B4A">
              <w:rPr>
                <w:lang w:val="lv-LV"/>
              </w:rPr>
              <w:t>28</w:t>
            </w:r>
            <w:r w:rsidR="00594960">
              <w:rPr>
                <w:lang w:val="lv-LV"/>
              </w:rPr>
              <w:t>8</w:t>
            </w:r>
            <w:r w:rsidR="00BF465F" w:rsidRPr="009B0B4A">
              <w:rPr>
                <w:lang w:val="lv-LV"/>
              </w:rPr>
              <w:t xml:space="preserve"> </w:t>
            </w:r>
            <w:r w:rsidR="00BB1647">
              <w:rPr>
                <w:lang w:val="lv-LV"/>
              </w:rPr>
              <w:t>EUR</w:t>
            </w:r>
            <w:r w:rsidR="00BB1647" w:rsidRPr="009B0B4A">
              <w:rPr>
                <w:lang w:val="lv-LV"/>
              </w:rPr>
              <w:t xml:space="preserve"> </w:t>
            </w:r>
            <w:r w:rsidRPr="009B0B4A">
              <w:rPr>
                <w:lang w:val="lv-LV"/>
              </w:rPr>
              <w:t>apmērā</w:t>
            </w:r>
            <w:r w:rsidR="00F2144F" w:rsidRPr="009B0B4A">
              <w:rPr>
                <w:lang w:val="lv-LV"/>
              </w:rPr>
              <w:t xml:space="preserve"> (ESF- 1095, VB- </w:t>
            </w:r>
            <w:r w:rsidR="00594960" w:rsidRPr="009B0B4A">
              <w:rPr>
                <w:lang w:val="lv-LV"/>
              </w:rPr>
              <w:t>19</w:t>
            </w:r>
            <w:r w:rsidR="00594960">
              <w:rPr>
                <w:lang w:val="lv-LV"/>
              </w:rPr>
              <w:t>3</w:t>
            </w:r>
            <w:r w:rsidR="00F2144F" w:rsidRPr="009B0B4A">
              <w:rPr>
                <w:lang w:val="lv-LV"/>
              </w:rPr>
              <w:t xml:space="preserve">) </w:t>
            </w:r>
            <w:r w:rsidRPr="009B0B4A">
              <w:rPr>
                <w:lang w:val="lv-LV"/>
              </w:rPr>
              <w:t xml:space="preserve">, attiecīgi atstājot šim pasākumam finansējuma daļu, kas atbilst projekta </w:t>
            </w:r>
            <w:r w:rsidRPr="009B0B4A">
              <w:rPr>
                <w:lang w:val="lv-LV"/>
              </w:rPr>
              <w:lastRenderedPageBreak/>
              <w:t xml:space="preserve">ietvaros faktiski noslēgto līgumu summai 16 691 </w:t>
            </w:r>
            <w:r w:rsidR="00A91BF3" w:rsidRPr="009B0B4A">
              <w:rPr>
                <w:lang w:val="lv-LV"/>
              </w:rPr>
              <w:t xml:space="preserve">510 </w:t>
            </w:r>
            <w:proofErr w:type="spellStart"/>
            <w:r w:rsidRPr="009B0B4A">
              <w:rPr>
                <w:lang w:val="lv-LV"/>
              </w:rPr>
              <w:t>euro</w:t>
            </w:r>
            <w:proofErr w:type="spellEnd"/>
            <w:r w:rsidRPr="009B0B4A">
              <w:rPr>
                <w:lang w:val="lv-LV"/>
              </w:rPr>
              <w:t xml:space="preserve"> apmērā (ESF- 14 187 783, VB- 2 503 </w:t>
            </w:r>
            <w:r w:rsidR="00A91BF3" w:rsidRPr="009B0B4A">
              <w:rPr>
                <w:lang w:val="lv-LV"/>
              </w:rPr>
              <w:t>727</w:t>
            </w:r>
            <w:r w:rsidRPr="009B0B4A">
              <w:rPr>
                <w:lang w:val="lv-LV"/>
              </w:rPr>
              <w:t>).</w:t>
            </w:r>
          </w:p>
          <w:p w14:paraId="1A8DCE60" w14:textId="37E001A4" w:rsidR="0013067D" w:rsidRPr="009B0B4A" w:rsidRDefault="0013067D" w:rsidP="0082258B">
            <w:pPr>
              <w:pStyle w:val="NormalWeb"/>
              <w:numPr>
                <w:ilvl w:val="0"/>
                <w:numId w:val="20"/>
              </w:numPr>
              <w:shd w:val="clear" w:color="auto" w:fill="FFFFFF"/>
              <w:tabs>
                <w:tab w:val="left" w:pos="2977"/>
              </w:tabs>
              <w:ind w:left="710" w:right="137"/>
              <w:jc w:val="both"/>
              <w:rPr>
                <w:lang w:val="lv-LV"/>
              </w:rPr>
            </w:pPr>
            <w:r w:rsidRPr="009B0B4A">
              <w:rPr>
                <w:lang w:val="lv-LV"/>
              </w:rPr>
              <w:t>9.2.4.2. pasākumam pieejamais finansējums aprēķināts</w:t>
            </w:r>
            <w:r w:rsidR="000F3B6F">
              <w:rPr>
                <w:lang w:val="lv-LV"/>
              </w:rPr>
              <w:t>,</w:t>
            </w:r>
            <w:r w:rsidRPr="009B0B4A">
              <w:rPr>
                <w:lang w:val="lv-LV"/>
              </w:rPr>
              <w:t xml:space="preserve"> ņemot vērā projekta ietvaros 1.kārtā faktiski noslēgto līgumu summu </w:t>
            </w:r>
            <w:r w:rsidR="006C2A49" w:rsidRPr="009B0B4A">
              <w:rPr>
                <w:lang w:val="lv-LV"/>
              </w:rPr>
              <w:t>18 804 041</w:t>
            </w:r>
            <w:r w:rsidRPr="009B0B4A">
              <w:rPr>
                <w:lang w:val="lv-LV"/>
              </w:rPr>
              <w:t xml:space="preserve"> </w:t>
            </w:r>
            <w:proofErr w:type="spellStart"/>
            <w:r w:rsidRPr="009B0B4A">
              <w:rPr>
                <w:lang w:val="lv-LV"/>
              </w:rPr>
              <w:t>euro</w:t>
            </w:r>
            <w:proofErr w:type="spellEnd"/>
            <w:r w:rsidRPr="009B0B4A">
              <w:rPr>
                <w:lang w:val="lv-LV"/>
              </w:rPr>
              <w:t xml:space="preserve"> apmērā (ESF- </w:t>
            </w:r>
            <w:r w:rsidR="006C2A49" w:rsidRPr="009B0B4A">
              <w:rPr>
                <w:lang w:val="lv-LV"/>
              </w:rPr>
              <w:t>15 983 435</w:t>
            </w:r>
            <w:r w:rsidRPr="009B0B4A">
              <w:rPr>
                <w:lang w:val="lv-LV"/>
              </w:rPr>
              <w:t xml:space="preserve">, VB- </w:t>
            </w:r>
            <w:r w:rsidR="006C2A49" w:rsidRPr="009B0B4A">
              <w:rPr>
                <w:lang w:val="lv-LV"/>
              </w:rPr>
              <w:t>2 820 606</w:t>
            </w:r>
            <w:r w:rsidRPr="009B0B4A">
              <w:rPr>
                <w:lang w:val="lv-LV"/>
              </w:rPr>
              <w:t xml:space="preserve">) un 2.kārtai atlikušo finansējumu </w:t>
            </w:r>
            <w:r w:rsidR="00545916" w:rsidRPr="009B0B4A">
              <w:rPr>
                <w:lang w:val="lv-LV"/>
              </w:rPr>
              <w:t>12 765</w:t>
            </w:r>
            <w:r w:rsidR="0088195F" w:rsidRPr="009B0B4A">
              <w:rPr>
                <w:lang w:val="lv-LV"/>
              </w:rPr>
              <w:t> </w:t>
            </w:r>
            <w:r w:rsidR="00545916" w:rsidRPr="009B0B4A">
              <w:rPr>
                <w:lang w:val="lv-LV"/>
              </w:rPr>
              <w:t>349</w:t>
            </w:r>
            <w:r w:rsidR="0088195F" w:rsidRPr="009B0B4A">
              <w:rPr>
                <w:lang w:val="lv-LV"/>
              </w:rPr>
              <w:t xml:space="preserve"> </w:t>
            </w:r>
            <w:proofErr w:type="spellStart"/>
            <w:r w:rsidRPr="009B0B4A">
              <w:rPr>
                <w:lang w:val="lv-LV"/>
              </w:rPr>
              <w:t>euro</w:t>
            </w:r>
            <w:proofErr w:type="spellEnd"/>
            <w:r w:rsidRPr="009B0B4A">
              <w:rPr>
                <w:lang w:val="lv-LV"/>
              </w:rPr>
              <w:t xml:space="preserve"> apmērā (ESF- </w:t>
            </w:r>
            <w:r w:rsidR="00545916" w:rsidRPr="009B0B4A">
              <w:rPr>
                <w:lang w:val="lv-LV"/>
              </w:rPr>
              <w:t xml:space="preserve">10 850 </w:t>
            </w:r>
            <w:r w:rsidR="00A91BF3" w:rsidRPr="009B0B4A">
              <w:rPr>
                <w:lang w:val="lv-LV"/>
              </w:rPr>
              <w:t>546</w:t>
            </w:r>
            <w:r w:rsidRPr="009B0B4A">
              <w:rPr>
                <w:lang w:val="lv-LV"/>
              </w:rPr>
              <w:t xml:space="preserve">, VB- </w:t>
            </w:r>
            <w:r w:rsidR="00545916" w:rsidRPr="009B0B4A">
              <w:rPr>
                <w:lang w:val="lv-LV"/>
              </w:rPr>
              <w:t xml:space="preserve">1 914 </w:t>
            </w:r>
            <w:r w:rsidR="00A91BF3" w:rsidRPr="009B0B4A">
              <w:rPr>
                <w:lang w:val="lv-LV"/>
              </w:rPr>
              <w:t>803</w:t>
            </w:r>
            <w:r w:rsidRPr="009B0B4A">
              <w:rPr>
                <w:lang w:val="lv-LV"/>
              </w:rPr>
              <w:t>), kas aprēķināts:</w:t>
            </w:r>
          </w:p>
          <w:p w14:paraId="7689C765" w14:textId="40E57174" w:rsidR="0013067D" w:rsidRPr="009B0B4A" w:rsidRDefault="0013067D" w:rsidP="0082258B">
            <w:pPr>
              <w:pStyle w:val="NormalWeb"/>
              <w:numPr>
                <w:ilvl w:val="1"/>
                <w:numId w:val="20"/>
              </w:numPr>
              <w:shd w:val="clear" w:color="auto" w:fill="FFFFFF"/>
              <w:tabs>
                <w:tab w:val="left" w:pos="2977"/>
              </w:tabs>
              <w:spacing w:before="0" w:beforeAutospacing="0" w:after="0" w:afterAutospacing="0"/>
              <w:ind w:left="1277" w:right="137" w:hanging="283"/>
              <w:jc w:val="both"/>
              <w:rPr>
                <w:lang w:val="lv-LV"/>
              </w:rPr>
            </w:pPr>
            <w:r w:rsidRPr="009B0B4A">
              <w:rPr>
                <w:lang w:val="lv-LV"/>
              </w:rPr>
              <w:t xml:space="preserve">ņemot vērā kopējos finansējuma atlikumus 9.2.4.2. pasākumā, ko veido starpība starp MK noteikumos pieejamo finansējumu un atlasē izsludināto finansējumu, kā arī izsludināto atlases summu un faktiski noslēgto līgumu summu, kas kopā veido atlikumus </w:t>
            </w:r>
            <w:r w:rsidR="002A568E" w:rsidRPr="009B0B4A">
              <w:rPr>
                <w:lang w:val="lv-LV"/>
              </w:rPr>
              <w:t>14 122 475</w:t>
            </w:r>
            <w:r w:rsidRPr="009B0B4A">
              <w:rPr>
                <w:lang w:val="lv-LV"/>
              </w:rPr>
              <w:t xml:space="preserve"> </w:t>
            </w:r>
            <w:proofErr w:type="spellStart"/>
            <w:r w:rsidRPr="009B0B4A">
              <w:rPr>
                <w:lang w:val="lv-LV"/>
              </w:rPr>
              <w:t>euro</w:t>
            </w:r>
            <w:proofErr w:type="spellEnd"/>
            <w:r w:rsidRPr="009B0B4A">
              <w:rPr>
                <w:lang w:val="lv-LV"/>
              </w:rPr>
              <w:t xml:space="preserve"> apmērā (ESF- </w:t>
            </w:r>
            <w:r w:rsidR="002A568E" w:rsidRPr="009B0B4A">
              <w:rPr>
                <w:lang w:val="lv-LV"/>
              </w:rPr>
              <w:t>12 004 104</w:t>
            </w:r>
            <w:r w:rsidRPr="009B0B4A">
              <w:rPr>
                <w:lang w:val="lv-LV"/>
              </w:rPr>
              <w:t xml:space="preserve">, VB- </w:t>
            </w:r>
            <w:r w:rsidR="002A568E" w:rsidRPr="009B0B4A">
              <w:rPr>
                <w:lang w:val="lv-LV"/>
              </w:rPr>
              <w:t>2 118 371</w:t>
            </w:r>
            <w:r w:rsidRPr="009B0B4A">
              <w:rPr>
                <w:lang w:val="lv-LV"/>
              </w:rPr>
              <w:t>);</w:t>
            </w:r>
          </w:p>
          <w:p w14:paraId="1EB35971" w14:textId="57B5693C" w:rsidR="0013067D" w:rsidRPr="009B0B4A" w:rsidRDefault="0013067D" w:rsidP="0082258B">
            <w:pPr>
              <w:pStyle w:val="NormalWeb"/>
              <w:numPr>
                <w:ilvl w:val="1"/>
                <w:numId w:val="20"/>
              </w:numPr>
              <w:shd w:val="clear" w:color="auto" w:fill="FFFFFF"/>
              <w:tabs>
                <w:tab w:val="left" w:pos="2977"/>
              </w:tabs>
              <w:spacing w:before="0" w:beforeAutospacing="0" w:after="0" w:afterAutospacing="0"/>
              <w:ind w:left="1277" w:right="137" w:hanging="283"/>
              <w:jc w:val="both"/>
              <w:rPr>
                <w:lang w:val="lv-LV"/>
              </w:rPr>
            </w:pPr>
            <w:r w:rsidRPr="009B0B4A">
              <w:rPr>
                <w:lang w:val="lv-LV"/>
              </w:rPr>
              <w:t xml:space="preserve"> ņemot vērā finansējuma rezervi (no MK not. plānotā atņemot MK not. pieejamo) 5 765 881 </w:t>
            </w:r>
            <w:proofErr w:type="spellStart"/>
            <w:r w:rsidRPr="009B0B4A">
              <w:rPr>
                <w:lang w:val="lv-LV"/>
              </w:rPr>
              <w:t>euro</w:t>
            </w:r>
            <w:proofErr w:type="spellEnd"/>
            <w:r w:rsidRPr="009B0B4A">
              <w:rPr>
                <w:lang w:val="lv-LV"/>
              </w:rPr>
              <w:t xml:space="preserve"> apmērā (ESF- 4 900 999, VB- 864 882).</w:t>
            </w:r>
          </w:p>
          <w:p w14:paraId="0C0F8755" w14:textId="11910F12" w:rsidR="0013067D" w:rsidRPr="009B0B4A" w:rsidRDefault="0013067D" w:rsidP="0082258B">
            <w:pPr>
              <w:pStyle w:val="NormalWeb"/>
              <w:shd w:val="clear" w:color="auto" w:fill="FFFFFF"/>
              <w:tabs>
                <w:tab w:val="left" w:pos="2977"/>
              </w:tabs>
              <w:spacing w:after="120" w:afterAutospacing="0"/>
              <w:ind w:left="284" w:right="136"/>
              <w:jc w:val="both"/>
              <w:rPr>
                <w:lang w:val="lv-LV"/>
              </w:rPr>
            </w:pPr>
            <w:r w:rsidRPr="009B0B4A">
              <w:rPr>
                <w:lang w:val="lv-LV"/>
              </w:rPr>
              <w:t xml:space="preserve">Papildus, lai mazinātu 13.09.2019 MK </w:t>
            </w:r>
            <w:proofErr w:type="spellStart"/>
            <w:r w:rsidRPr="009B0B4A">
              <w:rPr>
                <w:lang w:val="lv-LV"/>
              </w:rPr>
              <w:t>protokollēmumā</w:t>
            </w:r>
            <w:proofErr w:type="spellEnd"/>
            <w:r w:rsidRPr="009B0B4A">
              <w:rPr>
                <w:lang w:val="lv-LV"/>
              </w:rPr>
              <w:t xml:space="preserve"> noteiktās pārdales no 9.2.4.2.pasākuma par labu SAM 9.3.2. 2.kārtas lielajam projektam ietekmes uz SAM 9.2.4. īstenošanu, tika apzināti SAM 9.2.3.</w:t>
            </w:r>
            <w:r w:rsidR="003A0E8B" w:rsidRPr="009B0B4A">
              <w:rPr>
                <w:lang w:val="lv-LV"/>
              </w:rPr>
              <w:t xml:space="preserve"> un</w:t>
            </w:r>
            <w:r w:rsidRPr="009B0B4A">
              <w:rPr>
                <w:lang w:val="lv-LV"/>
              </w:rPr>
              <w:t xml:space="preserve"> 9.2.4.1. projektu ietvaros radušies neatbilstoši veiktie izdevumi </w:t>
            </w:r>
            <w:r w:rsidR="003A0E8B" w:rsidRPr="009B0B4A">
              <w:rPr>
                <w:lang w:val="lv-LV"/>
              </w:rPr>
              <w:t>27 534</w:t>
            </w:r>
            <w:r w:rsidRPr="009B0B4A">
              <w:rPr>
                <w:lang w:val="lv-LV"/>
              </w:rPr>
              <w:t xml:space="preserve"> </w:t>
            </w:r>
            <w:proofErr w:type="spellStart"/>
            <w:r w:rsidRPr="009B0B4A">
              <w:rPr>
                <w:lang w:val="lv-LV"/>
              </w:rPr>
              <w:t>euro</w:t>
            </w:r>
            <w:proofErr w:type="spellEnd"/>
            <w:r w:rsidRPr="009B0B4A">
              <w:rPr>
                <w:lang w:val="lv-LV"/>
              </w:rPr>
              <w:t xml:space="preserve"> apmērā (ESF- </w:t>
            </w:r>
            <w:r w:rsidR="003A0E8B" w:rsidRPr="009B0B4A">
              <w:rPr>
                <w:lang w:val="lv-LV"/>
              </w:rPr>
              <w:t>23 403</w:t>
            </w:r>
            <w:r w:rsidRPr="009B0B4A">
              <w:rPr>
                <w:lang w:val="lv-LV"/>
              </w:rPr>
              <w:t xml:space="preserve">, VB- </w:t>
            </w:r>
            <w:r w:rsidR="003A0E8B" w:rsidRPr="009B0B4A">
              <w:rPr>
                <w:lang w:val="lv-LV"/>
              </w:rPr>
              <w:t>4 131</w:t>
            </w:r>
            <w:r w:rsidRPr="009B0B4A">
              <w:rPr>
                <w:lang w:val="lv-LV"/>
              </w:rPr>
              <w:t xml:space="preserve">), tādejādi 9.2.4.2. pasākuma 2.kārtai jeb projektu īstenošanai no 2020.gada 1.janvāra līdz 2023.gadam iegūstot pieejamo attiecināmo finansējumu </w:t>
            </w:r>
            <w:r w:rsidR="003A0E8B" w:rsidRPr="009B0B4A">
              <w:rPr>
                <w:lang w:val="lv-LV"/>
              </w:rPr>
              <w:t>12 765 349</w:t>
            </w:r>
            <w:r w:rsidRPr="009B0B4A">
              <w:rPr>
                <w:lang w:val="lv-LV"/>
              </w:rPr>
              <w:t xml:space="preserve"> </w:t>
            </w:r>
            <w:proofErr w:type="spellStart"/>
            <w:r w:rsidRPr="009B0B4A">
              <w:rPr>
                <w:lang w:val="lv-LV"/>
              </w:rPr>
              <w:t>euro</w:t>
            </w:r>
            <w:proofErr w:type="spellEnd"/>
            <w:r w:rsidRPr="009B0B4A">
              <w:rPr>
                <w:lang w:val="lv-LV"/>
              </w:rPr>
              <w:t xml:space="preserve"> apmērā (ESF- </w:t>
            </w:r>
            <w:r w:rsidR="003A0E8B" w:rsidRPr="009B0B4A">
              <w:rPr>
                <w:lang w:val="lv-LV"/>
              </w:rPr>
              <w:t>10 850 546</w:t>
            </w:r>
            <w:r w:rsidRPr="009B0B4A">
              <w:rPr>
                <w:lang w:val="lv-LV"/>
              </w:rPr>
              <w:t xml:space="preserve">, VB- </w:t>
            </w:r>
            <w:r w:rsidR="003A0E8B" w:rsidRPr="009B0B4A">
              <w:rPr>
                <w:lang w:val="lv-LV"/>
              </w:rPr>
              <w:t>1 914 803</w:t>
            </w:r>
            <w:r w:rsidRPr="009B0B4A">
              <w:rPr>
                <w:lang w:val="lv-LV"/>
              </w:rPr>
              <w:t>).</w:t>
            </w:r>
          </w:p>
          <w:p w14:paraId="42A77F93" w14:textId="2ECFD7CC" w:rsidR="00346F2F" w:rsidRPr="009B0B4A" w:rsidRDefault="0013067D" w:rsidP="0082258B">
            <w:pPr>
              <w:pStyle w:val="ListParagraph"/>
              <w:tabs>
                <w:tab w:val="left" w:pos="2977"/>
              </w:tabs>
              <w:spacing w:after="120"/>
              <w:ind w:left="284" w:right="136"/>
              <w:contextualSpacing w:val="0"/>
              <w:jc w:val="both"/>
            </w:pPr>
            <w:r w:rsidRPr="00E70AA1">
              <w:t xml:space="preserve">Tādejādi tiek precizēts </w:t>
            </w:r>
            <w:r w:rsidR="000F3B6F" w:rsidRPr="00E70AA1">
              <w:t xml:space="preserve">MK noteikumu </w:t>
            </w:r>
            <w:r w:rsidRPr="00E70AA1">
              <w:t>12</w:t>
            </w:r>
            <w:r w:rsidRPr="009B0B4A">
              <w:t>.punkts un tā apakšpunkti</w:t>
            </w:r>
            <w:r w:rsidR="000F3B6F">
              <w:t>,</w:t>
            </w:r>
            <w:r w:rsidRPr="009B0B4A">
              <w:t xml:space="preserve"> precizējot  SAM 9.2.4. un 9.2.4.1.pasākumam un 9.2.4.2.pasākumam pieejamo finansējumu</w:t>
            </w:r>
            <w:r w:rsidR="006E417D" w:rsidRPr="009B0B4A">
              <w:t>.</w:t>
            </w:r>
            <w:r w:rsidR="005723EE" w:rsidRPr="009B0B4A">
              <w:t xml:space="preserve"> </w:t>
            </w:r>
            <w:r w:rsidR="00124896" w:rsidRPr="009B0B4A">
              <w:t xml:space="preserve">Attiecīgi 13.punktā noteikts, ka  9.2.4.2. pasākumam pieejamais kopējais attiecināmais finansējums  finansējumu saņēmēju individuālajā līmenī ir publicēts sadarbības iestādes tīmekļvietnē </w:t>
            </w:r>
            <w:hyperlink r:id="rId9" w:history="1">
              <w:r w:rsidR="00124896" w:rsidRPr="009B0B4A">
                <w:t>www.cfla.gov.lv</w:t>
              </w:r>
            </w:hyperlink>
            <w:r w:rsidR="00594960">
              <w:t>.</w:t>
            </w:r>
            <w:r w:rsidR="00124896" w:rsidRPr="009B0B4A">
              <w:t xml:space="preserve"> </w:t>
            </w:r>
          </w:p>
          <w:p w14:paraId="087F8857" w14:textId="236DFEF8" w:rsidR="002C0F0C" w:rsidRPr="009B0B4A" w:rsidRDefault="002C0F0C" w:rsidP="00E03779">
            <w:pPr>
              <w:pStyle w:val="ListParagraph"/>
              <w:numPr>
                <w:ilvl w:val="0"/>
                <w:numId w:val="2"/>
              </w:numPr>
              <w:tabs>
                <w:tab w:val="left" w:pos="2977"/>
              </w:tabs>
              <w:spacing w:before="240" w:after="160"/>
              <w:ind w:left="285" w:right="142" w:hanging="285"/>
              <w:contextualSpacing w:val="0"/>
              <w:jc w:val="both"/>
            </w:pPr>
            <w:r w:rsidRPr="009B0B4A">
              <w:t>MK noteikumu 17.punkts nosaka, ka 9.2.4.1. pasākuma ietvaros finansējuma saņēmējs  sadarbības partneru statusā var deleģēto valsts pārvaldes funkciju ietvaros piesaistīt veselības nozares valsts pārvaldes iestādes. Īstenojot Veselības ministrijas projektu Nr.</w:t>
            </w:r>
            <w:r w:rsidRPr="009B0B4A">
              <w:rPr>
                <w:bCs/>
                <w:shd w:val="clear" w:color="auto" w:fill="FFFFFF"/>
              </w:rPr>
              <w:t>9.2.4.1./16/I/001 "Kompleksi veselības veicināšanas un slimību profilakses pasākumi" (turpmāk – 9.2.4.1. projekts) sākotnēji kā viens no sadarbības partneriem tika piesaistīts</w:t>
            </w:r>
            <w:r w:rsidRPr="009B0B4A">
              <w:rPr>
                <w:shd w:val="clear" w:color="auto" w:fill="FFFFFF"/>
              </w:rPr>
              <w:t xml:space="preserve"> Valsts sporta medicīnas centrs, </w:t>
            </w:r>
            <w:r w:rsidRPr="009B0B4A">
              <w:rPr>
                <w:i/>
              </w:rPr>
              <w:t xml:space="preserve">jo tā darbības funkcijās ietilpst informatīva atbalsta sniegšana valsts pārvaldes institūcijām iedzīvotāju fiziskās veselības aprūpes un sporta politikas īstenošanā. VSMC piedalās sabiedrības veselības stratēģijas īstenošanā, vāc, apkopo un analizē informāciju, kas saistīta ar sabiedrības veselības stratēģijas mērķu sasniegšanu sporta medicīnā un iedzīvotāju fiziskās veselības aprūpē, kā arī veic </w:t>
            </w:r>
            <w:r w:rsidRPr="009B0B4A">
              <w:rPr>
                <w:i/>
              </w:rPr>
              <w:lastRenderedPageBreak/>
              <w:t>izglītības un zinātnisko darbu sporta medicīnā un iedzīvotāju fiziskās veselības aprūpē. Tāpat VSMC veicina un attīsta pētniecības darbu sporta medicīnas (tai skaitā antidopinga) un iedzīvotāju fiziskās veselības aprūpes jomā, kā arī izstrādā metodiskos ieteikumus sporta medicīnas un iedzīvotāju fiziskās veselības aprūpes jomā</w:t>
            </w:r>
            <w:r w:rsidRPr="009B0B4A">
              <w:t xml:space="preserve">. Ar </w:t>
            </w:r>
            <w:r w:rsidRPr="009B0B4A">
              <w:rPr>
                <w:shd w:val="clear" w:color="auto" w:fill="FFFFFF"/>
              </w:rPr>
              <w:t xml:space="preserve">2018.gada 29.maija </w:t>
            </w:r>
            <w:r w:rsidRPr="009B0B4A">
              <w:rPr>
                <w:bCs/>
                <w:shd w:val="clear" w:color="auto" w:fill="FFFFFF"/>
              </w:rPr>
              <w:t>Ministru kabineta rīkojumu Nr.227 “</w:t>
            </w:r>
            <w:r w:rsidRPr="009B0B4A">
              <w:rPr>
                <w:bCs/>
                <w:i/>
                <w:iCs/>
                <w:shd w:val="clear" w:color="auto" w:fill="FFFFFF"/>
              </w:rPr>
              <w:t>Par Veselības ministrijas padotībā esošo valsts pārvaldes iestāžu reorganizāciju”</w:t>
            </w:r>
            <w:r w:rsidRPr="009B0B4A">
              <w:rPr>
                <w:bCs/>
                <w:shd w:val="clear" w:color="auto" w:fill="FFFFFF"/>
              </w:rPr>
              <w:t xml:space="preserve"> </w:t>
            </w:r>
            <w:r w:rsidRPr="009B0B4A">
              <w:rPr>
                <w:shd w:val="clear" w:color="auto" w:fill="FFFFFF"/>
              </w:rPr>
              <w:t>saskaņā ar </w:t>
            </w:r>
            <w:hyperlink r:id="rId10" w:tgtFrame="_blank" w:history="1">
              <w:r w:rsidRPr="009B0B4A">
                <w:rPr>
                  <w:rStyle w:val="Hyperlink"/>
                  <w:color w:val="auto"/>
                  <w:u w:val="none"/>
                  <w:shd w:val="clear" w:color="auto" w:fill="FFFFFF"/>
                </w:rPr>
                <w:t>Valsts pārvaldes iekārtas likuma</w:t>
              </w:r>
            </w:hyperlink>
            <w:r w:rsidRPr="009B0B4A">
              <w:rPr>
                <w:shd w:val="clear" w:color="auto" w:fill="FFFFFF"/>
              </w:rPr>
              <w:t> </w:t>
            </w:r>
            <w:hyperlink r:id="rId11" w:anchor="p15" w:tgtFrame="_blank" w:history="1">
              <w:r w:rsidRPr="009B0B4A">
                <w:rPr>
                  <w:rStyle w:val="Hyperlink"/>
                  <w:color w:val="auto"/>
                  <w:u w:val="none"/>
                  <w:shd w:val="clear" w:color="auto" w:fill="FFFFFF"/>
                </w:rPr>
                <w:t>15.panta</w:t>
              </w:r>
            </w:hyperlink>
            <w:r w:rsidRPr="009B0B4A">
              <w:rPr>
                <w:shd w:val="clear" w:color="auto" w:fill="FFFFFF"/>
              </w:rPr>
              <w:t xml:space="preserve"> trešās daļas 3. un 4.punktu tika reorganizēta Veselības ministrijas padotībā esošā valsts pārvaldes iestāde - Valsts sporta medicīnas centrs un atbilstoši rīkojuma 2.4.apakšpunktam viens no funkciju, tiesību, saistību, finanšu līdzekļu, mantas un lietvedības pārņēmējs ir </w:t>
            </w:r>
            <w:r w:rsidRPr="009B0B4A">
              <w:t>valsts sabiedrība ar ierobežotu atbildību "Bērnu klīniskā universitātes slimnīca"</w:t>
            </w:r>
            <w:r w:rsidR="00C358AA" w:rsidRPr="009B0B4A">
              <w:t xml:space="preserve"> (turpmāk – BKUS)</w:t>
            </w:r>
            <w:r w:rsidRPr="009B0B4A">
              <w:t>, kam ar rīkojumu tika deleģēti šādi valsts pārvaldes uzdevumi:</w:t>
            </w:r>
          </w:p>
          <w:p w14:paraId="326B81D8" w14:textId="77777777" w:rsidR="002C0F0C" w:rsidRPr="009B0B4A" w:rsidRDefault="002C0F0C" w:rsidP="00683BA6">
            <w:pPr>
              <w:pStyle w:val="ListParagraph"/>
              <w:numPr>
                <w:ilvl w:val="1"/>
                <w:numId w:val="2"/>
              </w:numPr>
              <w:tabs>
                <w:tab w:val="left" w:pos="2977"/>
              </w:tabs>
              <w:spacing w:after="160"/>
              <w:ind w:right="142"/>
              <w:jc w:val="both"/>
            </w:pPr>
            <w:r w:rsidRPr="009B0B4A">
              <w:t>apkopot un analizēt datus, kas saistīti ar nepilngadīgu sportistu un bērnu ar paaugstinātu fizisku slodzi fizisko attīstību un sagatavotību;</w:t>
            </w:r>
          </w:p>
          <w:p w14:paraId="39DD9CD5" w14:textId="77777777" w:rsidR="002C0F0C" w:rsidRPr="009B0B4A" w:rsidRDefault="002C0F0C" w:rsidP="00683BA6">
            <w:pPr>
              <w:pStyle w:val="ListParagraph"/>
              <w:numPr>
                <w:ilvl w:val="1"/>
                <w:numId w:val="2"/>
              </w:numPr>
              <w:tabs>
                <w:tab w:val="left" w:pos="2977"/>
              </w:tabs>
              <w:spacing w:after="160"/>
              <w:ind w:right="142"/>
              <w:jc w:val="both"/>
            </w:pPr>
            <w:r w:rsidRPr="009B0B4A">
              <w:t>nodrošināt veselības aprūpi un medicīnisko uzraudzību sportistiem un bērniem ar paaugstinātu fizisko slodzi, koordinēt veselības aprūpes un medicīniskās uzraudzības pasākumus un īstenot sporta medicīnas un iedzīvotāju fiziskās veselības aprūpes programmas;</w:t>
            </w:r>
          </w:p>
          <w:p w14:paraId="5DC87F7F" w14:textId="370AAFAB" w:rsidR="00717131" w:rsidRPr="009B0B4A" w:rsidRDefault="002C0F0C" w:rsidP="00683BA6">
            <w:pPr>
              <w:pStyle w:val="ListParagraph"/>
              <w:numPr>
                <w:ilvl w:val="1"/>
                <w:numId w:val="2"/>
              </w:numPr>
              <w:tabs>
                <w:tab w:val="left" w:pos="2977"/>
              </w:tabs>
              <w:spacing w:after="160"/>
              <w:ind w:right="142"/>
              <w:jc w:val="both"/>
            </w:pPr>
            <w:r w:rsidRPr="009B0B4A">
              <w:t>sniegt valsts un pašvaldību iestādēm, kā arī privātpersonām sporta medicīnas, iedzīvotāju fiziskās veselības aprūpes un medicīniskās rehabilitācijas pakalpojumus.</w:t>
            </w:r>
          </w:p>
          <w:p w14:paraId="37A23414" w14:textId="25776C53" w:rsidR="00C358AA" w:rsidRPr="009B0B4A" w:rsidRDefault="00947AAF" w:rsidP="00E03779">
            <w:pPr>
              <w:tabs>
                <w:tab w:val="left" w:pos="2977"/>
              </w:tabs>
              <w:spacing w:after="160"/>
              <w:ind w:left="285" w:right="142"/>
              <w:jc w:val="both"/>
            </w:pPr>
            <w:r w:rsidRPr="009B0B4A">
              <w:t>Izvērtējot</w:t>
            </w:r>
            <w:r w:rsidR="00C358AA" w:rsidRPr="009B0B4A">
              <w:t xml:space="preserve"> BKUS deleģēto funkciju nodrošināšanu, 9.2.4.1.pasākuma un 9.2.4.1.projekta mērķa sasniegšanai un 9.2.4.pasākuma </w:t>
            </w:r>
            <w:proofErr w:type="spellStart"/>
            <w:r w:rsidR="00C358AA" w:rsidRPr="009B0B4A">
              <w:t>mēr</w:t>
            </w:r>
            <w:r w:rsidR="00FD40F5" w:rsidRPr="009B0B4A">
              <w:t>ķ</w:t>
            </w:r>
            <w:r w:rsidR="00C358AA" w:rsidRPr="009B0B4A">
              <w:t>grupu</w:t>
            </w:r>
            <w:proofErr w:type="spellEnd"/>
            <w:r w:rsidR="00C358AA" w:rsidRPr="009B0B4A">
              <w:t xml:space="preserve"> plašākai aptverei</w:t>
            </w:r>
            <w:r w:rsidR="00A03CF4">
              <w:t>,</w:t>
            </w:r>
            <w:r w:rsidR="00C358AA" w:rsidRPr="009B0B4A">
              <w:t xml:space="preserve"> ir plānots iesaistīt BKUS kā 9.2.4.1. projekta sadarbības partneri veselības veicināšanas un slimību profilakses pasākumu īstenošanai prioritārajās jomās un noteiktajām </w:t>
            </w:r>
            <w:proofErr w:type="spellStart"/>
            <w:r w:rsidR="00C358AA" w:rsidRPr="009B0B4A">
              <w:t>mērķgrupā</w:t>
            </w:r>
            <w:r w:rsidR="00BE700A" w:rsidRPr="009B0B4A">
              <w:t>m</w:t>
            </w:r>
            <w:proofErr w:type="spellEnd"/>
            <w:r w:rsidR="00C358AA" w:rsidRPr="009B0B4A">
              <w:t xml:space="preserve">. BKUS kā sadarbības partnerim deleģētās projekta darbības tiks noteiktas atbilstoši MK noteikumu 22.2.apakšpunktā minētajam veselības veicināšanas un slimību profilakses plānam, kuru apstiprina MK noteikumu 61.punktā minētā  veselības veicināšanas un slimību profilakses </w:t>
            </w:r>
            <w:proofErr w:type="spellStart"/>
            <w:r w:rsidR="00C358AA" w:rsidRPr="009B0B4A">
              <w:t>starpsektoru</w:t>
            </w:r>
            <w:proofErr w:type="spellEnd"/>
            <w:r w:rsidR="00C358AA" w:rsidRPr="009B0B4A">
              <w:t xml:space="preserve"> sadarbības komiteja, tādejādi nodrošinot, ka plānotie BKUS īstenojamie veselības veicināšanas un slimību profilakses pasākumi tiek saskaņoti </w:t>
            </w:r>
            <w:proofErr w:type="spellStart"/>
            <w:r w:rsidR="00C358AA" w:rsidRPr="009B0B4A">
              <w:t>multisektorālās</w:t>
            </w:r>
            <w:proofErr w:type="spellEnd"/>
            <w:r w:rsidR="00C358AA" w:rsidRPr="009B0B4A">
              <w:t xml:space="preserve"> sadarbības ietvaros.</w:t>
            </w:r>
          </w:p>
          <w:p w14:paraId="24DF5148" w14:textId="2ACD1D1F" w:rsidR="002E21E3" w:rsidRPr="009B0B4A" w:rsidRDefault="002E21E3" w:rsidP="00E03779">
            <w:pPr>
              <w:tabs>
                <w:tab w:val="left" w:pos="2977"/>
              </w:tabs>
              <w:spacing w:after="160"/>
              <w:ind w:left="285" w:right="142"/>
              <w:jc w:val="both"/>
            </w:pPr>
            <w:r w:rsidRPr="009B0B4A">
              <w:t>Labākai tiesību akta normas saprotamībai tehniski papildināts 19.punkts, nosakot, ka tas attiecināms uz  9.2.4.1. pasākumu.</w:t>
            </w:r>
          </w:p>
          <w:p w14:paraId="1E3A3288" w14:textId="11C6F5C2" w:rsidR="00B25ED6" w:rsidRPr="009B0B4A" w:rsidRDefault="002E21E3" w:rsidP="00E03779">
            <w:pPr>
              <w:tabs>
                <w:tab w:val="left" w:pos="2977"/>
              </w:tabs>
              <w:spacing w:after="160"/>
              <w:ind w:left="285" w:right="142"/>
              <w:jc w:val="both"/>
              <w:rPr>
                <w:iCs/>
                <w:lang w:eastAsia="lv-LV"/>
              </w:rPr>
            </w:pPr>
            <w:r w:rsidRPr="009B0B4A">
              <w:rPr>
                <w:shd w:val="clear" w:color="auto" w:fill="FFFFFF"/>
              </w:rPr>
              <w:t xml:space="preserve">Ar 2019.gada </w:t>
            </w:r>
            <w:r w:rsidR="00D578EE" w:rsidRPr="009B0B4A">
              <w:rPr>
                <w:shd w:val="clear" w:color="auto" w:fill="FFFFFF"/>
              </w:rPr>
              <w:t>10.septembra</w:t>
            </w:r>
            <w:r w:rsidRPr="009B0B4A">
              <w:rPr>
                <w:shd w:val="clear" w:color="auto" w:fill="FFFFFF"/>
              </w:rPr>
              <w:t xml:space="preserve"> </w:t>
            </w:r>
            <w:r w:rsidR="00D578EE" w:rsidRPr="009B0B4A">
              <w:rPr>
                <w:shd w:val="clear" w:color="auto" w:fill="FFFFFF"/>
              </w:rPr>
              <w:t>Ministru kabineta sēdes</w:t>
            </w:r>
            <w:r w:rsidRPr="009B0B4A">
              <w:rPr>
                <w:shd w:val="clear" w:color="auto" w:fill="FFFFFF"/>
              </w:rPr>
              <w:t xml:space="preserve"> </w:t>
            </w:r>
            <w:proofErr w:type="spellStart"/>
            <w:r w:rsidR="00625FC5" w:rsidRPr="009B0B4A">
              <w:rPr>
                <w:shd w:val="clear" w:color="auto" w:fill="FFFFFF"/>
              </w:rPr>
              <w:t>protokollēmumā</w:t>
            </w:r>
            <w:proofErr w:type="spellEnd"/>
            <w:r w:rsidR="00625FC5" w:rsidRPr="009B0B4A">
              <w:rPr>
                <w:shd w:val="clear" w:color="auto" w:fill="FFFFFF"/>
              </w:rPr>
              <w:t xml:space="preserve"> </w:t>
            </w:r>
            <w:r w:rsidRPr="009B0B4A">
              <w:rPr>
                <w:shd w:val="clear" w:color="auto" w:fill="FFFFFF"/>
              </w:rPr>
              <w:t>Nr.</w:t>
            </w:r>
            <w:r w:rsidR="00D578EE" w:rsidRPr="009B0B4A">
              <w:rPr>
                <w:shd w:val="clear" w:color="auto" w:fill="FFFFFF"/>
              </w:rPr>
              <w:t xml:space="preserve">39 </w:t>
            </w:r>
            <w:bookmarkStart w:id="10" w:name="20"/>
            <w:r w:rsidR="00D578EE" w:rsidRPr="009B0B4A">
              <w:rPr>
                <w:shd w:val="clear" w:color="auto" w:fill="FFFFFF"/>
              </w:rPr>
              <w:t>21.</w:t>
            </w:r>
            <w:r w:rsidRPr="009B0B4A">
              <w:rPr>
                <w:bCs/>
                <w:shd w:val="clear" w:color="auto" w:fill="FFFFFF"/>
              </w:rPr>
              <w:t>§</w:t>
            </w:r>
            <w:bookmarkEnd w:id="10"/>
            <w:r w:rsidRPr="009B0B4A">
              <w:rPr>
                <w:bCs/>
                <w:shd w:val="clear" w:color="auto" w:fill="FFFFFF"/>
              </w:rPr>
              <w:t xml:space="preserve"> </w:t>
            </w:r>
            <w:r w:rsidR="00BE700A" w:rsidRPr="009B0B4A">
              <w:rPr>
                <w:bCs/>
                <w:shd w:val="clear" w:color="auto" w:fill="FFFFFF"/>
              </w:rPr>
              <w:t xml:space="preserve"> </w:t>
            </w:r>
            <w:r w:rsidR="00D578EE" w:rsidRPr="009B0B4A">
              <w:rPr>
                <w:shd w:val="clear" w:color="auto" w:fill="FFFFFF"/>
              </w:rPr>
              <w:t>apstiprināto</w:t>
            </w:r>
            <w:r w:rsidRPr="009B0B4A">
              <w:rPr>
                <w:shd w:val="clear" w:color="auto" w:fill="FFFFFF"/>
              </w:rPr>
              <w:t xml:space="preserve"> Ministru kab</w:t>
            </w:r>
            <w:r w:rsidR="00666709" w:rsidRPr="009B0B4A">
              <w:rPr>
                <w:shd w:val="clear" w:color="auto" w:fill="FFFFFF"/>
              </w:rPr>
              <w:t>ine</w:t>
            </w:r>
            <w:r w:rsidRPr="009B0B4A">
              <w:rPr>
                <w:shd w:val="clear" w:color="auto" w:fill="FFFFFF"/>
              </w:rPr>
              <w:t xml:space="preserve">ta rīkojuma </w:t>
            </w:r>
            <w:r w:rsidR="00D578EE" w:rsidRPr="009B0B4A">
              <w:rPr>
                <w:shd w:val="clear" w:color="auto" w:fill="FFFFFF"/>
              </w:rPr>
              <w:t xml:space="preserve">projektu </w:t>
            </w:r>
            <w:r w:rsidR="00666709" w:rsidRPr="009B0B4A">
              <w:rPr>
                <w:i/>
                <w:iCs/>
                <w:shd w:val="clear" w:color="auto" w:fill="FFFFFF"/>
              </w:rPr>
              <w:t>“</w:t>
            </w:r>
            <w:r w:rsidR="00666709" w:rsidRPr="009B0B4A">
              <w:rPr>
                <w:i/>
                <w:iCs/>
              </w:rPr>
              <w:t xml:space="preserve">Par valsts sabiedrības ar ierobežotu atbildību “Bērnu klīniskā universitātes slimnīca” stratēģisko </w:t>
            </w:r>
            <w:r w:rsidR="00666709" w:rsidRPr="009B0B4A">
              <w:rPr>
                <w:i/>
                <w:iCs/>
              </w:rPr>
              <w:lastRenderedPageBreak/>
              <w:t>mērķi</w:t>
            </w:r>
            <w:r w:rsidR="00666709" w:rsidRPr="009B0B4A">
              <w:rPr>
                <w:i/>
                <w:iCs/>
                <w:shd w:val="clear" w:color="auto" w:fill="FFFFFF"/>
              </w:rPr>
              <w:t>”</w:t>
            </w:r>
            <w:r w:rsidR="00BE700A" w:rsidRPr="009B0B4A">
              <w:rPr>
                <w:i/>
                <w:iCs/>
                <w:shd w:val="clear" w:color="auto" w:fill="FFFFFF"/>
              </w:rPr>
              <w:t xml:space="preserve"> </w:t>
            </w:r>
            <w:r w:rsidR="00BE700A" w:rsidRPr="009B0B4A">
              <w:rPr>
                <w:bCs/>
                <w:shd w:val="clear" w:color="auto" w:fill="FFFFFF"/>
              </w:rPr>
              <w:t>(</w:t>
            </w:r>
            <w:r w:rsidR="00D578EE" w:rsidRPr="009B0B4A">
              <w:rPr>
                <w:shd w:val="clear" w:color="auto" w:fill="FFFFFF"/>
              </w:rPr>
              <w:t>TA-1456</w:t>
            </w:r>
            <w:r w:rsidR="00BE700A" w:rsidRPr="009B0B4A">
              <w:rPr>
                <w:shd w:val="clear" w:color="auto" w:fill="FFFFFF"/>
              </w:rPr>
              <w:t>)</w:t>
            </w:r>
            <w:r w:rsidR="00666709" w:rsidRPr="009B0B4A">
              <w:rPr>
                <w:shd w:val="clear" w:color="auto" w:fill="FFFFFF"/>
              </w:rPr>
              <w:t xml:space="preserve">, kur noteikts, ka </w:t>
            </w:r>
            <w:r w:rsidR="00BE700A" w:rsidRPr="009B0B4A">
              <w:t>p</w:t>
            </w:r>
            <w:r w:rsidR="00666709" w:rsidRPr="009B0B4A">
              <w:t>amatojoties uz Publiskas personas kapitāla daļu un kapitālsabiedrību pārvaldības likuma 1.panta pirmās daļas 18.punktu un 7.pantu, tiek noteikts BKUS</w:t>
            </w:r>
            <w:r w:rsidR="00666709" w:rsidRPr="009B0B4A">
              <w:rPr>
                <w:rFonts w:eastAsia="Calibri"/>
              </w:rPr>
              <w:t xml:space="preserve"> stratēģiskais mērķis –</w:t>
            </w:r>
            <w:r w:rsidR="001777FE" w:rsidRPr="009B0B4A">
              <w:rPr>
                <w:rFonts w:eastAsia="Calibri"/>
              </w:rPr>
              <w:t xml:space="preserve"> </w:t>
            </w:r>
            <w:r w:rsidR="001E1C59" w:rsidRPr="009B0B4A">
              <w:rPr>
                <w:bCs/>
              </w:rPr>
              <w:t>saglabāt, uzlabot un atjaunot bērnu veselību, nodrošinot kvalitatīvus, efektīvus un pieejamus plaša spektra terciārā līmeņa, neatliekamās un plānveida veselības aprūpes pakalpojumus bērniem, vienlaikus nodrošinot klīnisko bāzi ārstniecības personu  izglītībai un zināšanu pārnesi uz reģioniem, kā arī veicinot zinātnes un pētniecības attīstību.</w:t>
            </w:r>
            <w:r w:rsidR="00E05E71" w:rsidRPr="009B0B4A">
              <w:rPr>
                <w:bCs/>
              </w:rPr>
              <w:t xml:space="preserve"> 2019.gada 19.augustā stratēģiskais mērķis apstiprināts ar Ministru kabineta rīkojumu Nr.403 “Par Valsts sabiedrības ar ierobežotu atbildību “Paula Stradiņa klīniskā universitātes slimnīca” vispārējo stratēģisko mērķi”. </w:t>
            </w:r>
            <w:r w:rsidR="00E05E71" w:rsidRPr="009B0B4A">
              <w:t xml:space="preserve"> </w:t>
            </w:r>
          </w:p>
          <w:p w14:paraId="340B103C" w14:textId="1CE3B4ED" w:rsidR="002E21E3" w:rsidRPr="009B0B4A" w:rsidRDefault="00B25ED6" w:rsidP="00E03779">
            <w:pPr>
              <w:tabs>
                <w:tab w:val="left" w:pos="2977"/>
              </w:tabs>
              <w:spacing w:after="160"/>
              <w:ind w:left="285" w:right="142"/>
              <w:jc w:val="both"/>
            </w:pPr>
            <w:r w:rsidRPr="009B0B4A">
              <w:rPr>
                <w:iCs/>
                <w:lang w:eastAsia="lv-LV"/>
              </w:rPr>
              <w:t xml:space="preserve">BKUS kā Veselības ministrijas kapitālsabiedrības stratēģiskais mērķis atspoguļo kapitālsabiedrības dalību Veselības ministrijas misijas </w:t>
            </w:r>
            <w:r w:rsidRPr="009B0B4A">
              <w:rPr>
                <w:i/>
                <w:iCs/>
                <w:lang w:eastAsia="lv-LV"/>
              </w:rPr>
              <w:t>“Uzlabot cilvēku veselību, izglītojot sabiedrību par veselīga dzīvesveida nozīmi veselības saglabāšanā, īstenojot mērķtiecīgus slimību profilakses pasākumus, nodrošinot augstas kvalitātes veselības aprūpes pakalpojumu pieejamību atbilstoši katra indivīda vajadzībām, kā arī sekmējot medicīnas izglītības un zinātnes attīstību”</w:t>
            </w:r>
            <w:r w:rsidRPr="009B0B4A">
              <w:rPr>
                <w:iCs/>
                <w:lang w:eastAsia="lv-LV"/>
              </w:rPr>
              <w:t xml:space="preserve"> īstenošanā, pamatojoties uz 2016.gada 20.decembra Ministru kabineta sēdē izskatīto informatīvo ziņojumu </w:t>
            </w:r>
            <w:r w:rsidRPr="009B0B4A">
              <w:rPr>
                <w:i/>
                <w:lang w:eastAsia="lv-LV"/>
              </w:rPr>
              <w:t>“Par sistēmiski svarīgo ārstniecības iestāžu kartējumu un attīstības reformu”</w:t>
            </w:r>
            <w:r w:rsidRPr="009B0B4A">
              <w:rPr>
                <w:iCs/>
                <w:lang w:eastAsia="lv-LV"/>
              </w:rPr>
              <w:t xml:space="preserve"> (protokols Nr.69 83.§) un Konceptuālo ziņojumu </w:t>
            </w:r>
            <w:r w:rsidRPr="009B0B4A">
              <w:rPr>
                <w:i/>
                <w:lang w:eastAsia="lv-LV"/>
              </w:rPr>
              <w:t>“Par veselības aprūpes sistēmas reformu”</w:t>
            </w:r>
            <w:r w:rsidRPr="009B0B4A">
              <w:rPr>
                <w:iCs/>
                <w:lang w:eastAsia="lv-LV"/>
              </w:rPr>
              <w:t xml:space="preserve">, kas ir apstiprināts ar Ministru kabineta 2017.gada 7.augusta rīkojumu Nr.394 </w:t>
            </w:r>
            <w:r w:rsidRPr="009B0B4A">
              <w:rPr>
                <w:i/>
                <w:lang w:eastAsia="lv-LV"/>
              </w:rPr>
              <w:t>“Par konceptuālo ziņojumu “Par veselības aprūpes sistēmas reformu”</w:t>
            </w:r>
            <w:r w:rsidRPr="009B0B4A">
              <w:rPr>
                <w:iCs/>
                <w:lang w:eastAsia="lv-LV"/>
              </w:rPr>
              <w:t>.</w:t>
            </w:r>
          </w:p>
          <w:p w14:paraId="5BD87219" w14:textId="6C6D4F54" w:rsidR="00E032BD" w:rsidRPr="009B0B4A" w:rsidRDefault="007C3168" w:rsidP="00E03779">
            <w:pPr>
              <w:tabs>
                <w:tab w:val="left" w:pos="2977"/>
              </w:tabs>
              <w:spacing w:after="160"/>
              <w:ind w:left="285" w:right="142"/>
              <w:jc w:val="both"/>
            </w:pPr>
            <w:r w:rsidRPr="009B0B4A">
              <w:t xml:space="preserve">Secīgi atbilstoši </w:t>
            </w:r>
            <w:r w:rsidR="006C706B" w:rsidRPr="009B0B4A">
              <w:t xml:space="preserve">2014.gada 16.decembra Ministru kabineta noteikumu Nr.784 </w:t>
            </w:r>
            <w:r w:rsidR="006C706B" w:rsidRPr="009B0B4A">
              <w:rPr>
                <w:i/>
              </w:rPr>
              <w:t>“Kārtība, kādā Eiropas Savienības struktūrfondu un Kohēzijas fonda vadībā iesaistītās institūcijas nodrošina plānošanas dokumentu sagatavošanu un šo fondu ieviešanu 2014.–2020.gada plānošanas periodā”</w:t>
            </w:r>
            <w:r w:rsidR="006C706B" w:rsidRPr="009B0B4A">
              <w:t xml:space="preserve"> 3.punktā noteiktajiem sadarbības partneru atbilstības nosacījumiem </w:t>
            </w:r>
            <w:r w:rsidRPr="009B0B4A">
              <w:t xml:space="preserve">BKUS līdzdalība 9.2.4.1.projekta darbību īstenošanā  sadarbības partnera statusā ir </w:t>
            </w:r>
            <w:r w:rsidR="006C706B" w:rsidRPr="009B0B4A">
              <w:t>atbalstāma.</w:t>
            </w:r>
          </w:p>
          <w:p w14:paraId="38892DFF" w14:textId="60783900" w:rsidR="00BD6AB8" w:rsidRPr="009B0B4A" w:rsidRDefault="00BD6AB8" w:rsidP="00E03779">
            <w:pPr>
              <w:tabs>
                <w:tab w:val="left" w:pos="2977"/>
              </w:tabs>
              <w:spacing w:after="160"/>
              <w:ind w:left="285" w:right="142"/>
              <w:jc w:val="both"/>
            </w:pPr>
            <w:r w:rsidRPr="009B0B4A">
              <w:t>Būs nepieciešami grozījumi 9.2.4.1.pasākuma projektā.</w:t>
            </w:r>
          </w:p>
          <w:p w14:paraId="6381067C" w14:textId="677D4218" w:rsidR="00BB155A" w:rsidRPr="009B0B4A" w:rsidRDefault="00BB155A" w:rsidP="00BB155A">
            <w:pPr>
              <w:pStyle w:val="ListParagraph"/>
              <w:tabs>
                <w:tab w:val="left" w:pos="795"/>
              </w:tabs>
              <w:spacing w:before="240" w:after="40"/>
              <w:ind w:left="285" w:right="137"/>
              <w:contextualSpacing w:val="0"/>
              <w:jc w:val="both"/>
            </w:pPr>
            <w:r w:rsidRPr="009B0B4A">
              <w:t xml:space="preserve">Papildināts MK noteikumu 21.punkts, nosakot, ka finansējuma saņēmēji un sadarbības partneri, iesaistoties projekta īstenošanā, nodrošina, lai funkcijas, kuras tie pilda projekta īstenošanā, tiktu nodalītas no pamatfunkciju izpildes un saimnieciskās darbības veikšanas, ņemot vērā to, ka  ar noteikumu projekta </w:t>
            </w:r>
            <w:r w:rsidR="00D012A8">
              <w:t>4</w:t>
            </w:r>
            <w:r w:rsidRPr="009B0B4A">
              <w:t xml:space="preserve">.punktu paredzēts, ka 9.2.4.1.pasākuma ietvaros projekta iesniedzējs sadarbības partneru statusā var piesaistīt arī VSIA “Bērnu klīniskās universitātes slimnīca”, kura papildus deleģētajām valsts pārvaldes funkcijām (t.sk. 9.2.4.1.pasākuma ietvaros nesaimnieciska rakstura </w:t>
            </w:r>
            <w:r w:rsidRPr="009B0B4A">
              <w:lastRenderedPageBreak/>
              <w:t>aktivitātes) veic arī saimniecisko darbību (valsts apmaksāto veselības aprūpes pakalpojumu sniegšana un maksas pakalpojumu sniegšana).</w:t>
            </w:r>
          </w:p>
          <w:p w14:paraId="087A1CFD" w14:textId="6C991473" w:rsidR="00732296" w:rsidRPr="009B0B4A" w:rsidRDefault="000F5770" w:rsidP="00E03779">
            <w:pPr>
              <w:pStyle w:val="ListParagraph"/>
              <w:numPr>
                <w:ilvl w:val="0"/>
                <w:numId w:val="2"/>
              </w:numPr>
              <w:tabs>
                <w:tab w:val="left" w:pos="2977"/>
              </w:tabs>
              <w:spacing w:before="120"/>
              <w:ind w:left="285" w:right="142" w:hanging="284"/>
              <w:jc w:val="both"/>
            </w:pPr>
            <w:r w:rsidRPr="009B0B4A">
              <w:t>Ar mērķi mazināt administratīvo slogu</w:t>
            </w:r>
            <w:r w:rsidR="0077672B" w:rsidRPr="009B0B4A">
              <w:t xml:space="preserve"> gan finansējuma saņēmējam, gan uzraugošajām institūcijām,</w:t>
            </w:r>
            <w:r w:rsidRPr="009B0B4A">
              <w:t xml:space="preserve"> tika rasts risinājums vien</w:t>
            </w:r>
            <w:r w:rsidR="0077672B" w:rsidRPr="009B0B4A">
              <w:t>o</w:t>
            </w:r>
            <w:r w:rsidRPr="009B0B4A">
              <w:t>tās likmes metodes izmantošanai</w:t>
            </w:r>
            <w:r w:rsidR="008E51A7" w:rsidRPr="009B0B4A">
              <w:t xml:space="preserve"> saskaņā ar </w:t>
            </w:r>
            <w:r w:rsidR="00034CD9" w:rsidRPr="009B0B4A">
              <w:rPr>
                <w:i/>
                <w:iCs/>
                <w:sz w:val="28"/>
                <w:szCs w:val="28"/>
                <w:shd w:val="clear" w:color="auto" w:fill="FFFFFF"/>
              </w:rPr>
              <w:t xml:space="preserve"> </w:t>
            </w:r>
            <w:r w:rsidR="00034CD9" w:rsidRPr="009B0B4A">
              <w:rPr>
                <w:i/>
                <w:iCs/>
                <w:shd w:val="clear" w:color="auto" w:fill="FFFFFF"/>
              </w:rPr>
              <w:t>Eiropas Parlamenta un Padomes Regulas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00034CD9" w:rsidRPr="009B0B4A">
              <w:rPr>
                <w:sz w:val="28"/>
                <w:szCs w:val="28"/>
                <w:shd w:val="clear" w:color="auto" w:fill="FFFFFF"/>
              </w:rPr>
              <w:t xml:space="preserve"> </w:t>
            </w:r>
            <w:r w:rsidR="00034CD9" w:rsidRPr="009B0B4A">
              <w:t>68.a.panta “</w:t>
            </w:r>
            <w:r w:rsidR="00034CD9" w:rsidRPr="009B0B4A">
              <w:rPr>
                <w:rFonts w:hint="eastAsia"/>
              </w:rPr>
              <w:t>Personāla izmaksas par dotācijām un atmaksājamo palīdzību</w:t>
            </w:r>
            <w:r w:rsidR="00034CD9" w:rsidRPr="009B0B4A">
              <w:t>” 1.punktu</w:t>
            </w:r>
            <w:r w:rsidR="008E51A7" w:rsidRPr="009B0B4A">
              <w:t>,</w:t>
            </w:r>
            <w:r w:rsidR="00034CD9" w:rsidRPr="009B0B4A">
              <w:t>kas nosaka, ka t</w:t>
            </w:r>
            <w:r w:rsidR="00034CD9" w:rsidRPr="009B0B4A">
              <w:rPr>
                <w:rFonts w:hint="eastAsia"/>
              </w:rPr>
              <w:t>iešās personāla izmaksas par darbību var aprēķināt kā vienotu likmi līdz 20 % no tiešajām izmaksām, kas neaptver minētās darbības personāla izmaksas. Dalībvalstīm nav jāveic nekādi aprēķini, lai noteiktu piemērojamo likmi, ar noteikumu, ka darbības tiešās izmaksas neietver publiskus būvdarbu līgumus, kuru vērtība pārsniedz Direktīvas 2014/24/ES 4. panta a) apakšpunktā noteikto robežvērtību</w:t>
            </w:r>
            <w:r w:rsidR="00034CD9" w:rsidRPr="009B0B4A">
              <w:t xml:space="preserve">.  </w:t>
            </w:r>
            <w:r w:rsidR="008E51A7" w:rsidRPr="009B0B4A">
              <w:t xml:space="preserve"> </w:t>
            </w:r>
            <w:r w:rsidR="00034CD9" w:rsidRPr="009B0B4A">
              <w:t xml:space="preserve">Līdz </w:t>
            </w:r>
            <w:r w:rsidR="008E51A7" w:rsidRPr="009B0B4A">
              <w:t xml:space="preserve">ar to </w:t>
            </w:r>
            <w:r w:rsidR="00034CD9" w:rsidRPr="009B0B4A">
              <w:t xml:space="preserve">finansējuma saņēmēju un sadarbības partneru </w:t>
            </w:r>
            <w:r w:rsidR="008E51A7" w:rsidRPr="009B0B4A">
              <w:t>projekta vadības</w:t>
            </w:r>
            <w:r w:rsidR="000B333A" w:rsidRPr="009B0B4A">
              <w:t xml:space="preserve"> </w:t>
            </w:r>
            <w:r w:rsidR="008E51A7" w:rsidRPr="009B0B4A">
              <w:t>un īstenošanas personāla</w:t>
            </w:r>
            <w:r w:rsidR="00034CD9" w:rsidRPr="009B0B4A">
              <w:t xml:space="preserve"> atlīdzības</w:t>
            </w:r>
            <w:r w:rsidR="008E51A7" w:rsidRPr="009B0B4A">
              <w:t xml:space="preserve"> izmaksas plāno kā vienu izmaksu pozīciju, piemērojot vienoto likmi </w:t>
            </w:r>
            <w:r w:rsidR="00034CD9" w:rsidRPr="009B0B4A">
              <w:t>1</w:t>
            </w:r>
            <w:r w:rsidR="00DD4E72" w:rsidRPr="009B0B4A">
              <w:t>8</w:t>
            </w:r>
            <w:r w:rsidR="008E51A7" w:rsidRPr="009B0B4A">
              <w:t xml:space="preserve"> procentu apmērā no 9.2.4.1. pasākuma projekta pārējām tiešajām attiecināmajām</w:t>
            </w:r>
            <w:r w:rsidR="00034CD9" w:rsidRPr="009B0B4A">
              <w:t xml:space="preserve"> īstenošanas</w:t>
            </w:r>
            <w:r w:rsidR="008E51A7" w:rsidRPr="009B0B4A">
              <w:t xml:space="preserve"> izmaksā</w:t>
            </w:r>
            <w:r w:rsidR="000B333A" w:rsidRPr="009B0B4A">
              <w:t>m</w:t>
            </w:r>
            <w:r w:rsidR="008E51A7" w:rsidRPr="009B0B4A">
              <w:t>,</w:t>
            </w:r>
            <w:r w:rsidR="00034CD9" w:rsidRPr="009B0B4A">
              <w:t xml:space="preserve"> </w:t>
            </w:r>
            <w:r w:rsidR="008E51A7" w:rsidRPr="009B0B4A">
              <w:t xml:space="preserve">savukārt </w:t>
            </w:r>
            <w:r w:rsidR="000B333A" w:rsidRPr="009B0B4A">
              <w:t xml:space="preserve">9.2.4.2.pasākumā vienotā likme noteikta </w:t>
            </w:r>
            <w:r w:rsidR="00034CD9" w:rsidRPr="009B0B4A">
              <w:t>10</w:t>
            </w:r>
            <w:r w:rsidR="000B333A" w:rsidRPr="009B0B4A">
              <w:t xml:space="preserve"> procentu apmērā</w:t>
            </w:r>
            <w:r w:rsidR="00084A86" w:rsidRPr="009B0B4A">
              <w:t xml:space="preserve"> no pārējām tiešajām attiecināmajām </w:t>
            </w:r>
            <w:r w:rsidR="00034CD9" w:rsidRPr="009B0B4A">
              <w:t xml:space="preserve">īstenošanas </w:t>
            </w:r>
            <w:r w:rsidR="00084A86" w:rsidRPr="009B0B4A">
              <w:t>izmaksām</w:t>
            </w:r>
            <w:r w:rsidR="00034CD9" w:rsidRPr="009B0B4A">
              <w:t xml:space="preserve">. </w:t>
            </w:r>
            <w:r w:rsidR="000B333A" w:rsidRPr="009B0B4A">
              <w:t xml:space="preserve">Likmju </w:t>
            </w:r>
            <w:r w:rsidR="00D012A8">
              <w:t>apmērs</w:t>
            </w:r>
            <w:r w:rsidR="00D012A8" w:rsidRPr="009B0B4A">
              <w:t xml:space="preserve"> </w:t>
            </w:r>
            <w:r w:rsidR="000B333A" w:rsidRPr="009B0B4A">
              <w:t>saskaņots ar Finanšu ministriju kā vadošo iestādi.</w:t>
            </w:r>
          </w:p>
          <w:p w14:paraId="4497B90D" w14:textId="51C740D6" w:rsidR="000B333A" w:rsidRPr="009B0B4A" w:rsidRDefault="00683BA6" w:rsidP="00E03779">
            <w:pPr>
              <w:pStyle w:val="ListParagraph"/>
              <w:tabs>
                <w:tab w:val="left" w:pos="2977"/>
              </w:tabs>
              <w:spacing w:before="240" w:after="160"/>
              <w:ind w:left="285" w:right="142"/>
              <w:jc w:val="both"/>
              <w:rPr>
                <w:b/>
                <w:bCs/>
              </w:rPr>
            </w:pPr>
            <w:r w:rsidRPr="009B0B4A">
              <w:rPr>
                <w:bCs/>
              </w:rPr>
              <w:t xml:space="preserve">Attiecīgi precizēts </w:t>
            </w:r>
            <w:r w:rsidR="00F43E2B" w:rsidRPr="009B0B4A">
              <w:rPr>
                <w:bCs/>
              </w:rPr>
              <w:t xml:space="preserve">MK noteikumu </w:t>
            </w:r>
            <w:r w:rsidRPr="009B0B4A">
              <w:rPr>
                <w:bCs/>
              </w:rPr>
              <w:t>23.</w:t>
            </w:r>
            <w:r w:rsidR="009414D8" w:rsidRPr="009B0B4A">
              <w:rPr>
                <w:bCs/>
              </w:rPr>
              <w:t>,</w:t>
            </w:r>
            <w:r w:rsidR="000B333A" w:rsidRPr="009B0B4A">
              <w:rPr>
                <w:bCs/>
              </w:rPr>
              <w:t xml:space="preserve"> </w:t>
            </w:r>
            <w:r w:rsidR="008472A8" w:rsidRPr="009B0B4A">
              <w:rPr>
                <w:bCs/>
              </w:rPr>
              <w:t xml:space="preserve">29. </w:t>
            </w:r>
            <w:r w:rsidR="00627AE1" w:rsidRPr="009B0B4A">
              <w:rPr>
                <w:bCs/>
              </w:rPr>
              <w:t>32</w:t>
            </w:r>
            <w:r w:rsidR="007F3BF6" w:rsidRPr="009B0B4A">
              <w:rPr>
                <w:bCs/>
              </w:rPr>
              <w:t xml:space="preserve">, </w:t>
            </w:r>
            <w:r w:rsidR="000B333A" w:rsidRPr="009B0B4A">
              <w:rPr>
                <w:bCs/>
              </w:rPr>
              <w:t>35.</w:t>
            </w:r>
            <w:r w:rsidR="007F3BF6" w:rsidRPr="009B0B4A">
              <w:rPr>
                <w:bCs/>
              </w:rPr>
              <w:t>, un 4</w:t>
            </w:r>
            <w:r w:rsidR="00627AE1" w:rsidRPr="009B0B4A">
              <w:rPr>
                <w:bCs/>
              </w:rPr>
              <w:t>1</w:t>
            </w:r>
            <w:r w:rsidR="007F3BF6" w:rsidRPr="009B0B4A">
              <w:rPr>
                <w:bCs/>
              </w:rPr>
              <w:t xml:space="preserve">. </w:t>
            </w:r>
            <w:r w:rsidR="000B333A" w:rsidRPr="009B0B4A">
              <w:rPr>
                <w:bCs/>
              </w:rPr>
              <w:t>punkts,</w:t>
            </w:r>
            <w:r w:rsidR="009414D8" w:rsidRPr="009B0B4A">
              <w:rPr>
                <w:bCs/>
              </w:rPr>
              <w:t xml:space="preserve"> svītrots </w:t>
            </w:r>
            <w:r w:rsidR="000B333A" w:rsidRPr="009B0B4A">
              <w:rPr>
                <w:bCs/>
              </w:rPr>
              <w:t>44.</w:t>
            </w:r>
            <w:r w:rsidR="009414D8" w:rsidRPr="009B0B4A">
              <w:rPr>
                <w:bCs/>
              </w:rPr>
              <w:t>punkts,</w:t>
            </w:r>
            <w:r w:rsidR="000B333A" w:rsidRPr="009B0B4A">
              <w:rPr>
                <w:bCs/>
              </w:rPr>
              <w:t xml:space="preserve"> </w:t>
            </w:r>
            <w:r w:rsidR="009414D8" w:rsidRPr="009B0B4A">
              <w:rPr>
                <w:bCs/>
              </w:rPr>
              <w:t xml:space="preserve">jo </w:t>
            </w:r>
            <w:r w:rsidR="007F3BF6" w:rsidRPr="009B0B4A">
              <w:rPr>
                <w:bCs/>
              </w:rPr>
              <w:t xml:space="preserve">zaudējis </w:t>
            </w:r>
            <w:r w:rsidR="009414D8" w:rsidRPr="009B0B4A">
              <w:rPr>
                <w:bCs/>
              </w:rPr>
              <w:t xml:space="preserve">aktualitāti sakarā ar to, ka 9.2.4.1.pasākuma </w:t>
            </w:r>
            <w:r w:rsidR="00A12104" w:rsidRPr="009B0B4A">
              <w:rPr>
                <w:bCs/>
              </w:rPr>
              <w:t xml:space="preserve">un 9.2.4.2.pasākuma </w:t>
            </w:r>
            <w:r w:rsidR="009414D8" w:rsidRPr="009B0B4A">
              <w:rPr>
                <w:bCs/>
              </w:rPr>
              <w:t>finansējuma saņēmēj</w:t>
            </w:r>
            <w:r w:rsidR="000608AB" w:rsidRPr="009B0B4A">
              <w:rPr>
                <w:bCs/>
              </w:rPr>
              <w:t>u</w:t>
            </w:r>
            <w:r w:rsidR="009414D8" w:rsidRPr="009B0B4A">
              <w:rPr>
                <w:bCs/>
              </w:rPr>
              <w:t xml:space="preserve"> projekta vadības un īstenošanas personāla atlīdzības izmaksas tiks attiecinātas saskaņā ar  vienoto likmi</w:t>
            </w:r>
            <w:r w:rsidR="00464827" w:rsidRPr="009B0B4A">
              <w:rPr>
                <w:bCs/>
              </w:rPr>
              <w:t>,</w:t>
            </w:r>
            <w:r w:rsidR="000608AB" w:rsidRPr="009B0B4A">
              <w:rPr>
                <w:bCs/>
              </w:rPr>
              <w:t xml:space="preserve"> kas tiek aprēķināta</w:t>
            </w:r>
            <w:r w:rsidR="009414D8" w:rsidRPr="009B0B4A">
              <w:rPr>
                <w:bCs/>
              </w:rPr>
              <w:t xml:space="preserve"> no projekta pārējām īstenošanas izmaksām</w:t>
            </w:r>
            <w:r w:rsidR="009414D8" w:rsidRPr="009B0B4A">
              <w:rPr>
                <w:b/>
                <w:bCs/>
              </w:rPr>
              <w:t>.</w:t>
            </w:r>
          </w:p>
          <w:p w14:paraId="37B32FCA" w14:textId="4EA70A45" w:rsidR="008472A8" w:rsidRPr="00E70AA1" w:rsidRDefault="008472A8" w:rsidP="006251EF">
            <w:pPr>
              <w:pStyle w:val="ListParagraph"/>
              <w:tabs>
                <w:tab w:val="left" w:pos="2977"/>
              </w:tabs>
              <w:spacing w:before="240" w:after="160"/>
              <w:ind w:left="285" w:right="142"/>
              <w:jc w:val="both"/>
              <w:rPr>
                <w:lang w:eastAsia="lv-LV"/>
              </w:rPr>
            </w:pPr>
            <w:r w:rsidRPr="009B0B4A">
              <w:rPr>
                <w:lang w:eastAsia="lv-LV"/>
              </w:rPr>
              <w:t xml:space="preserve">29.punktā </w:t>
            </w:r>
            <w:r w:rsidR="002479D6">
              <w:rPr>
                <w:lang w:eastAsia="lv-LV"/>
              </w:rPr>
              <w:t xml:space="preserve">noteiktas </w:t>
            </w:r>
            <w:r w:rsidR="002479D6" w:rsidRPr="009B0B4A">
              <w:rPr>
                <w:bCs/>
              </w:rPr>
              <w:t>MK noteikumu Nr.310 22.7.ap</w:t>
            </w:r>
            <w:r w:rsidR="007F4032">
              <w:rPr>
                <w:bCs/>
              </w:rPr>
              <w:t>ak</w:t>
            </w:r>
            <w:r w:rsidR="002479D6" w:rsidRPr="009B0B4A">
              <w:rPr>
                <w:bCs/>
              </w:rPr>
              <w:t>špunktā minētās atbalstāmās darbība</w:t>
            </w:r>
            <w:r w:rsidR="002479D6">
              <w:rPr>
                <w:bCs/>
              </w:rPr>
              <w:t xml:space="preserve">s, kas ietver </w:t>
            </w:r>
            <w:r w:rsidR="002479D6" w:rsidRPr="002479D6">
              <w:rPr>
                <w:bCs/>
              </w:rPr>
              <w:t>ar veselības veicināšanas un slimību profilakses pasākumu uzraudzību saistītās  izmaksas</w:t>
            </w:r>
            <w:r w:rsidR="002479D6">
              <w:rPr>
                <w:bCs/>
              </w:rPr>
              <w:t>,</w:t>
            </w:r>
            <w:r w:rsidR="002479D6" w:rsidRPr="002479D6">
              <w:rPr>
                <w:bCs/>
              </w:rPr>
              <w:t xml:space="preserve"> </w:t>
            </w:r>
            <w:r w:rsidRPr="002479D6">
              <w:rPr>
                <w:bCs/>
              </w:rPr>
              <w:t>tai skaitā normatīvajos aktos noteiktos nodokļus.</w:t>
            </w:r>
            <w:r w:rsidRPr="009B0B4A">
              <w:rPr>
                <w:lang w:eastAsia="lv-LV"/>
              </w:rPr>
              <w:t xml:space="preserve"> Tāpat 9.2.4.1.projektā uzraudzības pasākumiem tiek izmantotas finansējuma saņēmēja un sadarbības partneru īstenošanas atlīdzības izmaksas. Pie atlīdzības likmes </w:t>
            </w:r>
            <w:r w:rsidR="005901AE" w:rsidRPr="0060056E">
              <w:rPr>
                <w:lang w:eastAsia="lv-LV"/>
              </w:rPr>
              <w:t>noteikšanas</w:t>
            </w:r>
            <w:r w:rsidRPr="009B0B4A">
              <w:rPr>
                <w:lang w:eastAsia="lv-LV"/>
              </w:rPr>
              <w:t xml:space="preserve"> būtiski ir nodalīt atlīdzības izmaksas un </w:t>
            </w:r>
            <w:r w:rsidR="0060056E" w:rsidRPr="00592742">
              <w:t xml:space="preserve"> projekta pārējās tiešās attiecināmās īstenošanas izmaksas</w:t>
            </w:r>
            <w:r w:rsidR="005901AE" w:rsidRPr="005901AE">
              <w:rPr>
                <w:lang w:eastAsia="lv-LV"/>
              </w:rPr>
              <w:t xml:space="preserve">, </w:t>
            </w:r>
            <w:r w:rsidR="005901AE" w:rsidRPr="00A342DB">
              <w:rPr>
                <w:lang w:eastAsia="lv-LV"/>
              </w:rPr>
              <w:t xml:space="preserve">lai nodrošinātu </w:t>
            </w:r>
            <w:proofErr w:type="spellStart"/>
            <w:r w:rsidR="005901AE" w:rsidRPr="00A342DB">
              <w:rPr>
                <w:lang w:eastAsia="lv-LV"/>
              </w:rPr>
              <w:t>dubultfinansējuma</w:t>
            </w:r>
            <w:proofErr w:type="spellEnd"/>
            <w:r w:rsidR="005901AE" w:rsidRPr="00A342DB">
              <w:rPr>
                <w:lang w:eastAsia="lv-LV"/>
              </w:rPr>
              <w:t xml:space="preserve"> riska novērša</w:t>
            </w:r>
            <w:r w:rsidR="000F7F56">
              <w:rPr>
                <w:lang w:eastAsia="lv-LV"/>
              </w:rPr>
              <w:t>nu</w:t>
            </w:r>
            <w:r w:rsidRPr="00A342DB">
              <w:rPr>
                <w:lang w:eastAsia="lv-LV"/>
              </w:rPr>
              <w:t>.</w:t>
            </w:r>
            <w:r w:rsidRPr="009B0B4A">
              <w:rPr>
                <w:lang w:eastAsia="lv-LV"/>
              </w:rPr>
              <w:t xml:space="preserve"> Ņemot vērā, ka uzraudzības izmaksas pēc būtības ir personāla atlīdzības izmaksas</w:t>
            </w:r>
            <w:r w:rsidR="000F7F56">
              <w:rPr>
                <w:lang w:eastAsia="lv-LV"/>
              </w:rPr>
              <w:t>,</w:t>
            </w:r>
            <w:r w:rsidRPr="009B0B4A">
              <w:rPr>
                <w:lang w:eastAsia="lv-LV"/>
              </w:rPr>
              <w:t xml:space="preserve"> nevis īstenošanas izmaksas, turpmāk izmaksas par uzraudzību tiks iekļautas atlīdzības </w:t>
            </w:r>
            <w:r w:rsidRPr="009B0B4A">
              <w:rPr>
                <w:lang w:eastAsia="lv-LV"/>
              </w:rPr>
              <w:lastRenderedPageBreak/>
              <w:t>izmaksu pozīcijā</w:t>
            </w:r>
            <w:r w:rsidR="00A342DB">
              <w:rPr>
                <w:lang w:eastAsia="lv-LV"/>
              </w:rPr>
              <w:t>.</w:t>
            </w:r>
            <w:r w:rsidRPr="009B0B4A">
              <w:rPr>
                <w:lang w:eastAsia="lv-LV"/>
              </w:rPr>
              <w:t xml:space="preserve"> Attiecīgi atsauce uz 22.7.</w:t>
            </w:r>
            <w:r w:rsidR="005901AE">
              <w:rPr>
                <w:lang w:eastAsia="lv-LV"/>
              </w:rPr>
              <w:t>apakš</w:t>
            </w:r>
            <w:r w:rsidRPr="009B0B4A">
              <w:rPr>
                <w:lang w:eastAsia="lv-LV"/>
              </w:rPr>
              <w:t>punkt</w:t>
            </w:r>
            <w:r w:rsidR="005901AE">
              <w:rPr>
                <w:lang w:eastAsia="lv-LV"/>
              </w:rPr>
              <w:t>u</w:t>
            </w:r>
            <w:r w:rsidRPr="009B0B4A">
              <w:rPr>
                <w:lang w:eastAsia="lv-LV"/>
              </w:rPr>
              <w:t xml:space="preserve"> noteikta 23.punktā. Precizēts </w:t>
            </w:r>
            <w:r w:rsidR="0060056E">
              <w:rPr>
                <w:lang w:eastAsia="lv-LV"/>
              </w:rPr>
              <w:t xml:space="preserve">24.1.apakšpunkts, 28., </w:t>
            </w:r>
            <w:r w:rsidRPr="009B0B4A">
              <w:rPr>
                <w:lang w:eastAsia="lv-LV"/>
              </w:rPr>
              <w:t>29.punkts, savukārt 32.2.apakšpunktā dzēsta atsauce uz 29.punktu.</w:t>
            </w:r>
            <w:r w:rsidR="00C21B69">
              <w:rPr>
                <w:lang w:eastAsia="lv-LV"/>
              </w:rPr>
              <w:t xml:space="preserve"> </w:t>
            </w:r>
            <w:r w:rsidR="006251EF" w:rsidRPr="00E70AA1">
              <w:rPr>
                <w:lang w:eastAsia="lv-LV"/>
              </w:rPr>
              <w:t>28.punktā noteiktais finansējums ietver  visas ar pētījumu īstenošanu un informācijas izplatīšanu par sabiedrības veselības pētījumiem saistītās izmaksas</w:t>
            </w:r>
            <w:r w:rsidR="00BB1647" w:rsidRPr="00E70AA1">
              <w:rPr>
                <w:lang w:eastAsia="lv-LV"/>
              </w:rPr>
              <w:t>.</w:t>
            </w:r>
            <w:r w:rsidR="00E70AA1" w:rsidRPr="00E70AA1">
              <w:rPr>
                <w:i/>
                <w:iCs/>
              </w:rPr>
              <w:t xml:space="preserve">, </w:t>
            </w:r>
            <w:r w:rsidR="00E70AA1" w:rsidRPr="00E70AA1">
              <w:t xml:space="preserve">piemēram, pētījumu metodoloģijas izstrādi, informācijas izplatīšanu par sabiedrības veselības pētījumiem un to rezultātiem </w:t>
            </w:r>
            <w:proofErr w:type="spellStart"/>
            <w:r w:rsidR="00E70AA1" w:rsidRPr="00E70AA1">
              <w:t>u.c</w:t>
            </w:r>
            <w:proofErr w:type="spellEnd"/>
            <w:r w:rsidR="00E70AA1" w:rsidRPr="00E70AA1" w:rsidDel="00BB1647">
              <w:rPr>
                <w:lang w:eastAsia="lv-LV"/>
              </w:rPr>
              <w:t xml:space="preserve"> </w:t>
            </w:r>
            <w:r w:rsidR="00E70AA1" w:rsidRPr="00E70AA1">
              <w:rPr>
                <w:lang w:eastAsia="lv-LV"/>
              </w:rPr>
              <w:t>.</w:t>
            </w:r>
          </w:p>
          <w:p w14:paraId="6273F847" w14:textId="58A38607" w:rsidR="0032206B" w:rsidRPr="00400EAA" w:rsidRDefault="00B10DA2" w:rsidP="00400EAA">
            <w:pPr>
              <w:pStyle w:val="ListParagraph"/>
              <w:tabs>
                <w:tab w:val="left" w:pos="2977"/>
              </w:tabs>
              <w:spacing w:before="240" w:after="160"/>
              <w:ind w:left="285" w:right="142"/>
              <w:jc w:val="both"/>
            </w:pPr>
            <w:r w:rsidRPr="006251EF">
              <w:rPr>
                <w:lang w:eastAsia="lv-LV"/>
              </w:rPr>
              <w:t>Lai 9.2.4.1.pasākumam un 9.2.4.2.</w:t>
            </w:r>
            <w:r w:rsidRPr="009B0B4A">
              <w:rPr>
                <w:bCs/>
              </w:rPr>
              <w:t>pasākumam  piemērotās vienotās likmes apmērs būtu taisnīgs un objektīvs</w:t>
            </w:r>
            <w:r w:rsidR="005901AE">
              <w:rPr>
                <w:bCs/>
              </w:rPr>
              <w:t>,</w:t>
            </w:r>
            <w:r w:rsidR="00C05E2C" w:rsidRPr="009B0B4A">
              <w:rPr>
                <w:bCs/>
              </w:rPr>
              <w:t xml:space="preserve"> un pret visiem finansējuma saņēmējiem tiktu nodrošināta vienlīdzīga </w:t>
            </w:r>
            <w:r w:rsidR="00C05E2C" w:rsidRPr="00400EAA">
              <w:rPr>
                <w:bCs/>
              </w:rPr>
              <w:t>attieksme</w:t>
            </w:r>
            <w:r w:rsidR="005901AE" w:rsidRPr="00400EAA">
              <w:rPr>
                <w:bCs/>
              </w:rPr>
              <w:t xml:space="preserve"> pasākuma ietvaros</w:t>
            </w:r>
            <w:r w:rsidRPr="00400EAA">
              <w:rPr>
                <w:bCs/>
              </w:rPr>
              <w:t>,</w:t>
            </w:r>
            <w:r w:rsidRPr="009B0B4A">
              <w:rPr>
                <w:bCs/>
              </w:rPr>
              <w:t xml:space="preserve"> tas ir aprēķin</w:t>
            </w:r>
            <w:r w:rsidR="00C05E2C" w:rsidRPr="009B0B4A">
              <w:rPr>
                <w:bCs/>
              </w:rPr>
              <w:t>āts</w:t>
            </w:r>
            <w:r w:rsidR="000F7F56">
              <w:rPr>
                <w:bCs/>
              </w:rPr>
              <w:t>,</w:t>
            </w:r>
            <w:r w:rsidRPr="009B0B4A">
              <w:rPr>
                <w:bCs/>
              </w:rPr>
              <w:t xml:space="preserve"> balstoties uz abu pasākumu īstenošanā esošo projektu datiem</w:t>
            </w:r>
            <w:r w:rsidR="000E6EF8">
              <w:rPr>
                <w:bCs/>
              </w:rPr>
              <w:t>. 9.2.4.1.pasākumam izmantoti dati</w:t>
            </w:r>
            <w:r w:rsidR="000820AE">
              <w:rPr>
                <w:bCs/>
              </w:rPr>
              <w:t xml:space="preserve"> par laika periodu</w:t>
            </w:r>
            <w:r w:rsidR="000820AE" w:rsidRPr="000820AE">
              <w:rPr>
                <w:bCs/>
              </w:rPr>
              <w:t xml:space="preserve"> no 2016.gada 1.novembra  līdz 2019.gada 31.maijam, savukārt 9.2.4.2.pasākumam par laika periodu no 2016.gada 20.decembra līdz 2019.gada 31.decembrim</w:t>
            </w:r>
            <w:r w:rsidRPr="009B0B4A">
              <w:rPr>
                <w:bCs/>
              </w:rPr>
              <w:t>.</w:t>
            </w:r>
          </w:p>
          <w:p w14:paraId="31074139" w14:textId="12A383DC" w:rsidR="000B333A" w:rsidRPr="009B0B4A" w:rsidRDefault="00627AE1" w:rsidP="00E03779">
            <w:pPr>
              <w:pStyle w:val="ListParagraph"/>
              <w:tabs>
                <w:tab w:val="left" w:pos="2977"/>
              </w:tabs>
              <w:spacing w:before="240" w:after="160"/>
              <w:ind w:left="285" w:right="142"/>
              <w:jc w:val="both"/>
              <w:rPr>
                <w:bCs/>
              </w:rPr>
            </w:pPr>
            <w:r w:rsidRPr="009B0B4A">
              <w:rPr>
                <w:bCs/>
              </w:rPr>
              <w:t>MK noteikumu</w:t>
            </w:r>
            <w:r w:rsidR="00F43E2B" w:rsidRPr="009B0B4A">
              <w:rPr>
                <w:bCs/>
              </w:rPr>
              <w:t xml:space="preserve"> </w:t>
            </w:r>
            <w:r w:rsidR="00BE0F6C" w:rsidRPr="009B0B4A">
              <w:rPr>
                <w:bCs/>
              </w:rPr>
              <w:t>33.</w:t>
            </w:r>
            <w:r w:rsidR="006A5138" w:rsidRPr="009B0B4A">
              <w:rPr>
                <w:bCs/>
              </w:rPr>
              <w:t xml:space="preserve"> un 42.punkts </w:t>
            </w:r>
            <w:r w:rsidRPr="009B0B4A">
              <w:rPr>
                <w:bCs/>
              </w:rPr>
              <w:t xml:space="preserve">paredz </w:t>
            </w:r>
            <w:r w:rsidR="00BE0F6C" w:rsidRPr="009B0B4A">
              <w:rPr>
                <w:bCs/>
              </w:rPr>
              <w:t xml:space="preserve">netiešās </w:t>
            </w:r>
            <w:r w:rsidR="0006341D" w:rsidRPr="009B0B4A">
              <w:rPr>
                <w:bCs/>
              </w:rPr>
              <w:t xml:space="preserve">attiecināmās </w:t>
            </w:r>
            <w:r w:rsidR="00BE0F6C" w:rsidRPr="009B0B4A">
              <w:rPr>
                <w:bCs/>
              </w:rPr>
              <w:t>izmaksas</w:t>
            </w:r>
            <w:r w:rsidR="0006341D" w:rsidRPr="009B0B4A">
              <w:rPr>
                <w:bCs/>
              </w:rPr>
              <w:t>, ko piemēro</w:t>
            </w:r>
            <w:r w:rsidR="00BE0F6C" w:rsidRPr="009B0B4A">
              <w:rPr>
                <w:bCs/>
              </w:rPr>
              <w:t xml:space="preserve"> </w:t>
            </w:r>
            <w:r w:rsidR="0006341D" w:rsidRPr="009B0B4A">
              <w:rPr>
                <w:bCs/>
              </w:rPr>
              <w:t xml:space="preserve">kā </w:t>
            </w:r>
            <w:r w:rsidR="000737E1" w:rsidRPr="009B0B4A">
              <w:rPr>
                <w:bCs/>
              </w:rPr>
              <w:t xml:space="preserve">netiešo izmaksu </w:t>
            </w:r>
            <w:r w:rsidR="0006341D" w:rsidRPr="009B0B4A">
              <w:rPr>
                <w:bCs/>
              </w:rPr>
              <w:t xml:space="preserve">vienoto likmi 15% apmērā </w:t>
            </w:r>
            <w:r w:rsidR="006D1555" w:rsidRPr="00A342DB">
              <w:rPr>
                <w:bCs/>
              </w:rPr>
              <w:t>no</w:t>
            </w:r>
            <w:r w:rsidR="006D1555" w:rsidRPr="009B0B4A">
              <w:rPr>
                <w:bCs/>
              </w:rPr>
              <w:t xml:space="preserve"> </w:t>
            </w:r>
            <w:r w:rsidR="0006341D" w:rsidRPr="009B0B4A">
              <w:rPr>
                <w:bCs/>
              </w:rPr>
              <w:t>MK noteikumu</w:t>
            </w:r>
            <w:r w:rsidR="00BE0F6C" w:rsidRPr="009B0B4A">
              <w:rPr>
                <w:bCs/>
              </w:rPr>
              <w:t xml:space="preserve"> </w:t>
            </w:r>
            <w:r w:rsidR="0006341D" w:rsidRPr="009B0B4A">
              <w:rPr>
                <w:bCs/>
              </w:rPr>
              <w:t>32.1</w:t>
            </w:r>
            <w:r w:rsidR="00BE0F6C" w:rsidRPr="009B0B4A">
              <w:rPr>
                <w:bCs/>
              </w:rPr>
              <w:t>.</w:t>
            </w:r>
            <w:r w:rsidR="0006341D" w:rsidRPr="009B0B4A">
              <w:rPr>
                <w:bCs/>
              </w:rPr>
              <w:t xml:space="preserve"> un 41.1.apakšpunktā minētajām  projekta vadības un īstenošanas personāla atlīdzības izmaksām, kurām savukārt saskaņā ar 23. un 35.punktā noteikto ir piemērotas vienotās likmes</w:t>
            </w:r>
            <w:r w:rsidR="00B84A55" w:rsidRPr="009B0B4A">
              <w:rPr>
                <w:bCs/>
              </w:rPr>
              <w:t xml:space="preserve">. </w:t>
            </w:r>
            <w:r w:rsidR="0032206B" w:rsidRPr="009B0B4A">
              <w:rPr>
                <w:bCs/>
              </w:rPr>
              <w:t xml:space="preserve">Galvenā vienotās likmes nodrošinātā priekšrocība ir </w:t>
            </w:r>
            <w:r w:rsidR="002078B8" w:rsidRPr="009B0B4A">
              <w:rPr>
                <w:bCs/>
              </w:rPr>
              <w:t>administratīv</w:t>
            </w:r>
            <w:r w:rsidR="0032206B" w:rsidRPr="009B0B4A">
              <w:rPr>
                <w:bCs/>
              </w:rPr>
              <w:t xml:space="preserve">ā </w:t>
            </w:r>
            <w:r w:rsidR="002078B8" w:rsidRPr="009B0B4A">
              <w:rPr>
                <w:bCs/>
              </w:rPr>
              <w:t>slog</w:t>
            </w:r>
            <w:r w:rsidR="0032206B" w:rsidRPr="009B0B4A">
              <w:rPr>
                <w:bCs/>
              </w:rPr>
              <w:t>a samazinājums</w:t>
            </w:r>
            <w:r w:rsidR="00DC67FC" w:rsidRPr="009B0B4A">
              <w:rPr>
                <w:bCs/>
              </w:rPr>
              <w:t xml:space="preserve"> </w:t>
            </w:r>
            <w:r w:rsidR="0032206B" w:rsidRPr="009B0B4A">
              <w:rPr>
                <w:bCs/>
              </w:rPr>
              <w:t xml:space="preserve">gan finansējuma saņēmējam, gan uzraugošajām institūcijām. </w:t>
            </w:r>
            <w:r w:rsidR="00E70A68" w:rsidRPr="009B0B4A">
              <w:rPr>
                <w:bCs/>
              </w:rPr>
              <w:t>V</w:t>
            </w:r>
            <w:r w:rsidR="000B333A" w:rsidRPr="009B0B4A">
              <w:rPr>
                <w:bCs/>
              </w:rPr>
              <w:t xml:space="preserve">ienotās likmes piemērošanas gadījumā, finansējuma saņēmējam nebūs jāsniedz izmaksu pamatojošā dokumentācija par finansējuma </w:t>
            </w:r>
            <w:r w:rsidR="000B333A" w:rsidRPr="00A342DB">
              <w:rPr>
                <w:bCs/>
              </w:rPr>
              <w:t>izlietojumu, k</w:t>
            </w:r>
            <w:r w:rsidR="006D1555" w:rsidRPr="00A342DB">
              <w:rPr>
                <w:bCs/>
              </w:rPr>
              <w:t xml:space="preserve">as </w:t>
            </w:r>
            <w:r w:rsidR="000B333A" w:rsidRPr="00A342DB">
              <w:rPr>
                <w:bCs/>
              </w:rPr>
              <w:t>novirzīt</w:t>
            </w:r>
            <w:r w:rsidR="006D1555" w:rsidRPr="00A342DB">
              <w:rPr>
                <w:bCs/>
              </w:rPr>
              <w:t>s</w:t>
            </w:r>
            <w:r w:rsidR="000B333A" w:rsidRPr="00A342DB">
              <w:rPr>
                <w:bCs/>
              </w:rPr>
              <w:t xml:space="preserve"> projekta</w:t>
            </w:r>
            <w:r w:rsidR="000B333A" w:rsidRPr="009B0B4A">
              <w:rPr>
                <w:bCs/>
              </w:rPr>
              <w:t xml:space="preserve"> vadības, īstenošanas personāla izmaksām</w:t>
            </w:r>
            <w:r w:rsidR="000737E1" w:rsidRPr="009B0B4A">
              <w:rPr>
                <w:bCs/>
              </w:rPr>
              <w:t>.</w:t>
            </w:r>
            <w:r w:rsidR="000B333A" w:rsidRPr="009B0B4A">
              <w:rPr>
                <w:bCs/>
              </w:rPr>
              <w:t xml:space="preserve"> </w:t>
            </w:r>
            <w:r w:rsidR="0032206B" w:rsidRPr="009B0B4A">
              <w:rPr>
                <w:bCs/>
              </w:rPr>
              <w:t xml:space="preserve">Turklāt, vienotās likmes piemērošana arī </w:t>
            </w:r>
            <w:r w:rsidR="0032206B" w:rsidRPr="00A342DB">
              <w:rPr>
                <w:bCs/>
              </w:rPr>
              <w:t>sekmēs fondu līdzekļu pareizāku</w:t>
            </w:r>
            <w:r w:rsidR="00A342DB" w:rsidRPr="00A342DB">
              <w:rPr>
                <w:bCs/>
              </w:rPr>
              <w:t xml:space="preserve"> un</w:t>
            </w:r>
            <w:r w:rsidR="0032206B" w:rsidRPr="00A342DB">
              <w:rPr>
                <w:bCs/>
              </w:rPr>
              <w:t xml:space="preserve"> </w:t>
            </w:r>
            <w:r w:rsidR="006D1555" w:rsidRPr="00A342DB">
              <w:rPr>
                <w:bCs/>
              </w:rPr>
              <w:t xml:space="preserve">efektīvāku </w:t>
            </w:r>
            <w:r w:rsidR="0032206B" w:rsidRPr="00A342DB">
              <w:rPr>
                <w:bCs/>
              </w:rPr>
              <w:t>izmantošanu (mazāks kļūdas līmenis</w:t>
            </w:r>
            <w:r w:rsidR="0032206B" w:rsidRPr="009B0B4A">
              <w:rPr>
                <w:bCs/>
              </w:rPr>
              <w:t>).</w:t>
            </w:r>
          </w:p>
          <w:p w14:paraId="3D12B2D3" w14:textId="2888493A" w:rsidR="00A839C1" w:rsidRPr="009B0B4A" w:rsidRDefault="00A342DB" w:rsidP="00E03779">
            <w:pPr>
              <w:pStyle w:val="ListParagraph"/>
              <w:tabs>
                <w:tab w:val="left" w:pos="2977"/>
              </w:tabs>
              <w:spacing w:before="240" w:after="160"/>
              <w:ind w:left="285" w:right="142"/>
              <w:jc w:val="both"/>
              <w:rPr>
                <w:bCs/>
              </w:rPr>
            </w:pPr>
            <w:r>
              <w:rPr>
                <w:bCs/>
              </w:rPr>
              <w:t xml:space="preserve">Personāla izmaksu </w:t>
            </w:r>
            <w:r w:rsidR="00A839C1" w:rsidRPr="009B0B4A">
              <w:rPr>
                <w:bCs/>
              </w:rPr>
              <w:t>vienotā likme netikts mainīt</w:t>
            </w:r>
            <w:r w:rsidR="00ED5B84" w:rsidRPr="009B0B4A">
              <w:rPr>
                <w:bCs/>
              </w:rPr>
              <w:t>a</w:t>
            </w:r>
            <w:r w:rsidR="00A839C1" w:rsidRPr="009B0B4A">
              <w:rPr>
                <w:bCs/>
              </w:rPr>
              <w:t xml:space="preserve"> vai aktualizēt</w:t>
            </w:r>
            <w:r w:rsidR="00ED5B84" w:rsidRPr="009B0B4A">
              <w:rPr>
                <w:bCs/>
              </w:rPr>
              <w:t>a</w:t>
            </w:r>
            <w:r w:rsidR="00D37607" w:rsidRPr="009B0B4A">
              <w:rPr>
                <w:bCs/>
              </w:rPr>
              <w:t xml:space="preserve"> līdz projektu pabeigšanai</w:t>
            </w:r>
            <w:r w:rsidR="00A839C1" w:rsidRPr="009B0B4A">
              <w:rPr>
                <w:bCs/>
              </w:rPr>
              <w:t xml:space="preserve">. </w:t>
            </w:r>
          </w:p>
          <w:p w14:paraId="20006157" w14:textId="1D2E7B59" w:rsidR="00F178AA" w:rsidRPr="009B0B4A" w:rsidRDefault="002D05A2" w:rsidP="00E03779">
            <w:pPr>
              <w:pStyle w:val="ListParagraph"/>
              <w:tabs>
                <w:tab w:val="left" w:pos="2977"/>
              </w:tabs>
              <w:spacing w:before="240" w:after="160"/>
              <w:ind w:left="285" w:right="142"/>
              <w:jc w:val="both"/>
              <w:rPr>
                <w:bCs/>
              </w:rPr>
            </w:pPr>
            <w:r>
              <w:rPr>
                <w:bCs/>
              </w:rPr>
              <w:t xml:space="preserve">Personāla izmaksu </w:t>
            </w:r>
            <w:r w:rsidR="008472A8" w:rsidRPr="009B0B4A">
              <w:rPr>
                <w:bCs/>
              </w:rPr>
              <w:t xml:space="preserve">vienotā </w:t>
            </w:r>
            <w:r w:rsidR="00F178AA" w:rsidRPr="009B0B4A">
              <w:rPr>
                <w:bCs/>
              </w:rPr>
              <w:t xml:space="preserve">likme piemērojama ar </w:t>
            </w:r>
            <w:r w:rsidR="00ED7F5C" w:rsidRPr="009B0B4A">
              <w:rPr>
                <w:bCs/>
              </w:rPr>
              <w:t xml:space="preserve"> </w:t>
            </w:r>
            <w:r w:rsidR="00BB1647">
              <w:rPr>
                <w:bCs/>
              </w:rPr>
              <w:t>nākamā</w:t>
            </w:r>
            <w:r w:rsidR="00BB1647" w:rsidRPr="009B0B4A">
              <w:rPr>
                <w:bCs/>
              </w:rPr>
              <w:t xml:space="preserve"> </w:t>
            </w:r>
            <w:r w:rsidR="000737E1" w:rsidRPr="009B0B4A">
              <w:rPr>
                <w:bCs/>
              </w:rPr>
              <w:t>mēneša pirmo datumu pēc šo grozījumu spēkā stāšanās.</w:t>
            </w:r>
            <w:r w:rsidR="00BB1647">
              <w:rPr>
                <w:bCs/>
              </w:rPr>
              <w:t>, tādejādi</w:t>
            </w:r>
            <w:r w:rsidR="000737E1" w:rsidRPr="009B0B4A">
              <w:rPr>
                <w:bCs/>
              </w:rPr>
              <w:t xml:space="preserve"> </w:t>
            </w:r>
            <w:r w:rsidR="00BB1647">
              <w:rPr>
                <w:bCs/>
              </w:rPr>
              <w:t>š</w:t>
            </w:r>
            <w:r w:rsidR="00BB1647" w:rsidRPr="009B0B4A">
              <w:rPr>
                <w:bCs/>
              </w:rPr>
              <w:t xml:space="preserve">obrīd </w:t>
            </w:r>
            <w:r w:rsidR="000737E1" w:rsidRPr="009B0B4A">
              <w:rPr>
                <w:bCs/>
              </w:rPr>
              <w:t xml:space="preserve">noteikumu projekta redakcijā noteikts </w:t>
            </w:r>
            <w:r w:rsidR="00F178AA" w:rsidRPr="009B0B4A">
              <w:rPr>
                <w:bCs/>
              </w:rPr>
              <w:t>01.</w:t>
            </w:r>
            <w:r w:rsidR="00AD16B3" w:rsidRPr="009B0B4A">
              <w:rPr>
                <w:bCs/>
              </w:rPr>
              <w:t>0</w:t>
            </w:r>
            <w:r w:rsidR="00AD16B3">
              <w:rPr>
                <w:bCs/>
              </w:rPr>
              <w:t>5</w:t>
            </w:r>
            <w:r w:rsidR="00F178AA" w:rsidRPr="009B0B4A">
              <w:rPr>
                <w:bCs/>
              </w:rPr>
              <w:t>.2020</w:t>
            </w:r>
            <w:r w:rsidR="000737E1" w:rsidRPr="009B0B4A">
              <w:rPr>
                <w:bCs/>
              </w:rPr>
              <w:t xml:space="preserve">, ko </w:t>
            </w:r>
            <w:r w:rsidR="00ED7F5C" w:rsidRPr="009B0B4A">
              <w:rPr>
                <w:bCs/>
              </w:rPr>
              <w:t xml:space="preserve"> nosaka MK noteikumu noslēgumu jautājumu </w:t>
            </w:r>
            <w:r w:rsidR="0006341D" w:rsidRPr="009B0B4A">
              <w:rPr>
                <w:bCs/>
              </w:rPr>
              <w:t>74</w:t>
            </w:r>
            <w:r w:rsidR="00ED7F5C" w:rsidRPr="009B0B4A">
              <w:rPr>
                <w:bCs/>
              </w:rPr>
              <w:t xml:space="preserve">.punkts. Tādejādi gan </w:t>
            </w:r>
            <w:r w:rsidR="006A2044" w:rsidRPr="009B0B4A">
              <w:rPr>
                <w:bCs/>
              </w:rPr>
              <w:t>9.2.4.1.pasākuma finansējuma saņēmējam, gan 9.2.4.2.pasākuma finansējuma saņēmējiem</w:t>
            </w:r>
            <w:r w:rsidR="00ED7F5C" w:rsidRPr="009B0B4A">
              <w:rPr>
                <w:lang w:eastAsia="lv-LV"/>
              </w:rPr>
              <w:t xml:space="preserve"> veselības veicināšanas un slimību profilakses pasākumu īstenošanai 2017.–2020. gadā</w:t>
            </w:r>
            <w:r w:rsidR="00011C0A" w:rsidRPr="009B0B4A">
              <w:rPr>
                <w:lang w:eastAsia="lv-LV"/>
              </w:rPr>
              <w:t xml:space="preserve"> (9.2.4.2.pasākumam iepriekš plānotā 1.kārtas projektu īstenošana)</w:t>
            </w:r>
            <w:r w:rsidR="00ED7F5C" w:rsidRPr="009B0B4A">
              <w:rPr>
                <w:lang w:eastAsia="lv-LV"/>
              </w:rPr>
              <w:t xml:space="preserve">, gan </w:t>
            </w:r>
            <w:r w:rsidR="00ED7F5C" w:rsidRPr="009B0B4A">
              <w:t xml:space="preserve"> </w:t>
            </w:r>
            <w:r w:rsidR="00ED7F5C" w:rsidRPr="009B0B4A">
              <w:rPr>
                <w:lang w:eastAsia="lv-LV"/>
              </w:rPr>
              <w:t>pasākumu īstenošanai 2020.–2023. gadā</w:t>
            </w:r>
            <w:r w:rsidR="00011C0A" w:rsidRPr="009B0B4A">
              <w:rPr>
                <w:lang w:eastAsia="lv-LV"/>
              </w:rPr>
              <w:t xml:space="preserve"> (9.2.4.2.pasākumam iepriekš plānotie 2.kārtas projekti)</w:t>
            </w:r>
            <w:r w:rsidR="00ED7F5C" w:rsidRPr="009B0B4A">
              <w:rPr>
                <w:lang w:eastAsia="lv-LV"/>
              </w:rPr>
              <w:t xml:space="preserve"> ar 2020.gada 1.</w:t>
            </w:r>
            <w:r w:rsidR="00AD16B3">
              <w:rPr>
                <w:lang w:eastAsia="lv-LV"/>
              </w:rPr>
              <w:t>maiju</w:t>
            </w:r>
            <w:r w:rsidR="00AD16B3" w:rsidRPr="009B0B4A">
              <w:rPr>
                <w:lang w:eastAsia="lv-LV"/>
              </w:rPr>
              <w:t xml:space="preserve">  </w:t>
            </w:r>
            <w:r w:rsidR="00ED7F5C" w:rsidRPr="009B0B4A">
              <w:rPr>
                <w:lang w:eastAsia="lv-LV"/>
              </w:rPr>
              <w:t xml:space="preserve">finansējuma saņēmēja un sadarbības partnera projekta vadības un īstenošanas personāla atlīdzības izmaksas </w:t>
            </w:r>
            <w:r w:rsidR="006A2044" w:rsidRPr="009B0B4A">
              <w:rPr>
                <w:lang w:eastAsia="lv-LV"/>
              </w:rPr>
              <w:t>tiks attiecinātas</w:t>
            </w:r>
            <w:r w:rsidR="00B46833">
              <w:rPr>
                <w:lang w:eastAsia="lv-LV"/>
              </w:rPr>
              <w:t>,</w:t>
            </w:r>
            <w:r w:rsidR="006A2044" w:rsidRPr="009B0B4A">
              <w:rPr>
                <w:lang w:eastAsia="lv-LV"/>
              </w:rPr>
              <w:t xml:space="preserve"> </w:t>
            </w:r>
            <w:r w:rsidR="006A2044" w:rsidRPr="00E70AA1">
              <w:rPr>
                <w:lang w:eastAsia="lv-LV"/>
              </w:rPr>
              <w:t xml:space="preserve">piemērojot </w:t>
            </w:r>
            <w:r w:rsidR="00B46833" w:rsidRPr="00E70AA1">
              <w:rPr>
                <w:lang w:eastAsia="lv-LV"/>
              </w:rPr>
              <w:t xml:space="preserve">MK noteikumu </w:t>
            </w:r>
            <w:r w:rsidR="006A2044" w:rsidRPr="00E70AA1">
              <w:rPr>
                <w:lang w:eastAsia="lv-LV"/>
              </w:rPr>
              <w:t>23.punktā un</w:t>
            </w:r>
            <w:r w:rsidR="006A2044" w:rsidRPr="009B0B4A">
              <w:rPr>
                <w:lang w:eastAsia="lv-LV"/>
              </w:rPr>
              <w:t xml:space="preserve"> 35.punktā noteiktās vienotās likmes</w:t>
            </w:r>
            <w:r w:rsidR="006A2044" w:rsidRPr="002D05A2">
              <w:rPr>
                <w:lang w:eastAsia="lv-LV"/>
              </w:rPr>
              <w:t>.</w:t>
            </w:r>
            <w:r w:rsidR="006A2044" w:rsidRPr="009B0B4A">
              <w:rPr>
                <w:lang w:eastAsia="lv-LV"/>
              </w:rPr>
              <w:t xml:space="preserve"> Līdz 01.</w:t>
            </w:r>
            <w:r w:rsidR="00AD16B3" w:rsidRPr="009B0B4A">
              <w:rPr>
                <w:lang w:eastAsia="lv-LV"/>
              </w:rPr>
              <w:t>0</w:t>
            </w:r>
            <w:r w:rsidR="00AD16B3">
              <w:rPr>
                <w:lang w:eastAsia="lv-LV"/>
              </w:rPr>
              <w:t>5</w:t>
            </w:r>
            <w:r w:rsidR="006A2044" w:rsidRPr="009B0B4A">
              <w:rPr>
                <w:lang w:eastAsia="lv-LV"/>
              </w:rPr>
              <w:t>.2020. projekta vadības un īstenošanas personāla atlīdzības izmaksas visos projektos tiek attiecinātas kā faktiskās izmaksas.</w:t>
            </w:r>
            <w:r w:rsidR="00011C0A" w:rsidRPr="009B0B4A">
              <w:rPr>
                <w:lang w:eastAsia="lv-LV"/>
              </w:rPr>
              <w:t xml:space="preserve"> </w:t>
            </w:r>
          </w:p>
          <w:p w14:paraId="6C253ADD" w14:textId="2748CA6A" w:rsidR="00C65FA7" w:rsidRPr="009B0B4A" w:rsidRDefault="00C65FA7" w:rsidP="00E03779">
            <w:pPr>
              <w:pStyle w:val="ListParagraph"/>
              <w:tabs>
                <w:tab w:val="left" w:pos="2977"/>
              </w:tabs>
              <w:spacing w:before="240" w:after="160"/>
              <w:ind w:left="285" w:right="142"/>
              <w:jc w:val="both"/>
              <w:rPr>
                <w:bCs/>
              </w:rPr>
            </w:pPr>
            <w:r w:rsidRPr="009B0B4A">
              <w:rPr>
                <w:bCs/>
              </w:rPr>
              <w:lastRenderedPageBreak/>
              <w:t>Ierosinātais grozījums īstenošanā esošos projektus ietekmē labvēlīg</w:t>
            </w:r>
            <w:r w:rsidR="00807B26" w:rsidRPr="009B0B4A">
              <w:rPr>
                <w:bCs/>
              </w:rPr>
              <w:t>i</w:t>
            </w:r>
            <w:r w:rsidRPr="009B0B4A">
              <w:rPr>
                <w:bCs/>
              </w:rPr>
              <w:t>, būs nepieciešami projektu grozījumi.</w:t>
            </w:r>
          </w:p>
          <w:p w14:paraId="2E8A1CA0" w14:textId="51AEDE93" w:rsidR="00A23309" w:rsidRPr="009B0B4A" w:rsidRDefault="00A23309" w:rsidP="00E03779">
            <w:pPr>
              <w:pStyle w:val="ListParagraph"/>
              <w:tabs>
                <w:tab w:val="left" w:pos="2977"/>
              </w:tabs>
              <w:spacing w:before="240" w:after="160"/>
              <w:ind w:left="285" w:right="142"/>
              <w:jc w:val="both"/>
              <w:rPr>
                <w:bCs/>
              </w:rPr>
            </w:pPr>
            <w:r w:rsidRPr="009B0B4A">
              <w:rPr>
                <w:bCs/>
              </w:rPr>
              <w:t>Vadošā iestāde norāda, ka  šobrīd 9.2.4.1. un 9.2.4.2. pasākumā var piemērot vai nu vienu kopīgu vienoto likmi abiem pasākumiem, vai abus pasākumus īstenot, izmantojot faktisko izmaksu uzskaites metodi, jo šobrīd abiem pasākumiem ir vienāds darbības līmenis.   </w:t>
            </w:r>
            <w:r w:rsidR="002F3FEE" w:rsidRPr="009B0B4A">
              <w:rPr>
                <w:bCs/>
              </w:rPr>
              <w:t>D</w:t>
            </w:r>
            <w:r w:rsidRPr="009B0B4A">
              <w:rPr>
                <w:bCs/>
              </w:rPr>
              <w:t>ivas dažādas vienotās likmes par līdzīga veida izmaksu pozīcijām piemērot varēs tikai pēc DP grozījumu “Grozījumi Eiropas Savienības struktūrfondu un Kohēzijas fonda 2014.-2020.gada plānošanas perioda darbības programmā “Izaugsme un nodarbinātība”” apstiprināšanas EK, kuros ir ierosināts mainīt 9.2.4.SAM iznākuma rādītājus, aizstājot līdzšinējos i.9.2.4.a un i.9.2.4.b iznākuma rādītājus ar jauniem i.9.2.4.c “ESF ietvaros īstenoto veselības veicināšanas un slimību profilakses pasākumu skaits” un i.9.2.4.d “ESF ietvaros īstenoto veselības veicināšanas un slimību profilakses kampaņu skaits” iznākuma rādītājiem, kuriem darbības līmenis ir atšķirīgs, un katram pasākumam plānots savs jaunais rādītājs, līdz ar to 9.2.4.1.pasākumam tiks piemērots iznākuma rādītājs i.9.2.4.d ar darbības līmeni “kampaņas”, savukārt 9.2.4.2.pasākumam iznākuma rādītājs i.9.2.4.c ar darbības līmeni “pasākums”.</w:t>
            </w:r>
          </w:p>
          <w:p w14:paraId="338F5151" w14:textId="742BFEDA" w:rsidR="00A23309" w:rsidRPr="009B0B4A" w:rsidRDefault="00A23309" w:rsidP="00E03779">
            <w:pPr>
              <w:pStyle w:val="ListParagraph"/>
              <w:tabs>
                <w:tab w:val="left" w:pos="2977"/>
              </w:tabs>
              <w:spacing w:before="240" w:after="160"/>
              <w:ind w:left="285" w:right="142"/>
              <w:jc w:val="both"/>
              <w:rPr>
                <w:bCs/>
              </w:rPr>
            </w:pPr>
            <w:r w:rsidRPr="009B0B4A">
              <w:rPr>
                <w:bCs/>
              </w:rPr>
              <w:t xml:space="preserve">Tādejādi Veselības ministrija ar </w:t>
            </w:r>
            <w:proofErr w:type="spellStart"/>
            <w:r w:rsidRPr="009B0B4A">
              <w:rPr>
                <w:bCs/>
              </w:rPr>
              <w:t>protokollēmumu</w:t>
            </w:r>
            <w:proofErr w:type="spellEnd"/>
            <w:r w:rsidRPr="009B0B4A">
              <w:rPr>
                <w:bCs/>
              </w:rPr>
              <w:t xml:space="preserve"> </w:t>
            </w:r>
            <w:r w:rsidR="002F3FEE" w:rsidRPr="009B0B4A">
              <w:rPr>
                <w:bCs/>
              </w:rPr>
              <w:t>uzņemas</w:t>
            </w:r>
            <w:r w:rsidRPr="009B0B4A">
              <w:rPr>
                <w:bCs/>
              </w:rPr>
              <w:t xml:space="preserve"> risk</w:t>
            </w:r>
            <w:r w:rsidR="002F3FEE" w:rsidRPr="009B0B4A">
              <w:rPr>
                <w:bCs/>
              </w:rPr>
              <w:t>u</w:t>
            </w:r>
            <w:r w:rsidRPr="009B0B4A">
              <w:rPr>
                <w:bCs/>
              </w:rPr>
              <w:t xml:space="preserve"> jau šobrīd ar noteikuma projekta stāšanās spēkā datumu, </w:t>
            </w:r>
            <w:r w:rsidR="002F3FEE" w:rsidRPr="009B0B4A">
              <w:rPr>
                <w:bCs/>
              </w:rPr>
              <w:t>provizoriski</w:t>
            </w:r>
            <w:r w:rsidRPr="009B0B4A">
              <w:rPr>
                <w:bCs/>
              </w:rPr>
              <w:t xml:space="preserve"> 2020.gada 1.</w:t>
            </w:r>
            <w:r w:rsidR="00AD16B3">
              <w:rPr>
                <w:bCs/>
              </w:rPr>
              <w:t>maijs</w:t>
            </w:r>
            <w:r w:rsidRPr="009B0B4A">
              <w:rPr>
                <w:bCs/>
              </w:rPr>
              <w:t xml:space="preserve">, noteikt izmantot  vienoto likmi  </w:t>
            </w:r>
            <w:r w:rsidR="00E235C4" w:rsidRPr="009B0B4A">
              <w:rPr>
                <w:bCs/>
              </w:rPr>
              <w:t>1</w:t>
            </w:r>
            <w:r w:rsidR="00DD4E72" w:rsidRPr="009B0B4A">
              <w:rPr>
                <w:bCs/>
              </w:rPr>
              <w:t>8</w:t>
            </w:r>
            <w:r w:rsidRPr="009B0B4A">
              <w:rPr>
                <w:bCs/>
              </w:rPr>
              <w:t xml:space="preserve">% apmērā 9.2.4.1.pasākumam un </w:t>
            </w:r>
            <w:r w:rsidR="00E235C4" w:rsidRPr="009B0B4A">
              <w:rPr>
                <w:bCs/>
              </w:rPr>
              <w:t>10</w:t>
            </w:r>
            <w:r w:rsidRPr="009B0B4A">
              <w:rPr>
                <w:bCs/>
              </w:rPr>
              <w:t>% apmērā 9.2.4.2.pasākumam</w:t>
            </w:r>
            <w:r w:rsidR="002F3FEE" w:rsidRPr="009B0B4A">
              <w:rPr>
                <w:bCs/>
              </w:rPr>
              <w:t xml:space="preserve">, attiecīgi </w:t>
            </w:r>
            <w:r w:rsidR="00B46833" w:rsidRPr="00E70AA1">
              <w:rPr>
                <w:bCs/>
              </w:rPr>
              <w:t>rēķinoties, ka</w:t>
            </w:r>
            <w:r w:rsidR="002F3FEE" w:rsidRPr="00E70AA1">
              <w:rPr>
                <w:bCs/>
              </w:rPr>
              <w:t xml:space="preserve"> </w:t>
            </w:r>
            <w:r w:rsidR="002F3FEE" w:rsidRPr="00E70AA1">
              <w:t xml:space="preserve"> gadījumā,</w:t>
            </w:r>
            <w:r w:rsidR="00B46833" w:rsidRPr="00E70AA1">
              <w:t xml:space="preserve"> ja</w:t>
            </w:r>
            <w:r w:rsidR="002F3FEE" w:rsidRPr="00E70AA1">
              <w:t xml:space="preserve"> </w:t>
            </w:r>
            <w:r w:rsidR="006D1555" w:rsidRPr="00E70AA1">
              <w:t>E</w:t>
            </w:r>
            <w:r w:rsidR="006D1555" w:rsidRPr="002D05A2">
              <w:t>K</w:t>
            </w:r>
            <w:r w:rsidR="002F3FEE" w:rsidRPr="009B0B4A">
              <w:t xml:space="preserve"> nesaskaņo grozījumus darbības programmā</w:t>
            </w:r>
            <w:r w:rsidR="00B46833">
              <w:t>,</w:t>
            </w:r>
            <w:r w:rsidR="002F3FEE" w:rsidRPr="009B0B4A">
              <w:t xml:space="preserve"> nosakot dažāda līmeņa rādītājus, līdz ar ko nav atbalstāma dažādu vienoto</w:t>
            </w:r>
            <w:r w:rsidR="002F3FEE" w:rsidRPr="009B0B4A">
              <w:rPr>
                <w:bCs/>
              </w:rPr>
              <w:t xml:space="preserve"> likmju piemērošana 9.2.4.1.pasākumam un 9.2.4.2.pasākumam,</w:t>
            </w:r>
            <w:r w:rsidR="002F3FEE" w:rsidRPr="009B0B4A">
              <w:t xml:space="preserve"> tad Veselības ministrija nodrošina informācijas apkopošanu par projekta vadības un īstenošanas personāla vadības faktiskajām izmaksām no finansējuma saņēmējiem. </w:t>
            </w:r>
            <w:r w:rsidR="002F3FEE" w:rsidRPr="009B0B4A">
              <w:rPr>
                <w:bCs/>
              </w:rPr>
              <w:t xml:space="preserve">9.2.4.1.pasākuma finansējuma saņēmējs ir tiešā valsts pārvaldes iestāde, savukārt 9.2.4.2.pasākuma finansējuma saņēmēji ir SPKC - tiešā valsts pārvaldes iestāde, un pašvaldības, kas nodrošina </w:t>
            </w:r>
            <w:proofErr w:type="spellStart"/>
            <w:r w:rsidR="002F3FEE" w:rsidRPr="009B0B4A">
              <w:rPr>
                <w:bCs/>
              </w:rPr>
              <w:t>personālizmaksu</w:t>
            </w:r>
            <w:proofErr w:type="spellEnd"/>
            <w:r w:rsidR="002F3FEE" w:rsidRPr="009B0B4A">
              <w:rPr>
                <w:bCs/>
              </w:rPr>
              <w:t xml:space="preserve"> un grāmatvedības plānošanu atbilstoši normatīvajam regulējumam. Likmes piemērošana vadības un īstenošanas personāla izmaksām neatceļ vispārējā normatīvā regulējuma ievērošanu valsts pārvaldes iestādēs un pašvaldībās. </w:t>
            </w:r>
          </w:p>
          <w:p w14:paraId="67BB7C3D" w14:textId="56DCD7EC" w:rsidR="00B202A1" w:rsidRPr="009B0B4A" w:rsidRDefault="00DC67FC" w:rsidP="00B71330">
            <w:pPr>
              <w:pStyle w:val="ListParagraph"/>
              <w:tabs>
                <w:tab w:val="left" w:pos="2977"/>
              </w:tabs>
              <w:spacing w:before="240" w:after="160"/>
              <w:ind w:left="285" w:right="142"/>
              <w:jc w:val="both"/>
              <w:rPr>
                <w:bCs/>
              </w:rPr>
            </w:pPr>
            <w:r w:rsidRPr="009B0B4A">
              <w:rPr>
                <w:bCs/>
              </w:rPr>
              <w:t>9.2.4.</w:t>
            </w:r>
            <w:r w:rsidR="00327AE4" w:rsidRPr="009B0B4A">
              <w:rPr>
                <w:bCs/>
              </w:rPr>
              <w:t>2</w:t>
            </w:r>
            <w:r w:rsidRPr="009B0B4A">
              <w:rPr>
                <w:bCs/>
              </w:rPr>
              <w:t xml:space="preserve">.pasākuma ietvaros, mazinot dubultā finansējuma risku ar vienotās likmes noteikšanu finansējuma saņēmēja un sadarbības partneru projekta vadības un īstenošanas personāla atlīdzības izmaksām, jāvērš finansējuma saņēmēju uzmanība uz MK noteikumu </w:t>
            </w:r>
            <w:r w:rsidR="00BB1647">
              <w:rPr>
                <w:bCs/>
              </w:rPr>
              <w:t>41</w:t>
            </w:r>
            <w:r w:rsidRPr="009B0B4A">
              <w:rPr>
                <w:bCs/>
              </w:rPr>
              <w:t>.2.apakšpunkt</w:t>
            </w:r>
            <w:r w:rsidR="00B71330" w:rsidRPr="009B0B4A">
              <w:rPr>
                <w:bCs/>
              </w:rPr>
              <w:t>ā</w:t>
            </w:r>
            <w:r w:rsidRPr="009B0B4A">
              <w:rPr>
                <w:bCs/>
              </w:rPr>
              <w:t xml:space="preserve"> </w:t>
            </w:r>
            <w:r w:rsidR="003F256B" w:rsidRPr="009B0B4A">
              <w:rPr>
                <w:bCs/>
              </w:rPr>
              <w:t>no</w:t>
            </w:r>
            <w:r w:rsidR="00B71330" w:rsidRPr="009B0B4A">
              <w:rPr>
                <w:bCs/>
              </w:rPr>
              <w:t>teikto, ka</w:t>
            </w:r>
            <w:r w:rsidRPr="009B0B4A">
              <w:rPr>
                <w:bCs/>
              </w:rPr>
              <w:t xml:space="preserve"> </w:t>
            </w:r>
            <w:r w:rsidRPr="009B0B4A">
              <w:rPr>
                <w:rFonts w:ascii="Arial" w:hAnsi="Arial" w:cs="Arial"/>
                <w:sz w:val="20"/>
                <w:szCs w:val="20"/>
                <w:lang w:eastAsia="lv-LV"/>
              </w:rPr>
              <w:t xml:space="preserve"> </w:t>
            </w:r>
            <w:r w:rsidRPr="009B0B4A">
              <w:rPr>
                <w:bCs/>
              </w:rPr>
              <w:t>projekta pārējās tiešās attiecināmās īstenošanas izmaksas</w:t>
            </w:r>
            <w:r w:rsidR="00B71330" w:rsidRPr="009B0B4A">
              <w:rPr>
                <w:bCs/>
              </w:rPr>
              <w:t xml:space="preserve"> </w:t>
            </w:r>
            <w:r w:rsidR="00327AE4" w:rsidRPr="009B0B4A">
              <w:rPr>
                <w:bCs/>
              </w:rPr>
              <w:t>jeb</w:t>
            </w:r>
            <w:r w:rsidRPr="009B0B4A">
              <w:rPr>
                <w:bCs/>
              </w:rPr>
              <w:t xml:space="preserve"> piegāžu un pakalpojumu izmaksas ir attiecināmas, ja tās radušās</w:t>
            </w:r>
            <w:r w:rsidR="00E5308D">
              <w:rPr>
                <w:bCs/>
              </w:rPr>
              <w:t>,</w:t>
            </w:r>
            <w:r w:rsidRPr="009B0B4A">
              <w:rPr>
                <w:bCs/>
              </w:rPr>
              <w:t xml:space="preserve"> ievērojot publisko iepirkumu jomu regulējošos normatīvos aktus, un ir attiecināmas par atbalstāmajā</w:t>
            </w:r>
            <w:r w:rsidR="00B71330" w:rsidRPr="009B0B4A">
              <w:rPr>
                <w:bCs/>
              </w:rPr>
              <w:t>m</w:t>
            </w:r>
            <w:r w:rsidRPr="009B0B4A">
              <w:rPr>
                <w:bCs/>
              </w:rPr>
              <w:t xml:space="preserve"> darbībām un izmaksām </w:t>
            </w:r>
            <w:r w:rsidR="00327AE4" w:rsidRPr="009B0B4A">
              <w:rPr>
                <w:bCs/>
              </w:rPr>
              <w:t>kā</w:t>
            </w:r>
            <w:r w:rsidRPr="009B0B4A">
              <w:rPr>
                <w:bCs/>
              </w:rPr>
              <w:t xml:space="preserve">  veselības veicināšanas un slimību </w:t>
            </w:r>
            <w:r w:rsidRPr="009B0B4A">
              <w:rPr>
                <w:bCs/>
              </w:rPr>
              <w:lastRenderedPageBreak/>
              <w:t>profilakses pasākumi mērķa grupām un vietējai sabiedrībai</w:t>
            </w:r>
            <w:r w:rsidR="00327AE4" w:rsidRPr="009B0B4A">
              <w:rPr>
                <w:bCs/>
              </w:rPr>
              <w:t>,  informācijas un publicitātes izmaksas un neparedzētās izmaksas.</w:t>
            </w:r>
          </w:p>
          <w:p w14:paraId="1B3D1F2B" w14:textId="1C8CFC65" w:rsidR="00DB6A3C" w:rsidRPr="009B0B4A" w:rsidRDefault="003F256B" w:rsidP="00B71330">
            <w:pPr>
              <w:pStyle w:val="ListParagraph"/>
              <w:tabs>
                <w:tab w:val="left" w:pos="2977"/>
              </w:tabs>
              <w:spacing w:before="240" w:after="160"/>
              <w:ind w:left="285" w:right="142"/>
              <w:jc w:val="both"/>
              <w:rPr>
                <w:bCs/>
              </w:rPr>
            </w:pPr>
            <w:r w:rsidRPr="009B0B4A">
              <w:rPr>
                <w:bCs/>
              </w:rPr>
              <w:t xml:space="preserve"> </w:t>
            </w:r>
            <w:r w:rsidR="00DB6A3C" w:rsidRPr="009B0B4A">
              <w:rPr>
                <w:b/>
                <w:u w:val="single"/>
              </w:rPr>
              <w:t xml:space="preserve">9.2.4.2.pasākuma </w:t>
            </w:r>
            <w:r w:rsidR="00CC6B14" w:rsidRPr="009B0B4A">
              <w:rPr>
                <w:b/>
                <w:u w:val="single"/>
              </w:rPr>
              <w:t>izmaksas</w:t>
            </w:r>
            <w:r w:rsidR="00DB6A3C" w:rsidRPr="009B0B4A">
              <w:rPr>
                <w:bCs/>
              </w:rPr>
              <w:t>:</w:t>
            </w:r>
          </w:p>
          <w:p w14:paraId="687422EC" w14:textId="70F573F5" w:rsidR="001B7EB8" w:rsidRPr="009B0B4A" w:rsidRDefault="001B7EB8" w:rsidP="00DB6A3C">
            <w:pPr>
              <w:pStyle w:val="ListParagraph"/>
              <w:numPr>
                <w:ilvl w:val="0"/>
                <w:numId w:val="27"/>
              </w:numPr>
              <w:tabs>
                <w:tab w:val="left" w:pos="2977"/>
              </w:tabs>
              <w:spacing w:before="240" w:after="160"/>
              <w:ind w:right="142"/>
              <w:jc w:val="both"/>
              <w:rPr>
                <w:bCs/>
              </w:rPr>
            </w:pPr>
            <w:r w:rsidRPr="002D05A2">
              <w:rPr>
                <w:b/>
              </w:rPr>
              <w:t xml:space="preserve">Personāla </w:t>
            </w:r>
            <w:r w:rsidR="006D1555" w:rsidRPr="002D05A2">
              <w:rPr>
                <w:b/>
              </w:rPr>
              <w:t xml:space="preserve">atlīdzības </w:t>
            </w:r>
            <w:r w:rsidRPr="002D05A2">
              <w:rPr>
                <w:b/>
              </w:rPr>
              <w:t>izmaksu</w:t>
            </w:r>
            <w:r w:rsidRPr="009B0B4A">
              <w:rPr>
                <w:bCs/>
              </w:rPr>
              <w:t xml:space="preserve"> (vadības un īstenošanas personāla izmaksas) vienotajā likmē iekļaujamas šādu aktivitāšu izmaksas:</w:t>
            </w:r>
          </w:p>
          <w:p w14:paraId="46F34E35" w14:textId="73334711" w:rsidR="001B7EB8" w:rsidRPr="009B0B4A" w:rsidRDefault="001B7EB8" w:rsidP="001B7EB8">
            <w:pPr>
              <w:shd w:val="clear" w:color="auto" w:fill="FFFFFF"/>
              <w:ind w:left="284" w:right="130"/>
              <w:jc w:val="both"/>
              <w:rPr>
                <w:bCs/>
              </w:rPr>
            </w:pPr>
            <w:r w:rsidRPr="009B0B4A">
              <w:rPr>
                <w:bCs/>
              </w:rPr>
              <w:t>Projekta vadība, aktivitāšu koordinēšana, projekta uzraudzība, t.sk. līgumu uzraudzība, atskaišu sagatavošana, dalībnieku datu apkopošana (E12), pasākumu laika grafiku sagatavošana, grāmatvedības uzskaite, juristu, iepirkumu speciālistu, komunikācijas speciālistu konsultācijas, komunikācijas ar uzraugošajām iestādēm nodrošināšana.</w:t>
            </w:r>
          </w:p>
          <w:p w14:paraId="7F0C110E" w14:textId="5CF9F2A1" w:rsidR="001B7EB8" w:rsidRPr="009B0B4A" w:rsidRDefault="002D05A2" w:rsidP="00DB6A3C">
            <w:pPr>
              <w:pStyle w:val="ListParagraph"/>
              <w:numPr>
                <w:ilvl w:val="0"/>
                <w:numId w:val="27"/>
              </w:numPr>
              <w:shd w:val="clear" w:color="auto" w:fill="FFFFFF"/>
              <w:ind w:right="130"/>
              <w:jc w:val="both"/>
              <w:rPr>
                <w:bCs/>
              </w:rPr>
            </w:pPr>
            <w:r w:rsidRPr="002D05A2">
              <w:rPr>
                <w:b/>
              </w:rPr>
              <w:t>Pārējās t</w:t>
            </w:r>
            <w:r w:rsidR="001B7EB8" w:rsidRPr="002D05A2">
              <w:rPr>
                <w:b/>
              </w:rPr>
              <w:t>iešajās īstenošanas izmaksās</w:t>
            </w:r>
            <w:r w:rsidR="001B7EB8" w:rsidRPr="002D05A2">
              <w:rPr>
                <w:bCs/>
              </w:rPr>
              <w:t xml:space="preserve"> (neieskaitot </w:t>
            </w:r>
            <w:r w:rsidR="00E70AA1">
              <w:rPr>
                <w:bCs/>
              </w:rPr>
              <w:t xml:space="preserve">vadības un īstenošanas </w:t>
            </w:r>
            <w:r w:rsidR="001B7EB8" w:rsidRPr="002D05A2">
              <w:rPr>
                <w:bCs/>
              </w:rPr>
              <w:t xml:space="preserve">personāla </w:t>
            </w:r>
            <w:r w:rsidR="006D1555" w:rsidRPr="002D05A2">
              <w:rPr>
                <w:bCs/>
              </w:rPr>
              <w:t xml:space="preserve">atlīdzības </w:t>
            </w:r>
            <w:r w:rsidR="001B7EB8" w:rsidRPr="002D05A2">
              <w:rPr>
                <w:bCs/>
              </w:rPr>
              <w:t xml:space="preserve">izmaksas), no kurām rēķina personāla </w:t>
            </w:r>
            <w:r w:rsidR="006D1555" w:rsidRPr="002D05A2">
              <w:rPr>
                <w:bCs/>
              </w:rPr>
              <w:t xml:space="preserve">atlīdzības </w:t>
            </w:r>
            <w:r w:rsidR="001B7EB8" w:rsidRPr="002D05A2">
              <w:rPr>
                <w:bCs/>
              </w:rPr>
              <w:t>izmaksu vienoto likmi</w:t>
            </w:r>
            <w:r w:rsidR="001B7EB8" w:rsidRPr="009B0B4A">
              <w:rPr>
                <w:bCs/>
              </w:rPr>
              <w:t>, iekļaujamas šādas izmaksas, kas radušās, ievērojot publisko iepirkumu jomu regulējošos normatīvos aktus:</w:t>
            </w:r>
          </w:p>
          <w:p w14:paraId="0CF74312" w14:textId="45EE2F9F" w:rsidR="001B7EB8" w:rsidRPr="009B0B4A" w:rsidRDefault="001B7EB8" w:rsidP="001B7EB8">
            <w:pPr>
              <w:shd w:val="clear" w:color="auto" w:fill="FFFFFF"/>
              <w:ind w:left="284" w:right="130"/>
              <w:jc w:val="both"/>
              <w:rPr>
                <w:bCs/>
              </w:rPr>
            </w:pPr>
            <w:r w:rsidRPr="009B0B4A">
              <w:rPr>
                <w:bCs/>
              </w:rPr>
              <w:t xml:space="preserve">Visas ar </w:t>
            </w:r>
            <w:r w:rsidR="00CC6B14" w:rsidRPr="009B0B4A">
              <w:rPr>
                <w:bCs/>
                <w:i/>
                <w:iCs/>
              </w:rPr>
              <w:t xml:space="preserve">veselības veicināšanas un slimību profilakses pasākumi mērķa grupām un vietējai sabiedrībai </w:t>
            </w:r>
            <w:r w:rsidRPr="009B0B4A">
              <w:rPr>
                <w:bCs/>
                <w:i/>
                <w:iCs/>
              </w:rPr>
              <w:t xml:space="preserve">pasākumu īstenošanu </w:t>
            </w:r>
            <w:r w:rsidRPr="009B0B4A">
              <w:rPr>
                <w:bCs/>
              </w:rPr>
              <w:t xml:space="preserve">saistītās izmaksas, t.sk. pasākumu organizēšana, vadīšana, ēdināšana, apskaņošana, telpu īre, materiālu iegāde, transporta nodrošināšana, speciālā personāla piesaiste, informācijas izplatīšana par pasākumu, dalībnieku anketēšana, inventāra iegādes un nodrošināšanas izmaksas, pasākumu rezultātu aprakstu un efektivitātes </w:t>
            </w:r>
            <w:proofErr w:type="spellStart"/>
            <w:r w:rsidRPr="009B0B4A">
              <w:rPr>
                <w:bCs/>
              </w:rPr>
              <w:t>izvērtējumu</w:t>
            </w:r>
            <w:proofErr w:type="spellEnd"/>
            <w:r w:rsidRPr="009B0B4A">
              <w:rPr>
                <w:bCs/>
              </w:rPr>
              <w:t xml:space="preserve"> izmaksas, ar obligātajiem publicitātes pasākumiem saistītās izmaksas.</w:t>
            </w:r>
          </w:p>
          <w:p w14:paraId="20480863" w14:textId="0A5EFF8B" w:rsidR="00646DED" w:rsidRDefault="00E67B72" w:rsidP="00190284">
            <w:pPr>
              <w:pStyle w:val="ListParagraph"/>
              <w:tabs>
                <w:tab w:val="left" w:pos="2977"/>
              </w:tabs>
              <w:ind w:left="285" w:right="142"/>
              <w:jc w:val="both"/>
              <w:rPr>
                <w:bCs/>
              </w:rPr>
            </w:pPr>
            <w:r w:rsidRPr="00646DED">
              <w:rPr>
                <w:b/>
                <w:u w:val="single"/>
              </w:rPr>
              <w:t>9.2.4.1.pasākuma</w:t>
            </w:r>
            <w:r w:rsidRPr="009B0B4A">
              <w:rPr>
                <w:bCs/>
              </w:rPr>
              <w:t xml:space="preserve"> ietvaros vienotās likmes noteikšana finansējuma saņēmēja un sadarbības partneru projekta vadības un īstenošanas personāla atlīdzības izmaksām un MK noteikumu</w:t>
            </w:r>
            <w:r w:rsidR="000F25D2" w:rsidRPr="009B0B4A">
              <w:rPr>
                <w:bCs/>
              </w:rPr>
              <w:t xml:space="preserve"> 32.2.apakšpunktā noteiktās atbalstāmo izmaksu pozīcijas, kuras nosakāmas kā  pārējās tiešās attiecināmās īstenošanas izmaksas, ir strikti atrunātas</w:t>
            </w:r>
            <w:r w:rsidR="00646DED">
              <w:rPr>
                <w:bCs/>
              </w:rPr>
              <w:t>:</w:t>
            </w:r>
          </w:p>
          <w:p w14:paraId="3E62CAFE" w14:textId="764F9C09" w:rsidR="00646DED" w:rsidRPr="00190284" w:rsidRDefault="00646DED" w:rsidP="00190284">
            <w:pPr>
              <w:ind w:left="289"/>
              <w:jc w:val="both"/>
              <w:rPr>
                <w:bCs/>
              </w:rPr>
            </w:pPr>
            <w:r w:rsidRPr="00190284">
              <w:rPr>
                <w:b/>
              </w:rPr>
              <w:t>Personāla izmaksu</w:t>
            </w:r>
            <w:r w:rsidRPr="00190284">
              <w:rPr>
                <w:bCs/>
              </w:rPr>
              <w:t xml:space="preserve"> (vadības un īstenošanas personāla </w:t>
            </w:r>
            <w:r w:rsidR="009842B9" w:rsidRPr="00E70AA1">
              <w:rPr>
                <w:bCs/>
              </w:rPr>
              <w:t>atlīdzības</w:t>
            </w:r>
            <w:r w:rsidR="009842B9">
              <w:rPr>
                <w:bCs/>
              </w:rPr>
              <w:t xml:space="preserve"> </w:t>
            </w:r>
            <w:r w:rsidRPr="00190284">
              <w:rPr>
                <w:bCs/>
              </w:rPr>
              <w:t>izmaksas) vienotajā likmē iekļaujamas šādu aktivitāšu izmaksas:</w:t>
            </w:r>
          </w:p>
          <w:p w14:paraId="6F123721" w14:textId="77777777" w:rsidR="00646DED" w:rsidRPr="00190284" w:rsidRDefault="00646DED" w:rsidP="00190284">
            <w:pPr>
              <w:ind w:left="289"/>
              <w:jc w:val="both"/>
              <w:rPr>
                <w:bCs/>
              </w:rPr>
            </w:pPr>
            <w:r w:rsidRPr="00190284">
              <w:rPr>
                <w:bCs/>
              </w:rPr>
              <w:t>Finansējuma saņēmēja un sadarbības partneru atlīdzības izmaksas par aktivitāšu koordinēšanu, projekta uzraudzību, t.sk. līgumu uzraudzību, atskaišu sagatavošanu, dalībnieku datu apkopošanu (E12), pasākumu laika grafiku sagatavošanu, grāmatvedības uzskaiti, juristu, komunikācijas speciālistu konsultācijām, komunikācijas ar uzraugošajām iestādēm nodrošināšanu, iepirkumu speciālistu, iepirkumu tehnisko specifikāciju sagatavošanu, piedāvājumu izvērtēšanu, līgumu izpildes un nodevumu vērtēšanu, atzinumu sniegšanu, 9.2.4.2. pasākuma projektu veselības veicināšanas un slimību profilakses pasākumu uzraudzība.</w:t>
            </w:r>
          </w:p>
          <w:p w14:paraId="28D9EA6C" w14:textId="652BFE4C" w:rsidR="00646DED" w:rsidRPr="00C86086" w:rsidRDefault="00646DED" w:rsidP="00190284">
            <w:pPr>
              <w:ind w:left="289"/>
              <w:jc w:val="both"/>
              <w:rPr>
                <w:bCs/>
              </w:rPr>
            </w:pPr>
            <w:r w:rsidRPr="00C86086">
              <w:rPr>
                <w:b/>
              </w:rPr>
              <w:t xml:space="preserve">Pārējās tiešajās īstenošanas </w:t>
            </w:r>
            <w:bookmarkStart w:id="11" w:name="_GoBack"/>
            <w:bookmarkEnd w:id="11"/>
            <w:r w:rsidRPr="00C36855">
              <w:rPr>
                <w:b/>
              </w:rPr>
              <w:t>izmaksās</w:t>
            </w:r>
            <w:r w:rsidRPr="00C36855">
              <w:rPr>
                <w:bCs/>
              </w:rPr>
              <w:t xml:space="preserve"> (neieskaitot </w:t>
            </w:r>
            <w:r w:rsidR="00BB1647" w:rsidRPr="00C36855">
              <w:rPr>
                <w:bCs/>
              </w:rPr>
              <w:t xml:space="preserve">vadības un īstenošanas </w:t>
            </w:r>
            <w:r w:rsidRPr="00C36855">
              <w:rPr>
                <w:bCs/>
              </w:rPr>
              <w:t xml:space="preserve">personāla </w:t>
            </w:r>
            <w:r w:rsidR="00BB1647" w:rsidRPr="00C36855">
              <w:rPr>
                <w:bCs/>
              </w:rPr>
              <w:t xml:space="preserve">atlīdzības </w:t>
            </w:r>
            <w:r w:rsidRPr="00C36855">
              <w:rPr>
                <w:bCs/>
              </w:rPr>
              <w:t>izmaksas), no</w:t>
            </w:r>
            <w:r w:rsidRPr="00C86086">
              <w:rPr>
                <w:bCs/>
              </w:rPr>
              <w:t xml:space="preserve"> kurām </w:t>
            </w:r>
            <w:r w:rsidRPr="00C86086">
              <w:rPr>
                <w:bCs/>
              </w:rPr>
              <w:lastRenderedPageBreak/>
              <w:t>rēķina personāla izmaksu vienoto likmi, iekļaujamas šādas izmaksas, kas radušās, ievērojot publisko iepirkumu jomu regulējošos normatīvos aktus:</w:t>
            </w:r>
          </w:p>
          <w:p w14:paraId="4B02E768" w14:textId="59660E05" w:rsidR="00646DED" w:rsidRPr="00C86086" w:rsidRDefault="00646DED" w:rsidP="00190284">
            <w:pPr>
              <w:pStyle w:val="ListParagraph"/>
              <w:numPr>
                <w:ilvl w:val="0"/>
                <w:numId w:val="29"/>
              </w:numPr>
              <w:ind w:left="289" w:firstLine="142"/>
              <w:contextualSpacing w:val="0"/>
              <w:jc w:val="both"/>
              <w:rPr>
                <w:bCs/>
              </w:rPr>
            </w:pPr>
            <w:r w:rsidRPr="00C86086">
              <w:rPr>
                <w:bCs/>
              </w:rPr>
              <w:t>veselības veicināšanas un slimību profilakses plāna izstrāde un aktualizēšana</w:t>
            </w:r>
            <w:r w:rsidR="00AB4AEC" w:rsidRPr="00C86086">
              <w:rPr>
                <w:bCs/>
              </w:rPr>
              <w:t xml:space="preserve"> (budžeta kods projekta Nr.9.2.4.1/16/I/001 iesniegumā (turpmāk - BK) - 13.1)</w:t>
            </w:r>
            <w:r w:rsidRPr="00C86086">
              <w:rPr>
                <w:bCs/>
              </w:rPr>
              <w:t>;</w:t>
            </w:r>
          </w:p>
          <w:p w14:paraId="49746722" w14:textId="7746B43E" w:rsidR="00646DED" w:rsidRPr="00C86086" w:rsidRDefault="00646DED" w:rsidP="00190284">
            <w:pPr>
              <w:pStyle w:val="ListParagraph"/>
              <w:numPr>
                <w:ilvl w:val="0"/>
                <w:numId w:val="29"/>
              </w:numPr>
              <w:ind w:left="289" w:firstLine="142"/>
              <w:contextualSpacing w:val="0"/>
              <w:jc w:val="both"/>
              <w:rPr>
                <w:bCs/>
              </w:rPr>
            </w:pPr>
            <w:r w:rsidRPr="00C86086">
              <w:rPr>
                <w:bCs/>
              </w:rPr>
              <w:t>slimību profilakses pasākumi</w:t>
            </w:r>
            <w:r w:rsidR="00AB4AEC" w:rsidRPr="00C86086">
              <w:rPr>
                <w:bCs/>
              </w:rPr>
              <w:t xml:space="preserve"> (BK – 13.2)</w:t>
            </w:r>
            <w:r w:rsidRPr="00C86086">
              <w:rPr>
                <w:bCs/>
              </w:rPr>
              <w:t>;</w:t>
            </w:r>
          </w:p>
          <w:p w14:paraId="11A561D7" w14:textId="693EFCBB" w:rsidR="00646DED" w:rsidRPr="00C86086" w:rsidRDefault="00646DED" w:rsidP="00190284">
            <w:pPr>
              <w:pStyle w:val="ListParagraph"/>
              <w:numPr>
                <w:ilvl w:val="0"/>
                <w:numId w:val="29"/>
              </w:numPr>
              <w:ind w:left="289" w:firstLine="142"/>
              <w:contextualSpacing w:val="0"/>
              <w:jc w:val="both"/>
              <w:rPr>
                <w:bCs/>
              </w:rPr>
            </w:pPr>
            <w:r w:rsidRPr="00C86086">
              <w:rPr>
                <w:bCs/>
              </w:rPr>
              <w:t>vispārējie sabiedrības veselības veicināšanas pasākumi</w:t>
            </w:r>
            <w:r w:rsidR="00AB4AEC" w:rsidRPr="00C86086">
              <w:rPr>
                <w:bCs/>
              </w:rPr>
              <w:t xml:space="preserve"> (BK – 13.3)</w:t>
            </w:r>
            <w:r w:rsidRPr="00C86086">
              <w:rPr>
                <w:bCs/>
              </w:rPr>
              <w:t>;</w:t>
            </w:r>
          </w:p>
          <w:p w14:paraId="10A72A75" w14:textId="2332AF71" w:rsidR="00646DED" w:rsidRPr="00C86086" w:rsidRDefault="00646DED" w:rsidP="00190284">
            <w:pPr>
              <w:pStyle w:val="ListParagraph"/>
              <w:numPr>
                <w:ilvl w:val="0"/>
                <w:numId w:val="29"/>
              </w:numPr>
              <w:ind w:left="289" w:firstLine="142"/>
              <w:contextualSpacing w:val="0"/>
              <w:jc w:val="both"/>
              <w:rPr>
                <w:bCs/>
              </w:rPr>
            </w:pPr>
            <w:r w:rsidRPr="00C86086">
              <w:rPr>
                <w:bCs/>
              </w:rPr>
              <w:t>nacionāla mēroga veselības veicināšanas pasākumi mērķa grupām un vietējai sabiedrībai</w:t>
            </w:r>
            <w:r w:rsidR="00AB4AEC" w:rsidRPr="00C86086">
              <w:rPr>
                <w:bCs/>
              </w:rPr>
              <w:t xml:space="preserve"> (BK – 13.4)</w:t>
            </w:r>
            <w:r w:rsidRPr="00C86086">
              <w:rPr>
                <w:bCs/>
              </w:rPr>
              <w:t>;</w:t>
            </w:r>
          </w:p>
          <w:p w14:paraId="78148A91" w14:textId="5B4312DD" w:rsidR="00646DED" w:rsidRPr="00C86086" w:rsidRDefault="00646DED" w:rsidP="00190284">
            <w:pPr>
              <w:pStyle w:val="ListParagraph"/>
              <w:numPr>
                <w:ilvl w:val="0"/>
                <w:numId w:val="29"/>
              </w:numPr>
              <w:ind w:left="289" w:firstLine="142"/>
              <w:contextualSpacing w:val="0"/>
              <w:jc w:val="both"/>
              <w:rPr>
                <w:bCs/>
              </w:rPr>
            </w:pPr>
            <w:r w:rsidRPr="00C86086">
              <w:rPr>
                <w:bCs/>
              </w:rPr>
              <w:t>sabiedrības veselības pētījumi</w:t>
            </w:r>
            <w:r w:rsidR="00AB4AEC" w:rsidRPr="00C86086">
              <w:rPr>
                <w:bCs/>
              </w:rPr>
              <w:t xml:space="preserve"> (BK – 13.5)</w:t>
            </w:r>
            <w:r w:rsidRPr="00C86086">
              <w:rPr>
                <w:bCs/>
              </w:rPr>
              <w:t>;</w:t>
            </w:r>
          </w:p>
          <w:p w14:paraId="1A198BD7" w14:textId="77777777" w:rsidR="00AB4AEC" w:rsidRPr="00C86086" w:rsidRDefault="00646DED" w:rsidP="00190284">
            <w:pPr>
              <w:pStyle w:val="ListParagraph"/>
              <w:numPr>
                <w:ilvl w:val="0"/>
                <w:numId w:val="29"/>
              </w:numPr>
              <w:ind w:left="289" w:firstLine="142"/>
              <w:contextualSpacing w:val="0"/>
              <w:jc w:val="both"/>
              <w:rPr>
                <w:bCs/>
              </w:rPr>
            </w:pPr>
            <w:r w:rsidRPr="00C86086">
              <w:rPr>
                <w:bCs/>
              </w:rPr>
              <w:t>finansējuma saņēmēja un sadarbības partneru personāla darba braucienu un iekšzemes komandējumu nodrošināšana</w:t>
            </w:r>
            <w:r w:rsidR="00AB4AEC" w:rsidRPr="00C86086">
              <w:rPr>
                <w:bCs/>
              </w:rPr>
              <w:t xml:space="preserve"> (BK – 3.2.1 un 3.2.2);</w:t>
            </w:r>
          </w:p>
          <w:p w14:paraId="3AF57783" w14:textId="77777777" w:rsidR="00AB4AEC" w:rsidRPr="00C86086" w:rsidRDefault="00AB4AEC" w:rsidP="00190284">
            <w:pPr>
              <w:pStyle w:val="ListParagraph"/>
              <w:numPr>
                <w:ilvl w:val="0"/>
                <w:numId w:val="29"/>
              </w:numPr>
              <w:ind w:left="289" w:firstLine="142"/>
              <w:contextualSpacing w:val="0"/>
              <w:jc w:val="both"/>
              <w:rPr>
                <w:bCs/>
              </w:rPr>
            </w:pPr>
            <w:r w:rsidRPr="00C86086">
              <w:rPr>
                <w:bCs/>
              </w:rPr>
              <w:t>ar obligātajiem publicitātes pasākumiem saistītās izmaksas (BK - 10);</w:t>
            </w:r>
          </w:p>
          <w:p w14:paraId="4714C221" w14:textId="4773A19E" w:rsidR="00646DED" w:rsidRPr="00C86086" w:rsidRDefault="00AB4AEC" w:rsidP="00190284">
            <w:pPr>
              <w:pStyle w:val="ListParagraph"/>
              <w:numPr>
                <w:ilvl w:val="0"/>
                <w:numId w:val="29"/>
              </w:numPr>
              <w:ind w:left="289" w:firstLine="142"/>
              <w:contextualSpacing w:val="0"/>
              <w:jc w:val="both"/>
              <w:rPr>
                <w:bCs/>
              </w:rPr>
            </w:pPr>
            <w:r w:rsidRPr="00C86086">
              <w:rPr>
                <w:bCs/>
              </w:rPr>
              <w:t>neparedzētās izmaksas (BK – 15).</w:t>
            </w:r>
          </w:p>
          <w:p w14:paraId="5F115420" w14:textId="7CF3E855" w:rsidR="00646DED" w:rsidRDefault="00646DED" w:rsidP="00190284">
            <w:pPr>
              <w:pStyle w:val="ListParagraph"/>
              <w:tabs>
                <w:tab w:val="left" w:pos="2977"/>
              </w:tabs>
              <w:spacing w:before="240" w:after="160"/>
              <w:ind w:left="289" w:right="142"/>
              <w:jc w:val="both"/>
              <w:rPr>
                <w:bCs/>
              </w:rPr>
            </w:pPr>
            <w:r w:rsidRPr="00C86086">
              <w:rPr>
                <w:bCs/>
              </w:rPr>
              <w:t>Pārējās tiešajās īstenošanas izmaksās ietilpst visas ar pasākumu īstenošanu saistītās izmaksas, t.sk. pasākumu organizēšana, vadīšana, ēdināšana, apskaņošana, telpu īre, materiālu iegāde, transporta nodrošināšana, speciālā personāla piesaiste, informācijas izplatīšana par pasākumu, dalībnieku anketēšana, inventāra iegādes un nodrošināšanas izmaksas.</w:t>
            </w:r>
          </w:p>
          <w:p w14:paraId="18A71E3D" w14:textId="4B1EA101" w:rsidR="009414D8" w:rsidRPr="009B0B4A" w:rsidRDefault="009414D8" w:rsidP="00E03779">
            <w:pPr>
              <w:pStyle w:val="ListParagraph"/>
              <w:numPr>
                <w:ilvl w:val="0"/>
                <w:numId w:val="2"/>
              </w:numPr>
              <w:tabs>
                <w:tab w:val="left" w:pos="2977"/>
              </w:tabs>
              <w:spacing w:before="240" w:after="160"/>
              <w:ind w:left="285" w:right="142" w:hanging="285"/>
              <w:contextualSpacing w:val="0"/>
              <w:jc w:val="both"/>
            </w:pPr>
            <w:r w:rsidRPr="009B0B4A">
              <w:t xml:space="preserve">Par cik tika precizēts </w:t>
            </w:r>
            <w:r w:rsidR="00C65FA7" w:rsidRPr="009B0B4A">
              <w:t>22</w:t>
            </w:r>
            <w:r w:rsidRPr="009B0B4A">
              <w:t>.punkts, šī brīža MK noteikumu redakcijā 23.3.apakšpunktā minētās darba braucienu un iekšzemes komandējumu izmaksas tiek noteiktas jaunā 22.1.</w:t>
            </w:r>
            <w:r w:rsidRPr="009B0B4A">
              <w:rPr>
                <w:vertAlign w:val="superscript"/>
              </w:rPr>
              <w:t>1</w:t>
            </w:r>
            <w:r w:rsidRPr="009B0B4A">
              <w:t>punktā, papildus jaunā 23.</w:t>
            </w:r>
            <w:r w:rsidRPr="009B0B4A">
              <w:rPr>
                <w:vertAlign w:val="superscript"/>
              </w:rPr>
              <w:t>1</w:t>
            </w:r>
            <w:r w:rsidRPr="009B0B4A">
              <w:t xml:space="preserve">punktā nosakot, ka šīs izmaksas nepārsniedz </w:t>
            </w:r>
            <w:r w:rsidR="00C65FA7" w:rsidRPr="009B0B4A">
              <w:t xml:space="preserve"> </w:t>
            </w:r>
            <w:r w:rsidR="00C20314" w:rsidRPr="009B0B4A">
              <w:t xml:space="preserve"> 1% no  aprēķinātā finansējuma atbilstoši šo noteikumu 23.punktā noteiktajai vienotajai likmei</w:t>
            </w:r>
            <w:r w:rsidRPr="009B0B4A">
              <w:t>.</w:t>
            </w:r>
            <w:r w:rsidR="0006341D" w:rsidRPr="009B0B4A">
              <w:t xml:space="preserve"> </w:t>
            </w:r>
            <w:r w:rsidRPr="009B0B4A">
              <w:t xml:space="preserve">Ņemot vērā izmaiņas </w:t>
            </w:r>
            <w:r w:rsidR="00432C91" w:rsidRPr="009B0B4A">
              <w:t>22</w:t>
            </w:r>
            <w:r w:rsidRPr="009B0B4A">
              <w:t>., 23.punktā un jauno 22.1.</w:t>
            </w:r>
            <w:r w:rsidRPr="009B0B4A">
              <w:rPr>
                <w:vertAlign w:val="superscript"/>
              </w:rPr>
              <w:t>1</w:t>
            </w:r>
            <w:r w:rsidRPr="009B0B4A">
              <w:t>punktu, precizēt</w:t>
            </w:r>
            <w:r w:rsidR="00562CAB">
              <w:t>s</w:t>
            </w:r>
            <w:r w:rsidRPr="009B0B4A">
              <w:t xml:space="preserve"> 32.punkts un tā apakšpunkti, precizēta atsauce 32.</w:t>
            </w:r>
            <w:r w:rsidRPr="009B0B4A">
              <w:rPr>
                <w:vertAlign w:val="superscript"/>
              </w:rPr>
              <w:t>1</w:t>
            </w:r>
            <w:r w:rsidRPr="009B0B4A">
              <w:t>punktā uz 23.</w:t>
            </w:r>
            <w:r w:rsidRPr="009B0B4A">
              <w:rPr>
                <w:vertAlign w:val="superscript"/>
              </w:rPr>
              <w:t>1</w:t>
            </w:r>
            <w:r w:rsidRPr="009B0B4A">
              <w:t>punktu.</w:t>
            </w:r>
          </w:p>
          <w:p w14:paraId="6E04AE39" w14:textId="0BE6E92A" w:rsidR="0006457D" w:rsidRPr="009B0B4A" w:rsidRDefault="00A62790" w:rsidP="00E03779">
            <w:pPr>
              <w:pStyle w:val="ListParagraph"/>
              <w:numPr>
                <w:ilvl w:val="0"/>
                <w:numId w:val="2"/>
              </w:numPr>
              <w:tabs>
                <w:tab w:val="left" w:pos="2977"/>
              </w:tabs>
              <w:ind w:left="285" w:right="137" w:hanging="285"/>
              <w:jc w:val="both"/>
            </w:pPr>
            <w:r w:rsidRPr="009B0B4A">
              <w:t xml:space="preserve">9.2.4.2. pasākuma ietvaros </w:t>
            </w:r>
            <w:r w:rsidR="00CB2736" w:rsidRPr="009B0B4A">
              <w:t xml:space="preserve">šī brīža </w:t>
            </w:r>
            <w:r w:rsidRPr="009B0B4A">
              <w:t>MK noteikum</w:t>
            </w:r>
            <w:r w:rsidR="00CB2736" w:rsidRPr="009B0B4A">
              <w:t xml:space="preserve">u redakcija </w:t>
            </w:r>
            <w:r w:rsidRPr="009B0B4A">
              <w:t>paredz projektus īstenot divās atlases kārtās. Pirmo atlases kārtu veselības veicināšanas un slimību profilakses pasākumu īstenošanai 2017.–2020. gadā, bet ne vairāk kā 36 mēnešu periodam, un 2020.–2023. gadā, nodrošinot, ka pirmās kārtas veselības veicināšanas un slimību profilakses pasākumi nepārklājās ar otrās atlases kārtas pasākumiem. Pirmā  projektu iesniegumu atlases kārta tika izsludināta 2017.gada 6.jūnijā. Pirms izsludināšanas atbildīgā iestāde atbilstoši MK noteikumu </w:t>
            </w:r>
            <w:hyperlink r:id="rId12" w:anchor="p53" w:history="1">
              <w:r w:rsidRPr="009B0B4A">
                <w:rPr>
                  <w:rStyle w:val="Hyperlink"/>
                  <w:color w:val="auto"/>
                  <w:u w:val="none"/>
                </w:rPr>
                <w:t>53.</w:t>
              </w:r>
            </w:hyperlink>
            <w:r w:rsidRPr="009B0B4A">
              <w:t xml:space="preserve">punktam tika aprēķinājusi finansējuma sadalījumu un individuāli sasniedzamos iznākuma rādītājus pašvaldībām un iesniegusi sadarbības iestādei publicēšanai tās tīmekļvietnē. Otro projektu iesniegumu atlases kārtu bija plānots izsludināt līdz 2019. gada 1. aprīlim, ja ir saskaņots 9.2.4.2. pasākuma otrās projektu iesniegumu atlases kārtas nolikums un aprēķināts finansējuma sadalījums un individuāli sasniedzamie </w:t>
            </w:r>
            <w:r w:rsidRPr="009B0B4A">
              <w:lastRenderedPageBreak/>
              <w:t>iznākuma rādītāji.</w:t>
            </w:r>
            <w:r w:rsidR="005D6D4C" w:rsidRPr="009B0B4A">
              <w:t xml:space="preserve"> </w:t>
            </w:r>
            <w:r w:rsidR="004F12B0" w:rsidRPr="009B0B4A">
              <w:t>Lai ievērotu noteiktos 2.kārtas atlases izsludināšanas termiņus</w:t>
            </w:r>
            <w:r w:rsidR="00442078" w:rsidRPr="009B0B4A">
              <w:t xml:space="preserve"> un ņemot vērā  </w:t>
            </w:r>
            <w:proofErr w:type="spellStart"/>
            <w:r w:rsidR="00442078" w:rsidRPr="009B0B4A">
              <w:t>vidusposma</w:t>
            </w:r>
            <w:proofErr w:type="spellEnd"/>
            <w:r w:rsidR="00442078" w:rsidRPr="009B0B4A">
              <w:t xml:space="preserve"> </w:t>
            </w:r>
            <w:proofErr w:type="spellStart"/>
            <w:r w:rsidR="00442078" w:rsidRPr="009B0B4A">
              <w:t>izvērtējuma</w:t>
            </w:r>
            <w:proofErr w:type="spellEnd"/>
            <w:r w:rsidR="00442078" w:rsidRPr="009B0B4A">
              <w:t xml:space="preserve"> aizkavēšanos</w:t>
            </w:r>
            <w:r w:rsidR="004F12B0" w:rsidRPr="009B0B4A">
              <w:t>, pastāvēja iespēja izsludināt 2.kārtas projektu iesnieguma atlasi par pie</w:t>
            </w:r>
            <w:r w:rsidR="00442078" w:rsidRPr="009B0B4A">
              <w:t>e</w:t>
            </w:r>
            <w:r w:rsidR="004F12B0" w:rsidRPr="009B0B4A">
              <w:t>jamo finansējumu bez rezerves finansējuma</w:t>
            </w:r>
            <w:r w:rsidR="00442078" w:rsidRPr="009B0B4A">
              <w:t>, tomēr</w:t>
            </w:r>
            <w:r w:rsidR="005D6D4C" w:rsidRPr="009B0B4A">
              <w:t xml:space="preserve"> tika paredzēts, ka 9.2.4.2. pasākuma otrā projektu iesniegumu atlases kārta tiks sludināta par visu pieejamo finansējumu (tostarp snieguma mērķa rezervi), </w:t>
            </w:r>
            <w:r w:rsidR="00442078" w:rsidRPr="009B0B4A">
              <w:t xml:space="preserve">tādejādi </w:t>
            </w:r>
            <w:r w:rsidR="005D6D4C" w:rsidRPr="009B0B4A">
              <w:t>atlase netika izsludināta</w:t>
            </w:r>
            <w:r w:rsidR="00442078" w:rsidRPr="009B0B4A">
              <w:t xml:space="preserve"> iepriekš paredzētajos termiņos</w:t>
            </w:r>
            <w:r w:rsidR="005D6D4C" w:rsidRPr="009B0B4A">
              <w:t xml:space="preserve">. Diskutējot par otrās projektu iesnieguma atlases izsludināšanas termiņiem ar sadarbības partneriem </w:t>
            </w:r>
            <w:r w:rsidR="00801EA3" w:rsidRPr="009B0B4A">
              <w:t>–</w:t>
            </w:r>
            <w:r w:rsidR="005D6D4C" w:rsidRPr="009B0B4A">
              <w:t xml:space="preserve"> pašvaldībā</w:t>
            </w:r>
            <w:r w:rsidR="00801EA3" w:rsidRPr="009B0B4A">
              <w:t xml:space="preserve">m, </w:t>
            </w:r>
            <w:r w:rsidR="0045617D" w:rsidRPr="009B0B4A">
              <w:t>SPKC</w:t>
            </w:r>
            <w:r w:rsidR="00801EA3" w:rsidRPr="009B0B4A">
              <w:t>, sadarbības iestādi un vadošo iestādi, tika izsecināts, ka jaunas  atlases kārtas organizēšanai, projekta sagatavošanai un vērtēšanai, kā arī veselības veicināšanas un slimību profilakses pasākumu īstenošanas nepārtrauktībai pašvaldību projektos</w:t>
            </w:r>
            <w:r w:rsidR="00A60B81" w:rsidRPr="009B0B4A">
              <w:t>, saglabājot esošo projektu skaitu un projektu iesniedzēju loku, gan administratīvi, gan termiņu ziņā efektīvāk ir neorganizēt jaunu projektu iesniegumu atlasi, bet veikt grozījumus esošajos 9.2.4.2.pasākuma projektos, palielinot projektu attiecināmo izmaksu summu par aprēķinātajiem</w:t>
            </w:r>
            <w:r w:rsidR="006A06A0" w:rsidRPr="009B0B4A">
              <w:t xml:space="preserve"> 2.kārtas attiecināmo finansējumu un sasniedzamajiem iznākuma rādītājiem projektu iesniedzēju individuālajā līmenī, attiecīgi paredzot jaunas projektu darbības, tosta</w:t>
            </w:r>
            <w:r w:rsidR="004E7640" w:rsidRPr="009B0B4A">
              <w:t>r</w:t>
            </w:r>
            <w:r w:rsidR="006A06A0" w:rsidRPr="009B0B4A">
              <w:t>p veselības veicināšanas un slimību profilakses pasākumus.</w:t>
            </w:r>
          </w:p>
          <w:p w14:paraId="6EA5924A" w14:textId="651346AF" w:rsidR="009B080A" w:rsidRPr="009B0B4A" w:rsidRDefault="00C506CA" w:rsidP="00E03779">
            <w:pPr>
              <w:tabs>
                <w:tab w:val="left" w:pos="2977"/>
              </w:tabs>
              <w:spacing w:after="160"/>
              <w:ind w:left="285" w:right="142"/>
              <w:jc w:val="both"/>
            </w:pPr>
            <w:r w:rsidRPr="009B0B4A">
              <w:t>Attiecīgi precizēts MK noteikumu 50.punkts</w:t>
            </w:r>
            <w:r w:rsidR="00520E71" w:rsidRPr="009B0B4A">
              <w:t xml:space="preserve"> (apvienojot ar 50.1.</w:t>
            </w:r>
            <w:r w:rsidR="00A45ACA" w:rsidRPr="009B0B4A">
              <w:t xml:space="preserve"> un </w:t>
            </w:r>
            <w:r w:rsidR="00885CB9" w:rsidRPr="009B0B4A">
              <w:t>50</w:t>
            </w:r>
            <w:r w:rsidR="00A45ACA" w:rsidRPr="009B0B4A">
              <w:t>.</w:t>
            </w:r>
            <w:r w:rsidR="004405FF" w:rsidRPr="009B0B4A">
              <w:t xml:space="preserve">2 </w:t>
            </w:r>
            <w:r w:rsidR="00520E71" w:rsidRPr="009B0B4A">
              <w:t>apak</w:t>
            </w:r>
            <w:r w:rsidR="00A45ACA" w:rsidRPr="009B0B4A">
              <w:t>š</w:t>
            </w:r>
            <w:r w:rsidR="00520E71" w:rsidRPr="009B0B4A">
              <w:t>punktu)</w:t>
            </w:r>
            <w:r w:rsidRPr="009B0B4A">
              <w:t xml:space="preserve"> saglabājot vēsturiskos nosacījumus 1.kārtas projektu iesniegumu atlases izsludināšanai</w:t>
            </w:r>
            <w:r w:rsidR="00520E71" w:rsidRPr="009B0B4A">
              <w:t xml:space="preserve">, </w:t>
            </w:r>
            <w:r w:rsidR="004405FF" w:rsidRPr="009B0B4A">
              <w:t xml:space="preserve">dzēsts </w:t>
            </w:r>
            <w:r w:rsidR="00520E71" w:rsidRPr="009B0B4A">
              <w:t>50.3.apakspunkt</w:t>
            </w:r>
            <w:r w:rsidR="004405FF" w:rsidRPr="009B0B4A">
              <w:t>s</w:t>
            </w:r>
            <w:r w:rsidR="00520E71" w:rsidRPr="009B0B4A">
              <w:t>. Iekļaut</w:t>
            </w:r>
            <w:r w:rsidR="004139A7" w:rsidRPr="009B0B4A">
              <w:t>s</w:t>
            </w:r>
            <w:r w:rsidR="00520E71" w:rsidRPr="009B0B4A">
              <w:t xml:space="preserve"> jaun</w:t>
            </w:r>
            <w:r w:rsidR="004139A7" w:rsidRPr="009B0B4A">
              <w:t>s</w:t>
            </w:r>
            <w:r w:rsidR="00520E71" w:rsidRPr="009B0B4A">
              <w:t xml:space="preserve"> 50.</w:t>
            </w:r>
            <w:r w:rsidR="00520E71" w:rsidRPr="009B0B4A">
              <w:rPr>
                <w:vertAlign w:val="superscript"/>
              </w:rPr>
              <w:t>1</w:t>
            </w:r>
            <w:r w:rsidR="00520E71" w:rsidRPr="009B0B4A">
              <w:t xml:space="preserve"> </w:t>
            </w:r>
            <w:r w:rsidR="00067341" w:rsidRPr="009B0B4A">
              <w:t>apakš</w:t>
            </w:r>
            <w:r w:rsidR="00520E71" w:rsidRPr="009B0B4A">
              <w:t>punkt</w:t>
            </w:r>
            <w:r w:rsidR="004139A7" w:rsidRPr="009B0B4A">
              <w:t>s</w:t>
            </w:r>
            <w:r w:rsidR="00520E71" w:rsidRPr="009B0B4A">
              <w:t xml:space="preserve">, </w:t>
            </w:r>
            <w:r w:rsidR="00067341" w:rsidRPr="009B0B4A">
              <w:t xml:space="preserve">kuri </w:t>
            </w:r>
            <w:r w:rsidR="0006457D" w:rsidRPr="009B0B4A">
              <w:t xml:space="preserve">nosaka, ka </w:t>
            </w:r>
            <w:r w:rsidR="00A45ACA" w:rsidRPr="009B0B4A">
              <w:t>līdz 2020.gada 1.</w:t>
            </w:r>
            <w:r w:rsidR="00AD16B3">
              <w:t>maijam</w:t>
            </w:r>
            <w:r w:rsidR="00AD16B3" w:rsidRPr="009B0B4A">
              <w:t xml:space="preserve"> </w:t>
            </w:r>
            <w:r w:rsidR="0006457D" w:rsidRPr="009B0B4A">
              <w:t xml:space="preserve">sadarbības iestāde </w:t>
            </w:r>
            <w:proofErr w:type="spellStart"/>
            <w:r w:rsidR="0006457D" w:rsidRPr="009B0B4A">
              <w:t>nosūta</w:t>
            </w:r>
            <w:proofErr w:type="spellEnd"/>
            <w:r w:rsidR="0006457D" w:rsidRPr="009B0B4A">
              <w:t xml:space="preserve"> uzaicinājumu </w:t>
            </w:r>
            <w:r w:rsidR="00067341" w:rsidRPr="009B0B4A">
              <w:t xml:space="preserve">9.2.4.2. pasākuma </w:t>
            </w:r>
            <w:r w:rsidR="0006457D" w:rsidRPr="009B0B4A">
              <w:t>finansējuma saņēmējam veikt grozījumu projekta iesniegumā</w:t>
            </w:r>
            <w:r w:rsidR="000171D0" w:rsidRPr="009B0B4A">
              <w:t>,</w:t>
            </w:r>
            <w:r w:rsidR="0006457D" w:rsidRPr="009B0B4A">
              <w:t xml:space="preserve"> paredzot  veselības veicināšanas un slimību profilakses pasākumu īstenošanu 2020.–2023. gadā nepārsniedzot 2023.gada 31.decembri, palielinot projektu iesniegumu attiecināmo izmaksu kopsummu par</w:t>
            </w:r>
            <w:r w:rsidR="00A45ACA" w:rsidRPr="009B0B4A">
              <w:t xml:space="preserve"> sadarbības iestādes tīmekļvietnē publicēto finansējuma sadalījumu un individuāli sasniedzamos iznākuma rādītājus</w:t>
            </w:r>
            <w:r w:rsidR="00464827" w:rsidRPr="009B0B4A">
              <w:t xml:space="preserve">. </w:t>
            </w:r>
            <w:r w:rsidR="006A4C2C" w:rsidRPr="009B0B4A">
              <w:t xml:space="preserve">Uzaicinājums 9.2.4.2. pasākuma </w:t>
            </w:r>
            <w:r w:rsidR="0049409F" w:rsidRPr="009B0B4A">
              <w:t>f</w:t>
            </w:r>
            <w:r w:rsidR="006A4C2C" w:rsidRPr="009B0B4A">
              <w:t>inansē</w:t>
            </w:r>
            <w:r w:rsidR="0049409F" w:rsidRPr="009B0B4A">
              <w:t xml:space="preserve">juma saņēmējiem tiks nosūtīts iespējami ātri, nepieļaujot situāciju, ka ilgstoši netiek veikti grozījumi projekta iesniegumos. </w:t>
            </w:r>
            <w:r w:rsidR="009B080A" w:rsidRPr="009B0B4A">
              <w:t>Tāpat punkt</w:t>
            </w:r>
            <w:r w:rsidR="002B7E51" w:rsidRPr="009B0B4A">
              <w:t>i</w:t>
            </w:r>
            <w:r w:rsidR="009B080A" w:rsidRPr="009B0B4A">
              <w:t xml:space="preserve"> nosaka, ka finansējuma saņēmējs iesniedz grozījumus sadarbības iestādei ne vēlāk kā </w:t>
            </w:r>
            <w:r w:rsidR="00AD16B3">
              <w:t>1</w:t>
            </w:r>
            <w:r w:rsidR="00AD16B3" w:rsidRPr="009B0B4A">
              <w:t xml:space="preserve"> mēneš</w:t>
            </w:r>
            <w:r w:rsidR="00AD16B3">
              <w:t>a</w:t>
            </w:r>
            <w:r w:rsidR="00AD16B3" w:rsidRPr="009B0B4A">
              <w:t xml:space="preserve"> </w:t>
            </w:r>
            <w:r w:rsidR="009B080A" w:rsidRPr="009B0B4A">
              <w:t xml:space="preserve">laikā. Tādejādi, ja līdz 2020.gada </w:t>
            </w:r>
            <w:r w:rsidR="00AD16B3">
              <w:t>1.jūnijam</w:t>
            </w:r>
            <w:r w:rsidR="009B080A" w:rsidRPr="009B0B4A">
              <w:t xml:space="preserve"> netiek ierosināti grozījumi pašvaldību projektos, par </w:t>
            </w:r>
            <w:r w:rsidR="002B7E51" w:rsidRPr="009B0B4A">
              <w:t xml:space="preserve">2020.-2023.gada perioda </w:t>
            </w:r>
            <w:r w:rsidR="009B080A" w:rsidRPr="009B0B4A">
              <w:t>papildus finansējumu veselības veicināšanas un slimību profilakses pasākumiem, saskaņā ar noteikumu 54.3.punktu pasākumus pašvaldībās īsteno SPKC, tādejādi nodrošinot, ka minēto pašvaldību iedzīvotāji tiek nodrošināt</w:t>
            </w:r>
            <w:r w:rsidR="00562CAB">
              <w:t>i</w:t>
            </w:r>
            <w:r w:rsidR="009B080A" w:rsidRPr="009B0B4A">
              <w:t xml:space="preserve"> ar vietējā mēroga veselības veicināšanas un slimību profilakses pasākumiem.</w:t>
            </w:r>
          </w:p>
          <w:p w14:paraId="4BDFCDB3" w14:textId="61893852" w:rsidR="00252469" w:rsidRPr="009B0B4A" w:rsidRDefault="00464827" w:rsidP="00E03779">
            <w:pPr>
              <w:tabs>
                <w:tab w:val="left" w:pos="2977"/>
              </w:tabs>
              <w:spacing w:after="160"/>
              <w:ind w:left="285" w:right="142"/>
              <w:jc w:val="both"/>
            </w:pPr>
            <w:r w:rsidRPr="009B0B4A">
              <w:t xml:space="preserve">Tāpat papildināts ar jaunu </w:t>
            </w:r>
            <w:r w:rsidR="00D10307" w:rsidRPr="009B0B4A">
              <w:t>50.</w:t>
            </w:r>
            <w:r w:rsidR="00D10307" w:rsidRPr="009B0B4A">
              <w:rPr>
                <w:vertAlign w:val="superscript"/>
              </w:rPr>
              <w:t>2</w:t>
            </w:r>
            <w:r w:rsidR="00D10307" w:rsidRPr="009B0B4A">
              <w:t xml:space="preserve"> apakšpunkt</w:t>
            </w:r>
            <w:r w:rsidRPr="009B0B4A">
              <w:t>u, kas</w:t>
            </w:r>
            <w:r w:rsidR="00D10307" w:rsidRPr="009B0B4A">
              <w:t xml:space="preserve"> nosaka, </w:t>
            </w:r>
            <w:r w:rsidR="00497BD1" w:rsidRPr="009B0B4A">
              <w:t xml:space="preserve">9.2.4.2. pasākuma finansējuma saņēmēju un sadarbības </w:t>
            </w:r>
            <w:r w:rsidR="00497BD1" w:rsidRPr="009B0B4A">
              <w:lastRenderedPageBreak/>
              <w:t>partneru izmaksas par šo noteikumu 34. punktā minēto atbalstāmo darbību nodrošināšanu šo noteikumu 50.</w:t>
            </w:r>
            <w:r w:rsidR="00497BD1" w:rsidRPr="009B0B4A">
              <w:rPr>
                <w:vertAlign w:val="superscript"/>
              </w:rPr>
              <w:t>1</w:t>
            </w:r>
            <w:r w:rsidR="00497BD1" w:rsidRPr="009B0B4A">
              <w:t xml:space="preserve"> noteiktajā pasākumu īstenošanas 2020.–2023. gadā periodā (jeb iepriekš plānotais 2.kārtas projektu īstenošanas termiņš un finansējums), ja tās atbilst šo noteikumu prasībām, ir attiecināmas no 2020.gada 1.janvāra</w:t>
            </w:r>
            <w:r w:rsidR="00D10307" w:rsidRPr="009B0B4A">
              <w:t xml:space="preserve">. </w:t>
            </w:r>
            <w:r w:rsidR="008B0916" w:rsidRPr="009B0B4A">
              <w:t>Ņemot vērā, ka pēc projekta noslēgšanas, proti pēc noslēguma maksājuma apmaksas veikšanas finansējuma saņēmējam, izmaksas nav attiecināmas un</w:t>
            </w:r>
            <w:r w:rsidR="00D10307" w:rsidRPr="009B0B4A">
              <w:t xml:space="preserve">, </w:t>
            </w:r>
            <w:r w:rsidR="008B0916" w:rsidRPr="009B0B4A">
              <w:t xml:space="preserve">papildus </w:t>
            </w:r>
            <w:r w:rsidR="00D10307" w:rsidRPr="009B0B4A">
              <w:t xml:space="preserve">ņemot vērā, ka lielai daļai pašvaldību </w:t>
            </w:r>
            <w:r w:rsidR="00252469" w:rsidRPr="009B0B4A">
              <w:t xml:space="preserve">2019.gada beigās beidzās 1.kārtas projektu īstenošanas termiņš, ar šo nosacījumu, pašvaldībai uzņemoties risku un </w:t>
            </w:r>
            <w:proofErr w:type="spellStart"/>
            <w:r w:rsidR="00252469" w:rsidRPr="009B0B4A">
              <w:t>priekšfinansējot</w:t>
            </w:r>
            <w:proofErr w:type="spellEnd"/>
            <w:r w:rsidR="00252469" w:rsidRPr="009B0B4A">
              <w:t xml:space="preserve"> veselības veicināšanas un slimību profilakses pasākumus no sava budžeta</w:t>
            </w:r>
            <w:r w:rsidR="00497BD1" w:rsidRPr="009B0B4A">
              <w:t xml:space="preserve">, ir iespēja nodrošināt pasākumu īstenošanas nepārtrauktību. </w:t>
            </w:r>
            <w:r w:rsidR="00252469" w:rsidRPr="009B0B4A">
              <w:t xml:space="preserve"> Risks pastāv attiecībā uz to, ka piln</w:t>
            </w:r>
            <w:r w:rsidR="00497BD1" w:rsidRPr="009B0B4A">
              <w:t>u</w:t>
            </w:r>
            <w:r w:rsidR="00252469" w:rsidRPr="009B0B4A">
              <w:t xml:space="preserve"> pārliecību, ka īstenojamie pasākumi 2020.–2023.gadā periodam atbilst MK </w:t>
            </w:r>
            <w:r w:rsidR="00497BD1" w:rsidRPr="009B0B4A">
              <w:t>n</w:t>
            </w:r>
            <w:r w:rsidR="00252469" w:rsidRPr="009B0B4A">
              <w:t>oteikumiem, var gūt tikai pēc MK noteikumu spēkā stāšanās</w:t>
            </w:r>
            <w:r w:rsidR="008B0916" w:rsidRPr="009B0B4A">
              <w:t xml:space="preserve"> un </w:t>
            </w:r>
            <w:r w:rsidR="00252469" w:rsidRPr="009B0B4A">
              <w:t xml:space="preserve">projekta grozījumu apstiprināšanas CFLA. Šis </w:t>
            </w:r>
            <w:r w:rsidR="00497BD1" w:rsidRPr="009B0B4A">
              <w:t>nosacījums</w:t>
            </w:r>
            <w:r w:rsidR="00252469" w:rsidRPr="009B0B4A">
              <w:t xml:space="preserve"> nodrošina veselības veicināšanas un slimību </w:t>
            </w:r>
            <w:r w:rsidR="00F66C6C" w:rsidRPr="009B0B4A">
              <w:t>profilakses</w:t>
            </w:r>
            <w:r w:rsidR="00252469" w:rsidRPr="009B0B4A">
              <w:t xml:space="preserve"> pasākumu nepārtrauktību pašvaldību iedzīvotājiem, kā arī nodrošina</w:t>
            </w:r>
            <w:r w:rsidR="00F66C6C" w:rsidRPr="009B0B4A">
              <w:t xml:space="preserve"> </w:t>
            </w:r>
            <w:r w:rsidR="00497BD1" w:rsidRPr="009B0B4A">
              <w:t xml:space="preserve">jau pieredzējušā </w:t>
            </w:r>
            <w:r w:rsidR="00F66C6C" w:rsidRPr="009B0B4A">
              <w:t>projekta vadības un īstenošanas personāla</w:t>
            </w:r>
            <w:r w:rsidR="00497BD1" w:rsidRPr="009B0B4A">
              <w:t xml:space="preserve"> saglabāšanu projektā.</w:t>
            </w:r>
          </w:p>
          <w:p w14:paraId="12616472" w14:textId="26631497" w:rsidR="0004272E" w:rsidRPr="009B0B4A" w:rsidRDefault="0004272E" w:rsidP="00E03779">
            <w:pPr>
              <w:tabs>
                <w:tab w:val="left" w:pos="2977"/>
              </w:tabs>
              <w:spacing w:after="160"/>
              <w:ind w:left="285" w:right="142"/>
              <w:jc w:val="both"/>
            </w:pPr>
            <w:r w:rsidRPr="009B0B4A">
              <w:t>Precizēts 53.punkts</w:t>
            </w:r>
            <w:r w:rsidR="00DC395B" w:rsidRPr="009B0B4A">
              <w:t>, papildināts 52.8.punkts ar atsauci uz veselības veicināšanas un slimību profilakses pasākumu īstenošanu periodā no 2017.gada līdz 2020.gadam</w:t>
            </w:r>
            <w:r w:rsidR="00DC67E1" w:rsidRPr="009B0B4A">
              <w:t>, tādejādi precizējot, ka maksimāl</w:t>
            </w:r>
            <w:r w:rsidR="008156F7" w:rsidRPr="009B0B4A">
              <w:t xml:space="preserve">ā viena projekta summa </w:t>
            </w:r>
            <w:r w:rsidR="008B0916" w:rsidRPr="009B0B4A">
              <w:t xml:space="preserve"> periodā no 2017.gada līdz 2020.gadam</w:t>
            </w:r>
            <w:r w:rsidR="008B0916" w:rsidRPr="009B0B4A" w:rsidDel="008B0916">
              <w:t xml:space="preserve"> </w:t>
            </w:r>
            <w:r w:rsidR="008156F7" w:rsidRPr="009B0B4A">
              <w:t>varēja būt 3,5</w:t>
            </w:r>
            <w:r w:rsidR="00F12733" w:rsidRPr="009B0B4A">
              <w:t xml:space="preserve"> </w:t>
            </w:r>
            <w:r w:rsidR="008156F7" w:rsidRPr="009B0B4A">
              <w:t>miljoni</w:t>
            </w:r>
            <w:r w:rsidR="009C2F7E" w:rsidRPr="009B0B4A">
              <w:t>. Vēsturiski nosacījums noteikts atbilstoši</w:t>
            </w:r>
            <w:r w:rsidR="00C802A2" w:rsidRPr="009B0B4A">
              <w:t xml:space="preserve"> ierobežotajam ES fondu finansējumam, proti</w:t>
            </w:r>
            <w:r w:rsidR="009C2F7E" w:rsidRPr="009B0B4A">
              <w:t xml:space="preserve"> </w:t>
            </w:r>
            <w:r w:rsidR="00C802A2" w:rsidRPr="009B0B4A">
              <w:t xml:space="preserve">LR galvaspilsētā dzīvo gandrīz puse no visiem LV iedzīvotājiem, tādejādi, ja visām pašvaldībām rēķinātu finansējumu pēc MK noteikumu Nr.310 52.punktā visiem noteiktajiem kritērijiem, nepieciešamais ES fondu atbalsta finansējums pārsniegtu pieejamo vairākkārtēji, tādejādi jau sākumā tika noteikts izņēmuma kritērijs 52.8.apakšpunktā, kas uzliek šo maksimālo viena projekta summas ierobežojumu 3,5 </w:t>
            </w:r>
            <w:proofErr w:type="spellStart"/>
            <w:r w:rsidR="00C802A2" w:rsidRPr="009B0B4A">
              <w:t>mil</w:t>
            </w:r>
            <w:proofErr w:type="spellEnd"/>
            <w:r w:rsidR="00C802A2" w:rsidRPr="009B0B4A">
              <w:t xml:space="preserve">. </w:t>
            </w:r>
            <w:proofErr w:type="spellStart"/>
            <w:r w:rsidR="00C802A2" w:rsidRPr="009B0B4A">
              <w:t>euro</w:t>
            </w:r>
            <w:proofErr w:type="spellEnd"/>
            <w:r w:rsidR="00C802A2" w:rsidRPr="009B0B4A">
              <w:t xml:space="preserve">. Par cik turpmākajos MK noteikumu Nr.310 grozījumos tika noteikts </w:t>
            </w:r>
            <w:r w:rsidR="00C802A2" w:rsidRPr="00646DED">
              <w:t>52.</w:t>
            </w:r>
            <w:r w:rsidR="00C802A2" w:rsidRPr="00646DED">
              <w:rPr>
                <w:vertAlign w:val="superscript"/>
              </w:rPr>
              <w:t>1 </w:t>
            </w:r>
            <w:r w:rsidR="00C802A2" w:rsidRPr="00646DED">
              <w:t>3. apakšpunkts, kurš noteica ierobežojot finansējumu, ierobežot arī sasniedzamos rādītājus, nevairojot nevienlīdzību</w:t>
            </w:r>
            <w:r w:rsidR="008156F7" w:rsidRPr="009B0B4A">
              <w:t xml:space="preserve">. </w:t>
            </w:r>
            <w:r w:rsidR="00C802A2" w:rsidRPr="009B0B4A">
              <w:t>Tādejādi</w:t>
            </w:r>
            <w:r w:rsidR="00C30065" w:rsidRPr="009B0B4A">
              <w:t>,</w:t>
            </w:r>
            <w:r w:rsidR="00C802A2" w:rsidRPr="009B0B4A">
              <w:t xml:space="preserve"> ņemot vērā, ka netiks izsludināta otrā kārta, bet pirmā kārta jau ir noticis fakts, šis ierobežojums nav aktuāls u</w:t>
            </w:r>
            <w:r w:rsidR="008156F7" w:rsidRPr="009B0B4A">
              <w:t xml:space="preserve">z otro kārtu jeb pasākumu īstenošanu 2020. līdz 2023.gadam </w:t>
            </w:r>
            <w:r w:rsidR="00C802A2" w:rsidRPr="009B0B4A">
              <w:t xml:space="preserve">un </w:t>
            </w:r>
            <w:r w:rsidR="008156F7" w:rsidRPr="009B0B4A">
              <w:t>šāds ierobežojums tiek noteikts</w:t>
            </w:r>
            <w:r w:rsidR="00C802A2" w:rsidRPr="009B0B4A">
              <w:t xml:space="preserve"> tikai uz pirmo kārtu</w:t>
            </w:r>
            <w:r w:rsidRPr="009B0B4A">
              <w:t>.</w:t>
            </w:r>
          </w:p>
          <w:p w14:paraId="2638D0A5" w14:textId="4B202E40" w:rsidR="000171D0" w:rsidRPr="009B0B4A" w:rsidRDefault="000171D0" w:rsidP="00E03779">
            <w:pPr>
              <w:pStyle w:val="ListParagraph"/>
              <w:numPr>
                <w:ilvl w:val="0"/>
                <w:numId w:val="2"/>
              </w:numPr>
              <w:tabs>
                <w:tab w:val="left" w:pos="2977"/>
              </w:tabs>
              <w:spacing w:before="240" w:after="40"/>
              <w:ind w:left="285" w:right="57" w:hanging="285"/>
              <w:contextualSpacing w:val="0"/>
              <w:jc w:val="both"/>
            </w:pPr>
            <w:r w:rsidRPr="009B0B4A">
              <w:t xml:space="preserve">Šobrīd 9.2.4.2.pasākuma ietvaros tiek īstenoti </w:t>
            </w:r>
            <w:r w:rsidR="00B92A56" w:rsidRPr="009B0B4A">
              <w:t>96</w:t>
            </w:r>
            <w:r w:rsidRPr="009B0B4A">
              <w:t xml:space="preserve"> projekti, nodrošinot  veselības veicināšanas un slimību profilakses pasākumu īstenošanu visā Latvijas teritorijā. </w:t>
            </w:r>
            <w:r w:rsidR="00DD1BD5" w:rsidRPr="009B0B4A">
              <w:t xml:space="preserve">95 projektus īsteno pašvaldības, savukārt </w:t>
            </w:r>
            <w:r w:rsidR="00201314" w:rsidRPr="009B0B4A">
              <w:t xml:space="preserve">Slimību profilakses un kontroles centrs (turpmāk – </w:t>
            </w:r>
            <w:r w:rsidR="00DD1BD5" w:rsidRPr="009B0B4A">
              <w:t>SPKC</w:t>
            </w:r>
            <w:r w:rsidR="00201314" w:rsidRPr="009B0B4A">
              <w:t>)</w:t>
            </w:r>
            <w:r w:rsidR="00DD1BD5" w:rsidRPr="009B0B4A">
              <w:t xml:space="preserve"> īsteno vienu projektu 24 pašvaldību teritorijās, kuras vai nu nav pievienojušās </w:t>
            </w:r>
            <w:r w:rsidR="00201314" w:rsidRPr="009B0B4A">
              <w:t>Nacionālaja</w:t>
            </w:r>
            <w:r w:rsidR="00E97F34" w:rsidRPr="009B0B4A">
              <w:t>m</w:t>
            </w:r>
            <w:r w:rsidR="00201314" w:rsidRPr="009B0B4A">
              <w:t xml:space="preserve"> veselīgo pašvaldību tīklam (turpmāk – </w:t>
            </w:r>
            <w:r w:rsidR="00DD1BD5" w:rsidRPr="009B0B4A">
              <w:t>NVPT</w:t>
            </w:r>
            <w:r w:rsidR="00201314" w:rsidRPr="009B0B4A">
              <w:t>)</w:t>
            </w:r>
            <w:r w:rsidR="00DD1BD5" w:rsidRPr="009B0B4A">
              <w:t xml:space="preserve"> vai arī ir </w:t>
            </w:r>
            <w:r w:rsidR="00DD1BD5" w:rsidRPr="009B0B4A">
              <w:lastRenderedPageBreak/>
              <w:t>pievienojušās NVPT, bet pieņēmušas lēmumu 9.2.4.2.pasākuma ietvaros projektu neīstenot.</w:t>
            </w:r>
            <w:r w:rsidRPr="009B0B4A">
              <w:t xml:space="preserve"> Ņemot vērā publiski izskanējušos viedokļus, ka pašvaldībām nav interese</w:t>
            </w:r>
            <w:r w:rsidR="00DD1BD5" w:rsidRPr="009B0B4A">
              <w:t>s</w:t>
            </w:r>
            <w:r w:rsidRPr="009B0B4A">
              <w:t xml:space="preserve"> par otrās kārtas  veselības veicināšanas un slimību profilakses pasākumu projektu īstenošanu, Veselības ministrija, </w:t>
            </w:r>
            <w:r w:rsidR="00DD1BD5" w:rsidRPr="009B0B4A">
              <w:t xml:space="preserve"> lai izvērtētu 9.2.4.2.pasākuma pilnveidošanas iespējas, kā arī </w:t>
            </w:r>
            <w:r w:rsidRPr="009B0B4A">
              <w:t>plānojot darbības programmā noteikto iznākumu rādītāju nomaiņu no personām uz pasākumiem, aptaujāja pašvaldības par</w:t>
            </w:r>
            <w:r w:rsidR="00DD1BD5" w:rsidRPr="009B0B4A">
              <w:t xml:space="preserve"> viedokli attiecībā uz esošo SAM 9.2.4. īstenošanas pieeju un par veselības veicināšanas un slimību profilakses pasākumu īstenošanas iespējām pašvaldībās pēc 2019.gada</w:t>
            </w:r>
            <w:r w:rsidRPr="009B0B4A">
              <w:t>. Lielākā daļa apstiprināja savu interesi un dalību otrās kārtas pasākumu īstenošanai, savukārt no tām pašvaldībām, kurā</w:t>
            </w:r>
            <w:r w:rsidR="00DD1BD5" w:rsidRPr="009B0B4A">
              <w:t>s</w:t>
            </w:r>
            <w:r w:rsidRPr="009B0B4A">
              <w:t xml:space="preserve"> pasākumus īsteno SPKC, tikai </w:t>
            </w:r>
            <w:r w:rsidR="00DD1BD5" w:rsidRPr="009B0B4A">
              <w:t>septiņas no 24 izteica gatavību apsvērt iespēju pēc 2019.gada projektu īstenot patstāvīgi</w:t>
            </w:r>
            <w:r w:rsidRPr="009B0B4A">
              <w:t xml:space="preserve">. Attiecīgi jaunajā 2.kārtas pasākumu īstenošanas modelī, </w:t>
            </w:r>
            <w:r w:rsidR="00DD1BD5" w:rsidRPr="009B0B4A">
              <w:t>kas tiktu īstenota nevis</w:t>
            </w:r>
            <w:r w:rsidRPr="009B0B4A">
              <w:t xml:space="preserve"> kā </w:t>
            </w:r>
            <w:r w:rsidR="00DD1BD5" w:rsidRPr="009B0B4A">
              <w:t xml:space="preserve">jauna </w:t>
            </w:r>
            <w:r w:rsidRPr="009B0B4A">
              <w:t>projektu iesniegumu atlas</w:t>
            </w:r>
            <w:r w:rsidR="00DD1BD5" w:rsidRPr="009B0B4A">
              <w:t>e</w:t>
            </w:r>
            <w:r w:rsidRPr="009B0B4A">
              <w:t xml:space="preserve">, bet </w:t>
            </w:r>
            <w:r w:rsidR="00DD1BD5" w:rsidRPr="009B0B4A">
              <w:t>kā esošo projektu turpinājums, veicot</w:t>
            </w:r>
            <w:r w:rsidRPr="009B0B4A">
              <w:t xml:space="preserve"> projektu grozījum</w:t>
            </w:r>
            <w:r w:rsidR="00DD1BD5" w:rsidRPr="009B0B4A">
              <w:t>us</w:t>
            </w:r>
            <w:r w:rsidRPr="009B0B4A">
              <w:t>, pašvaldībām, kurā</w:t>
            </w:r>
            <w:r w:rsidR="00DD1BD5" w:rsidRPr="009B0B4A">
              <w:t>s</w:t>
            </w:r>
            <w:r w:rsidRPr="009B0B4A">
              <w:t xml:space="preserve"> pasākumus īsteno SPKC, bet kurām ir interese pašām plānot pasākumus, tiek nodrošināta iespēja ar projekta grozījumiem iekļauties SPKC projektā kā sadarbības partneriem</w:t>
            </w:r>
            <w:r w:rsidR="004D0D3F" w:rsidRPr="009B0B4A">
              <w:t xml:space="preserve">, tomēr novēršot </w:t>
            </w:r>
            <w:r w:rsidR="001D3AFD" w:rsidRPr="009B0B4A">
              <w:t xml:space="preserve">iespējamo kapacitātes </w:t>
            </w:r>
            <w:r w:rsidR="004D0D3F" w:rsidRPr="009B0B4A">
              <w:t>risku</w:t>
            </w:r>
            <w:r w:rsidR="001D3AFD" w:rsidRPr="009B0B4A">
              <w:t xml:space="preserve"> (analizējot iemeslus, kāpēc pašvaldības pašas neiesaistās veselības veicināšanas un slimību profilakses pasākumu īstenošanā – pieredzes trūkums pasākumu īstenošanā, projektu vadībā, iepirkumu veikšanā, utt.)</w:t>
            </w:r>
            <w:r w:rsidR="004D0D3F" w:rsidRPr="009B0B4A">
              <w:t xml:space="preserve"> un paturot SPKC kontrolē</w:t>
            </w:r>
            <w:r w:rsidR="001D3AFD" w:rsidRPr="009B0B4A">
              <w:t xml:space="preserve"> projekta īstenošanu un finansējuma uzraudzību</w:t>
            </w:r>
            <w:r w:rsidRPr="009B0B4A">
              <w:t>.</w:t>
            </w:r>
          </w:p>
          <w:p w14:paraId="2D4A0B0B" w14:textId="480E349A" w:rsidR="000171D0" w:rsidRPr="009B0B4A" w:rsidRDefault="000171D0" w:rsidP="00E03779">
            <w:pPr>
              <w:pStyle w:val="ListParagraph"/>
              <w:tabs>
                <w:tab w:val="left" w:pos="795"/>
              </w:tabs>
              <w:spacing w:before="240" w:after="40"/>
              <w:ind w:left="285" w:right="137"/>
              <w:contextualSpacing w:val="0"/>
              <w:jc w:val="both"/>
            </w:pPr>
            <w:r w:rsidRPr="009B0B4A">
              <w:t>Secīgi noteikumu projekts papildināts ar jaunu  20.</w:t>
            </w:r>
            <w:r w:rsidRPr="009B0B4A">
              <w:rPr>
                <w:vertAlign w:val="superscript"/>
              </w:rPr>
              <w:t>1</w:t>
            </w:r>
            <w:r w:rsidRPr="009B0B4A">
              <w:t>punktu, kurš nosaka SPKC kā finansējuma saņēmējs sadarbības partneru statusā var piesaistīt pašvaldības</w:t>
            </w:r>
            <w:r w:rsidR="00DD1BD5" w:rsidRPr="009B0B4A">
              <w:t>, kas 9.2.4.2.pasākuma projektus neīsteno,</w:t>
            </w:r>
            <w:r w:rsidRPr="009B0B4A">
              <w:t xml:space="preserve"> vai to iestādes, kuras veic vietējās sabiedrības veselības veicināšanas un slimību profilakses pasākumus. Tāpat 20.</w:t>
            </w:r>
            <w:r w:rsidRPr="009B0B4A">
              <w:rPr>
                <w:vertAlign w:val="superscript"/>
              </w:rPr>
              <w:t xml:space="preserve">2 </w:t>
            </w:r>
            <w:r w:rsidRPr="009B0B4A">
              <w:t>punkts nosaka, ka Sadarbības partneris 9.2.4.2. pasākuma ietvaros var īstenot veselības veicināšanas un slimību profilakses pasākumu atbalstāmās darbības un veikt izmaksas.</w:t>
            </w:r>
          </w:p>
          <w:p w14:paraId="73266F1D" w14:textId="4219B661" w:rsidR="00511BCC" w:rsidRPr="009B0B4A" w:rsidRDefault="00511BCC" w:rsidP="00E03779">
            <w:pPr>
              <w:pStyle w:val="ListParagraph"/>
              <w:tabs>
                <w:tab w:val="left" w:pos="2977"/>
              </w:tabs>
              <w:spacing w:before="240" w:after="40"/>
              <w:ind w:left="285" w:right="57"/>
              <w:contextualSpacing w:val="0"/>
              <w:jc w:val="both"/>
            </w:pPr>
            <w:r w:rsidRPr="009B0B4A">
              <w:t xml:space="preserve">Grozīts noteikumu 54.3.apakšpunkts paredzot iespēju, ka SPKC izstrādā un īsteno projektu ne tikai par tām pašvaldībām, kuru projekta iesniegums noraidīts vai kuras  atteikušās no projekta īstenošanas, bet arī gadījumos, ja pašvaldība nav iesniegusi </w:t>
            </w:r>
            <w:r w:rsidR="00637C7B" w:rsidRPr="009B0B4A">
              <w:t xml:space="preserve"> grozījumu priekšlikumu vienošanās par projekta īstenošanu </w:t>
            </w:r>
            <w:r w:rsidRPr="009B0B4A">
              <w:t>atbilstoši noteikumu 50.</w:t>
            </w:r>
            <w:r w:rsidRPr="009B0B4A">
              <w:rPr>
                <w:vertAlign w:val="superscript"/>
              </w:rPr>
              <w:t>1</w:t>
            </w:r>
            <w:r w:rsidRPr="009B0B4A">
              <w:t xml:space="preserve"> punktā minētajai kārtībai</w:t>
            </w:r>
            <w:r w:rsidR="00637C7B" w:rsidRPr="009B0B4A">
              <w:t xml:space="preserve"> un termiņam</w:t>
            </w:r>
            <w:r w:rsidRPr="009B0B4A">
              <w:t>.</w:t>
            </w:r>
          </w:p>
          <w:p w14:paraId="6CA29A5E" w14:textId="7A208EA8" w:rsidR="001016A9" w:rsidRPr="009B0B4A" w:rsidRDefault="001016A9" w:rsidP="00E03779">
            <w:pPr>
              <w:pStyle w:val="ListParagraph"/>
              <w:numPr>
                <w:ilvl w:val="0"/>
                <w:numId w:val="2"/>
              </w:numPr>
              <w:tabs>
                <w:tab w:val="left" w:pos="709"/>
              </w:tabs>
              <w:spacing w:before="240" w:after="40"/>
              <w:ind w:left="285" w:right="137" w:hanging="284"/>
              <w:contextualSpacing w:val="0"/>
              <w:jc w:val="both"/>
            </w:pPr>
            <w:r w:rsidRPr="009B0B4A">
              <w:t xml:space="preserve">Papildus noteikumu projekts paredz piemērot Finanšu ministrijas </w:t>
            </w:r>
            <w:r w:rsidRPr="009B0B4A">
              <w:rPr>
                <w:shd w:val="clear" w:color="auto" w:fill="F7F6FC"/>
              </w:rPr>
              <w:t xml:space="preserve"> </w:t>
            </w:r>
            <w:r w:rsidRPr="009B0B4A">
              <w:t xml:space="preserve">metodikā “Vienas vienības izmaksu standarta likmes aprēķina un piemērošanas metodika iekšzemes komandējumu izmaksām darbības programmas “Izaugsme un nodarbinātība” īstenošanai” ietvertos nosacījumus projekta darba braucienu un iekšzemes komandējumu </w:t>
            </w:r>
            <w:r w:rsidRPr="009B0B4A">
              <w:lastRenderedPageBreak/>
              <w:t xml:space="preserve">izmaksām izdevumiem par viesnīcu (naktsmītni) Latvijas teritorijā un dienas naudu par katru iekšzemes komandējuma dienu. Ņemot vērā, ka metodikas piemērošana tiek paredzēta </w:t>
            </w:r>
            <w:r w:rsidR="00B92A56" w:rsidRPr="009B0B4A">
              <w:t>p</w:t>
            </w:r>
            <w:r w:rsidRPr="009B0B4A">
              <w:t xml:space="preserve">rojekta īstenošanas laikā, to sāks piemērot no noteikumu projekta spēkā stāšanās un tās piemērošana neattiecas uz transporta izmaksām, par kurām </w:t>
            </w:r>
            <w:r w:rsidR="00B92A56" w:rsidRPr="009B0B4A">
              <w:t>p</w:t>
            </w:r>
            <w:r w:rsidRPr="009B0B4A">
              <w:t>rojektā ir noslēgts pakalpojuma līgums, attiecīgi noteikumu projekts papildināts ar jaunu 32.</w:t>
            </w:r>
            <w:r w:rsidRPr="009B0B4A">
              <w:rPr>
                <w:vertAlign w:val="superscript"/>
              </w:rPr>
              <w:t>2 </w:t>
            </w:r>
            <w:r w:rsidRPr="009B0B4A">
              <w:t xml:space="preserve">punktu, kas nosaka, ka </w:t>
            </w:r>
            <w:r w:rsidRPr="009B0B4A">
              <w:rPr>
                <w:i/>
              </w:rPr>
              <w:t>-   MK noteikumu 23.</w:t>
            </w:r>
            <w:r w:rsidR="004405FF" w:rsidRPr="009B0B4A">
              <w:rPr>
                <w:i/>
                <w:vertAlign w:val="superscript"/>
              </w:rPr>
              <w:t>1</w:t>
            </w:r>
            <w:r w:rsidRPr="009B0B4A">
              <w:rPr>
                <w:i/>
              </w:rPr>
              <w:t xml:space="preserve"> apakšpunktā minēto darba braucienu un iekšzemes komandējumu izmaksām izdevumiem par viesnīcu (naktsmītni) Latvijas teritorijā un dienas naudu par katru iekšzemes komandējuma dienu piemēro Finanšu ministrijas metodikā “Vienas vienības izmaksu standarta likmes aprēķina un piemērošanas metodika iekšzemes komandējumu izmaksām darbības programmas “Izaugsme un nodarbinātība” īstenošanai” ietvertos nosacījumus. Minēto vienas vienības izmaksu metodiku nepiemēro piegādēm un pakalpojumiem, kuru iepirkti (noslēgts līgums) saskaņā ar publisko iepirkumu regulējumu.. Minēto vienas vienības izmaksu metodiku nepiemēro piegādēm un pakalpojumiem, kuru iepirkti (noslēgts līgums) saskaņā ar publisko iepirkumu regulējumu</w:t>
            </w:r>
            <w:r w:rsidRPr="009B0B4A">
              <w:t xml:space="preserve">. Šis nosacījums </w:t>
            </w:r>
            <w:r w:rsidR="00B92A56" w:rsidRPr="009B0B4A">
              <w:t>p</w:t>
            </w:r>
            <w:r w:rsidRPr="009B0B4A">
              <w:t>rojekta ietvaros atvieglos maksājumu pieprasījumos iesniedzamo dokumentu apjomu gadījumos, kad finansējuma saņēmējs dodas uzraudzības pārbaudēs uz līgumu uzraudzību, brauciens paredz naktsmītnes un dienas naudu.</w:t>
            </w:r>
          </w:p>
          <w:p w14:paraId="3AD19163" w14:textId="3B5DCA96" w:rsidR="00717131" w:rsidRPr="009B0B4A" w:rsidRDefault="001016A9" w:rsidP="00E03779">
            <w:pPr>
              <w:pStyle w:val="ListParagraph"/>
              <w:tabs>
                <w:tab w:val="left" w:pos="2977"/>
              </w:tabs>
              <w:spacing w:after="160"/>
              <w:ind w:left="285" w:right="142"/>
              <w:jc w:val="both"/>
            </w:pPr>
            <w:r w:rsidRPr="009B0B4A">
              <w:t xml:space="preserve">Ja </w:t>
            </w:r>
            <w:r w:rsidR="00B92A56" w:rsidRPr="009B0B4A">
              <w:t>p</w:t>
            </w:r>
            <w:r w:rsidRPr="009B0B4A">
              <w:t>rojektā radušies izdevumi būs lielāki nekā noteikts Finanšu ministrijas izstrādātajā metodikā, starpība Veselības ministrijai kā valsts budžeta iestādei, kurai ir ierobežoti valsts budžeta līdzekļi, tiks segta no projekta netiešajām izmaksām, tādejādi neradot papildus valsts budžeta zaudējumus</w:t>
            </w:r>
            <w:r w:rsidR="007C06D9" w:rsidRPr="009B0B4A">
              <w:t>.</w:t>
            </w:r>
          </w:p>
          <w:p w14:paraId="42955527" w14:textId="7F2A9922" w:rsidR="006964FF" w:rsidRPr="009B0B4A" w:rsidRDefault="008E70DB" w:rsidP="00E03779">
            <w:pPr>
              <w:pStyle w:val="ListParagraph"/>
              <w:numPr>
                <w:ilvl w:val="0"/>
                <w:numId w:val="2"/>
              </w:numPr>
              <w:shd w:val="clear" w:color="auto" w:fill="FFFFFF"/>
              <w:tabs>
                <w:tab w:val="left" w:pos="427"/>
              </w:tabs>
              <w:spacing w:before="240" w:after="40"/>
              <w:ind w:left="285" w:right="137" w:hanging="284"/>
              <w:contextualSpacing w:val="0"/>
              <w:jc w:val="both"/>
            </w:pPr>
            <w:r w:rsidRPr="009B0B4A">
              <w:t xml:space="preserve">Šobrīd spēkā esošā MK noteikumu 34.punkts nosaka </w:t>
            </w:r>
            <w:r w:rsidR="008532AC" w:rsidRPr="009B0B4A">
              <w:t xml:space="preserve">9.2.4.2.projektu ietvaros </w:t>
            </w:r>
            <w:r w:rsidRPr="009B0B4A">
              <w:t>atbalstāmās darbības: projekta vadības nodrošināšana; projekta īstenošanas nodrošināšana; slimību profilakses pasākumi mērķa grupām un vietējai sabiedrībai; veselības veicināšanas pasākumi mērķa grupām un vietējai sabiedrībai</w:t>
            </w:r>
            <w:r w:rsidR="009B609A" w:rsidRPr="009B0B4A">
              <w:t xml:space="preserve"> un i</w:t>
            </w:r>
            <w:r w:rsidRPr="009B0B4A">
              <w:t>nformācijas un publicitātes pasākumu nodrošināšana</w:t>
            </w:r>
            <w:r w:rsidR="009B609A" w:rsidRPr="009B0B4A">
              <w:t>. Gan finansējumu saņēmējiem, gan uzraugošajām institūcijām atsevišķu atbalstāmo darbību izdalīšana projektos rada administratīvo slogu un nav pamata izdalīt šīs atbalstāmo darbību pozīcijas atsevišķi. Līdz ar to noteikumu projekts paredz apvienot vienā apakšpunktā projekta vadības un īstenošanas nodrošināšanu, kas paredz tāda</w:t>
            </w:r>
            <w:r w:rsidR="00E97F34" w:rsidRPr="009B0B4A">
              <w:t>s</w:t>
            </w:r>
            <w:r w:rsidR="009B609A" w:rsidRPr="009B0B4A">
              <w:t xml:space="preserve"> attiecināmo izmaksu pozīcijas kā  finansējuma saņēmēja un sadarbības partnera projekta vadības personāla atlīdzības izmaksas un projekta īstenošanas personāla atlīdzības izmaksas, (precizēts 34.1.apakšpunkts</w:t>
            </w:r>
            <w:r w:rsidR="004405FF" w:rsidRPr="009B0B4A">
              <w:t>, dzēsts 34.2.apakšpunkts</w:t>
            </w:r>
            <w:r w:rsidR="009B609A" w:rsidRPr="009B0B4A">
              <w:t>). Tāpat vienā punktā apvienotas slimību profilakses un veselības veicināšanas pasākumi mērķa grupām un vietējai sabiedrībai  (precizējot 34.</w:t>
            </w:r>
            <w:r w:rsidR="004405FF" w:rsidRPr="009B0B4A">
              <w:t>3</w:t>
            </w:r>
            <w:r w:rsidR="009B609A" w:rsidRPr="009B0B4A">
              <w:t>.apakšpunktu</w:t>
            </w:r>
            <w:r w:rsidR="00694FF8" w:rsidRPr="009B0B4A">
              <w:t xml:space="preserve">, </w:t>
            </w:r>
            <w:r w:rsidR="009B609A" w:rsidRPr="009B0B4A">
              <w:t>un svītrojot 34.</w:t>
            </w:r>
            <w:r w:rsidR="00B2794D" w:rsidRPr="009B0B4A">
              <w:t>4</w:t>
            </w:r>
            <w:r w:rsidR="009B609A" w:rsidRPr="009B0B4A">
              <w:t>.</w:t>
            </w:r>
            <w:r w:rsidR="004405FF" w:rsidRPr="009B0B4A">
              <w:t>apakšpunktu</w:t>
            </w:r>
            <w:r w:rsidR="009B609A" w:rsidRPr="009B0B4A">
              <w:t xml:space="preserve">). Ir paredzēts, ka finansējuma </w:t>
            </w:r>
            <w:r w:rsidR="009B609A" w:rsidRPr="009B0B4A">
              <w:lastRenderedPageBreak/>
              <w:t xml:space="preserve">saņēmēji turpina īstenot gan veselības veicināšanas, gan slimību profilakses (primārās) pasākumus, bet ņemot vērā, ka vienā pasākumā var tikt īstenotas abas darbības, </w:t>
            </w:r>
            <w:r w:rsidR="00E542E4" w:rsidRPr="009B0B4A">
              <w:t>k</w:t>
            </w:r>
            <w:r w:rsidR="009B609A" w:rsidRPr="009B0B4A">
              <w:t xml:space="preserve">ā arī to, ka robežlīnija un pazīmes, lai identificētu, kas ir veselības veicināšanas un kas ir slimību profilakse </w:t>
            </w:r>
            <w:r w:rsidR="00F41F2B" w:rsidRPr="009B0B4A">
              <w:t>nav</w:t>
            </w:r>
            <w:r w:rsidR="009B609A" w:rsidRPr="009B0B4A">
              <w:t xml:space="preserve"> tik </w:t>
            </w:r>
            <w:r w:rsidR="00F41F2B" w:rsidRPr="009B0B4A">
              <w:t xml:space="preserve">viennozīmīgi </w:t>
            </w:r>
            <w:r w:rsidR="009B609A" w:rsidRPr="009B0B4A">
              <w:t xml:space="preserve">nosakāma, </w:t>
            </w:r>
            <w:r w:rsidR="00F41F2B" w:rsidRPr="009B0B4A">
              <w:t>lai atvieglotu tiesība akta uztveramību to vienkāršojot,  tiek apvienoti veselības veicināšanas</w:t>
            </w:r>
            <w:r w:rsidR="00FB1529" w:rsidRPr="009B0B4A">
              <w:t xml:space="preserve"> un</w:t>
            </w:r>
            <w:r w:rsidR="00F41F2B" w:rsidRPr="009B0B4A">
              <w:t xml:space="preserve"> slimību profilakses (primārās) pasākumi vienā </w:t>
            </w:r>
            <w:r w:rsidR="000611A9" w:rsidRPr="009B0B4A">
              <w:t>at</w:t>
            </w:r>
            <w:r w:rsidR="00F41F2B" w:rsidRPr="009B0B4A">
              <w:t>balstāmo darbību pozīc</w:t>
            </w:r>
            <w:r w:rsidR="000611A9" w:rsidRPr="009B0B4A">
              <w:t>i</w:t>
            </w:r>
            <w:r w:rsidR="00F41F2B" w:rsidRPr="009B0B4A">
              <w:t>jā.</w:t>
            </w:r>
            <w:r w:rsidR="009B609A" w:rsidRPr="009B0B4A">
              <w:t xml:space="preserve"> </w:t>
            </w:r>
            <w:r w:rsidR="00B4175D" w:rsidRPr="009B0B4A">
              <w:t>Finansējuma saņēmēji arī turpmāk pēc projekta grozījumiem varēs projektā īstenot gan veselības veicināšanas, gan slimību profilakses pasākumu, vai tikai vienu no minētajiem pasākumiem.</w:t>
            </w:r>
          </w:p>
          <w:p w14:paraId="75FE56ED" w14:textId="462FB01C" w:rsidR="00F70D16" w:rsidRPr="009B0B4A" w:rsidRDefault="006964FF" w:rsidP="00E03779">
            <w:pPr>
              <w:pStyle w:val="ListParagraph"/>
              <w:shd w:val="clear" w:color="auto" w:fill="FFFFFF"/>
              <w:tabs>
                <w:tab w:val="left" w:pos="2977"/>
              </w:tabs>
              <w:spacing w:line="293" w:lineRule="atLeast"/>
              <w:ind w:left="285" w:right="142"/>
              <w:jc w:val="both"/>
            </w:pPr>
            <w:r w:rsidRPr="009B0B4A">
              <w:t>Secīgi, ņemot vērā, ka ir apvienot</w:t>
            </w:r>
            <w:r w:rsidR="00F70D16" w:rsidRPr="009B0B4A">
              <w:t>as</w:t>
            </w:r>
            <w:r w:rsidRPr="009B0B4A">
              <w:t xml:space="preserve"> </w:t>
            </w:r>
            <w:r w:rsidR="004405FF" w:rsidRPr="009B0B4A">
              <w:t xml:space="preserve">34.1. un </w:t>
            </w:r>
            <w:r w:rsidRPr="009B0B4A">
              <w:t>34.2. un 34.3.</w:t>
            </w:r>
            <w:r w:rsidR="004405FF" w:rsidRPr="009B0B4A">
              <w:t xml:space="preserve"> un 34.4. </w:t>
            </w:r>
            <w:r w:rsidRPr="009B0B4A">
              <w:t xml:space="preserve">apakšpunktos minētās </w:t>
            </w:r>
            <w:r w:rsidR="008E70DB" w:rsidRPr="009B0B4A">
              <w:t>atbalstāmas darbības veselības veicināšanas un slimību profilakses pasākumu īstenošana</w:t>
            </w:r>
            <w:r w:rsidRPr="009B0B4A">
              <w:t>, to</w:t>
            </w:r>
            <w:r w:rsidR="008E70DB" w:rsidRPr="009B0B4A">
              <w:t xml:space="preserve"> attiecināmo izmaksu pozīcijas</w:t>
            </w:r>
            <w:r w:rsidRPr="009B0B4A">
              <w:t>, kas minētas 37. un 38.punktu apakšpunktos</w:t>
            </w:r>
            <w:r w:rsidR="00F70D16" w:rsidRPr="009B0B4A">
              <w:t>, izteiktas jaunās redakcijās:</w:t>
            </w:r>
          </w:p>
          <w:p w14:paraId="2D83B6B7" w14:textId="2E1AC6C5" w:rsidR="00460D39" w:rsidRPr="009B0B4A" w:rsidRDefault="00A55FB0" w:rsidP="0080789A">
            <w:pPr>
              <w:pStyle w:val="ListParagraph"/>
              <w:numPr>
                <w:ilvl w:val="0"/>
                <w:numId w:val="22"/>
              </w:numPr>
              <w:shd w:val="clear" w:color="auto" w:fill="FFFFFF"/>
              <w:tabs>
                <w:tab w:val="left" w:pos="2977"/>
              </w:tabs>
              <w:spacing w:line="293" w:lineRule="atLeast"/>
              <w:ind w:right="142"/>
              <w:jc w:val="both"/>
            </w:pPr>
            <w:r w:rsidRPr="009B0B4A">
              <w:t xml:space="preserve">37.1.punkts un tā apakšpunkti izteikti jaunā redakcijā: </w:t>
            </w:r>
            <w:r w:rsidR="006964FF" w:rsidRPr="009B0B4A">
              <w:t>nosak</w:t>
            </w:r>
            <w:r w:rsidRPr="009B0B4A">
              <w:t>ot</w:t>
            </w:r>
            <w:r w:rsidR="006964FF" w:rsidRPr="009B0B4A">
              <w:t>, ka ir attiecināmas</w:t>
            </w:r>
            <w:r w:rsidR="00AD1264" w:rsidRPr="009B0B4A">
              <w:t xml:space="preserve"> izmaksas par veselības veicināšanas un </w:t>
            </w:r>
            <w:r w:rsidR="00E169A0" w:rsidRPr="009B0B4A">
              <w:t xml:space="preserve">primārās </w:t>
            </w:r>
            <w:r w:rsidR="00AD1264" w:rsidRPr="009B0B4A">
              <w:t xml:space="preserve">slimību profilakses pasākumu </w:t>
            </w:r>
            <w:r w:rsidR="00E169A0" w:rsidRPr="009B0B4A">
              <w:t xml:space="preserve">visiem Latvijas iedzīvotājiem </w:t>
            </w:r>
            <w:r w:rsidR="00AD1264" w:rsidRPr="009B0B4A">
              <w:t xml:space="preserve">īstenošanu, kas īstenojami </w:t>
            </w:r>
            <w:r w:rsidR="000854D2" w:rsidRPr="009B0B4A">
              <w:t xml:space="preserve">rīcības </w:t>
            </w:r>
            <w:proofErr w:type="spellStart"/>
            <w:r w:rsidR="000854D2" w:rsidRPr="009B0B4A">
              <w:t>apakšjomās</w:t>
            </w:r>
            <w:proofErr w:type="spellEnd"/>
            <w:r w:rsidR="00AD1264" w:rsidRPr="009B0B4A">
              <w:t xml:space="preserve"> - psihiskā veselība, atkarību izplatības mazināšana, fiziskā aktivitāte, veselīgs uzturs, seksuālā un reproduktīvā veselība un slimību profilakse</w:t>
            </w:r>
            <w:r w:rsidR="00B80C82" w:rsidRPr="009B0B4A">
              <w:t>, izslēdzot iespējamās izmaksas par primāro profilaksi un ārstniecības personas konsultācijām, kas veiktas papildus valsts apmaksātajai profilaksei un konsultācijām</w:t>
            </w:r>
          </w:p>
          <w:p w14:paraId="2755EACB" w14:textId="2EA9984B" w:rsidR="00717131" w:rsidRPr="009B0B4A" w:rsidRDefault="00460D39" w:rsidP="00460D39">
            <w:pPr>
              <w:pStyle w:val="ListParagraph"/>
              <w:shd w:val="clear" w:color="auto" w:fill="FFFFFF"/>
              <w:tabs>
                <w:tab w:val="left" w:pos="2977"/>
              </w:tabs>
              <w:spacing w:line="293" w:lineRule="atLeast"/>
              <w:ind w:right="142"/>
              <w:jc w:val="both"/>
            </w:pPr>
            <w:r w:rsidRPr="009B0B4A">
              <w:t>Noteikta pasākuma definīcijas, proti - p</w:t>
            </w:r>
            <w:r w:rsidR="00AD1264" w:rsidRPr="009B0B4A">
              <w:t>asākums ir  9.2.4.2. pasākuma projekta ietvaros konkrētā atrašanās vietā, konkrētā norises laikā, konkrētam plānotajam cilvēku lokam īstenots veselības veicināšanas un slimību profilakses pasākums.</w:t>
            </w:r>
          </w:p>
          <w:p w14:paraId="5D2AB0FB" w14:textId="36E70974" w:rsidR="0080789A" w:rsidRPr="009B0B4A" w:rsidRDefault="00A55FB0" w:rsidP="0080789A">
            <w:pPr>
              <w:pStyle w:val="ListParagraph"/>
              <w:numPr>
                <w:ilvl w:val="0"/>
                <w:numId w:val="21"/>
              </w:numPr>
              <w:shd w:val="clear" w:color="auto" w:fill="FFFFFF"/>
              <w:tabs>
                <w:tab w:val="left" w:pos="2977"/>
              </w:tabs>
              <w:spacing w:line="293" w:lineRule="atLeast"/>
              <w:ind w:right="142"/>
              <w:jc w:val="both"/>
            </w:pPr>
            <w:r w:rsidRPr="009B0B4A">
              <w:t xml:space="preserve">Papildināts 37.2.apakšpunkts nosakot, ka  izmaksas par veselības veicināšanas pasākumu inventāru un veselības parametru paškontroles ierīcēm un to darbības nodrošināšanu projekta īstenošanas laikā, kas nepārsniedz 10 % no </w:t>
            </w:r>
            <w:r w:rsidR="004405FF" w:rsidRPr="009B0B4A">
              <w:t xml:space="preserve">34.3. </w:t>
            </w:r>
            <w:r w:rsidRPr="009B0B4A">
              <w:t>atbalstāmās darbības finansējuma</w:t>
            </w:r>
            <w:r w:rsidR="00F70D16" w:rsidRPr="009B0B4A">
              <w:t>.</w:t>
            </w:r>
          </w:p>
          <w:p w14:paraId="309D00C6" w14:textId="4E0DC93A" w:rsidR="0080789A" w:rsidRPr="009B0B4A" w:rsidRDefault="00F70D16" w:rsidP="0080789A">
            <w:pPr>
              <w:pStyle w:val="ListParagraph"/>
              <w:numPr>
                <w:ilvl w:val="0"/>
                <w:numId w:val="21"/>
              </w:numPr>
              <w:shd w:val="clear" w:color="auto" w:fill="FFFFFF"/>
              <w:tabs>
                <w:tab w:val="left" w:pos="2977"/>
              </w:tabs>
              <w:spacing w:line="293" w:lineRule="atLeast"/>
              <w:ind w:right="142"/>
              <w:jc w:val="both"/>
            </w:pPr>
            <w:r w:rsidRPr="009B0B4A">
              <w:t>Papildināts</w:t>
            </w:r>
            <w:r w:rsidR="00E03779" w:rsidRPr="009B0B4A">
              <w:t xml:space="preserve"> </w:t>
            </w:r>
            <w:r w:rsidRPr="009B0B4A">
              <w:t xml:space="preserve">37.5. apakšpunkts, </w:t>
            </w:r>
            <w:r w:rsidR="006E7D2D" w:rsidRPr="009B0B4A">
              <w:t xml:space="preserve">apvienojot </w:t>
            </w:r>
            <w:r w:rsidR="005124A7" w:rsidRPr="009B0B4A">
              <w:t xml:space="preserve">ar </w:t>
            </w:r>
            <w:r w:rsidR="006E7D2D" w:rsidRPr="009B0B4A">
              <w:t>38.1.</w:t>
            </w:r>
            <w:r w:rsidR="005124A7" w:rsidRPr="009B0B4A">
              <w:t>apakš</w:t>
            </w:r>
            <w:r w:rsidR="006E7D2D" w:rsidRPr="009B0B4A">
              <w:t xml:space="preserve">punktu un </w:t>
            </w:r>
            <w:r w:rsidRPr="009B0B4A">
              <w:t xml:space="preserve">nosakot </w:t>
            </w:r>
            <w:r w:rsidR="005124A7" w:rsidRPr="009B0B4A">
              <w:t xml:space="preserve">ka attiecināmo izmaksu pozīcija ir izmaksas </w:t>
            </w:r>
            <w:r w:rsidRPr="009B0B4A">
              <w:t xml:space="preserve">par veselības veicināšanas un slimību profilakses pasākumu rezultātu aprakstu un efektivitātes </w:t>
            </w:r>
            <w:proofErr w:type="spellStart"/>
            <w:r w:rsidRPr="009B0B4A">
              <w:t>izvērtējumu</w:t>
            </w:r>
            <w:proofErr w:type="spellEnd"/>
            <w:r w:rsidRPr="009B0B4A">
              <w:t>.</w:t>
            </w:r>
          </w:p>
          <w:p w14:paraId="37B2076F" w14:textId="2745DC00" w:rsidR="0080789A" w:rsidRPr="009B0B4A" w:rsidRDefault="004B2D65" w:rsidP="0080789A">
            <w:pPr>
              <w:pStyle w:val="ListParagraph"/>
              <w:numPr>
                <w:ilvl w:val="0"/>
                <w:numId w:val="21"/>
              </w:numPr>
              <w:shd w:val="clear" w:color="auto" w:fill="FFFFFF"/>
              <w:tabs>
                <w:tab w:val="left" w:pos="2977"/>
              </w:tabs>
              <w:spacing w:line="293" w:lineRule="atLeast"/>
              <w:ind w:right="142"/>
              <w:jc w:val="both"/>
            </w:pPr>
            <w:r w:rsidRPr="009B0B4A">
              <w:t>par cik vienā punktā apvienotas slimību profilakses un veselības veicināšanas pasākumi mērķa grupām un vietējai sabiedrībai  (precizējot 34.3.apakšpunktu, un svītrojot 34.4.apakšpunktu), secīgi s</w:t>
            </w:r>
            <w:r w:rsidR="001C69DF" w:rsidRPr="009B0B4A">
              <w:t>vītrots</w:t>
            </w:r>
            <w:r w:rsidR="00F70D16" w:rsidRPr="009B0B4A">
              <w:t xml:space="preserve"> </w:t>
            </w:r>
            <w:r w:rsidR="00E97F34" w:rsidRPr="009B0B4A">
              <w:t xml:space="preserve">36. un </w:t>
            </w:r>
            <w:r w:rsidR="00F70D16" w:rsidRPr="009B0B4A">
              <w:t>38.punkts</w:t>
            </w:r>
            <w:r w:rsidR="00257FFB">
              <w:t>.</w:t>
            </w:r>
          </w:p>
          <w:p w14:paraId="46B2ECF8" w14:textId="729AF9CC" w:rsidR="00F70D16" w:rsidRPr="009B0B4A" w:rsidRDefault="00EB11DE" w:rsidP="0080789A">
            <w:pPr>
              <w:pStyle w:val="ListParagraph"/>
              <w:numPr>
                <w:ilvl w:val="0"/>
                <w:numId w:val="21"/>
              </w:numPr>
              <w:shd w:val="clear" w:color="auto" w:fill="FFFFFF"/>
              <w:tabs>
                <w:tab w:val="left" w:pos="2977"/>
              </w:tabs>
              <w:spacing w:line="293" w:lineRule="atLeast"/>
              <w:ind w:right="142"/>
              <w:jc w:val="both"/>
            </w:pPr>
            <w:r w:rsidRPr="009B0B4A">
              <w:lastRenderedPageBreak/>
              <w:t>Svītrotas atsauces visā tiesību aktā uz svītrotajiem 34.4.</w:t>
            </w:r>
            <w:r w:rsidR="00E97F34" w:rsidRPr="009B0B4A">
              <w:t>apakšpunkt</w:t>
            </w:r>
            <w:r w:rsidR="001C69DF" w:rsidRPr="009B0B4A">
              <w:t>u</w:t>
            </w:r>
            <w:r w:rsidR="00E97F34" w:rsidRPr="009B0B4A">
              <w:t xml:space="preserve"> </w:t>
            </w:r>
            <w:r w:rsidRPr="009B0B4A">
              <w:t xml:space="preserve">un </w:t>
            </w:r>
            <w:r w:rsidR="00E97F34" w:rsidRPr="009B0B4A">
              <w:t xml:space="preserve">36. un </w:t>
            </w:r>
            <w:r w:rsidRPr="009B0B4A">
              <w:t>38.punktiem</w:t>
            </w:r>
            <w:r w:rsidR="004405FF" w:rsidRPr="009B0B4A">
              <w:t xml:space="preserve"> (</w:t>
            </w:r>
            <w:r w:rsidR="00BA0DCA" w:rsidRPr="009B0B4A">
              <w:t>50.punkts, 41., 41.</w:t>
            </w:r>
            <w:r w:rsidR="00C10FAE" w:rsidRPr="009B0B4A">
              <w:t>1</w:t>
            </w:r>
            <w:r w:rsidR="00BA0DCA" w:rsidRPr="009B0B4A">
              <w:t>., 41.2., 41.</w:t>
            </w:r>
            <w:r w:rsidR="00BA0DCA" w:rsidRPr="009B0B4A">
              <w:rPr>
                <w:vertAlign w:val="superscript"/>
              </w:rPr>
              <w:t>1</w:t>
            </w:r>
            <w:r w:rsidR="00BA0DCA" w:rsidRPr="009B0B4A">
              <w:t>., 43., 47.)</w:t>
            </w:r>
          </w:p>
          <w:p w14:paraId="24E8DA03" w14:textId="1E5A96F7" w:rsidR="00BA7306" w:rsidRPr="009B0B4A" w:rsidRDefault="00F70D16" w:rsidP="00E03779">
            <w:pPr>
              <w:pStyle w:val="NormalWeb"/>
              <w:shd w:val="clear" w:color="auto" w:fill="FFFFFF"/>
              <w:spacing w:before="0" w:beforeAutospacing="0" w:after="0" w:afterAutospacing="0"/>
              <w:ind w:left="285" w:right="137"/>
              <w:jc w:val="both"/>
              <w:rPr>
                <w:lang w:val="lv-LV"/>
              </w:rPr>
            </w:pPr>
            <w:r w:rsidRPr="009B0B4A">
              <w:rPr>
                <w:lang w:val="lv-LV"/>
              </w:rPr>
              <w:t xml:space="preserve">Minētās izmaiņas attiecināmo izmaksu pozīciju definējumā labvēlīgāk ietekmēs projektu īstenošanu, viennozīmīgi saprotot, kas ir konkrēts pasākums, kāds ir tā laika ierobežojums. </w:t>
            </w:r>
          </w:p>
          <w:p w14:paraId="04CB4B91" w14:textId="01CF2E85" w:rsidR="00BA7306" w:rsidRPr="009B0B4A" w:rsidRDefault="00BA7306" w:rsidP="00E03779">
            <w:pPr>
              <w:pStyle w:val="NormalWeb"/>
              <w:shd w:val="clear" w:color="auto" w:fill="FFFFFF"/>
              <w:spacing w:before="0" w:beforeAutospacing="0" w:after="0" w:afterAutospacing="0"/>
              <w:ind w:left="285" w:right="137"/>
              <w:jc w:val="both"/>
              <w:rPr>
                <w:lang w:val="lv-LV"/>
              </w:rPr>
            </w:pPr>
            <w:r w:rsidRPr="009B0B4A">
              <w:rPr>
                <w:lang w:val="lv-LV"/>
              </w:rPr>
              <w:t xml:space="preserve">Pasākumu piemēri: nodarbība par veselīga uztura pamatprincipiem (vai citām veselības veicināšanas tēmām), vingrošanas nodarbība, seminārs par atkarībām, atbalsta grupa jaunajiem vecākiem, smēķēšanas atmešanas grupas nodarbība, </w:t>
            </w:r>
            <w:proofErr w:type="spellStart"/>
            <w:r w:rsidRPr="009B0B4A">
              <w:rPr>
                <w:lang w:val="lv-LV"/>
              </w:rPr>
              <w:t>peldētapmācības</w:t>
            </w:r>
            <w:proofErr w:type="spellEnd"/>
            <w:r w:rsidRPr="009B0B4A">
              <w:rPr>
                <w:lang w:val="lv-LV"/>
              </w:rPr>
              <w:t xml:space="preserve"> nodarbība (atsevišķi pa grupām).</w:t>
            </w:r>
          </w:p>
          <w:p w14:paraId="23650806" w14:textId="33E3247F" w:rsidR="00BA7306" w:rsidRPr="009B0B4A" w:rsidRDefault="00BA7306" w:rsidP="00E03779">
            <w:pPr>
              <w:pStyle w:val="NormalWeb"/>
              <w:shd w:val="clear" w:color="auto" w:fill="FFFFFF"/>
              <w:spacing w:before="0" w:beforeAutospacing="0" w:after="0" w:afterAutospacing="0"/>
              <w:ind w:left="285" w:right="137"/>
              <w:jc w:val="both"/>
              <w:rPr>
                <w:lang w:val="lv-LV"/>
              </w:rPr>
            </w:pPr>
            <w:r w:rsidRPr="009B0B4A">
              <w:rPr>
                <w:lang w:val="lv-LV"/>
              </w:rPr>
              <w:t xml:space="preserve">Projektu plānošanai jauno rādītāju – plānots sadalīt pa pašvaldībām pēc statistikas, cik katrai pašvaldībai būtu jāīsteno pasākumi proporcionāli pret iedzīvotāju skaitu, īpašo mērķa grupu. </w:t>
            </w:r>
          </w:p>
          <w:p w14:paraId="6B64DF2D" w14:textId="61054CED" w:rsidR="00F70D16" w:rsidRPr="009B0B4A" w:rsidRDefault="00F70D16" w:rsidP="00E03779">
            <w:pPr>
              <w:pStyle w:val="NormalWeb"/>
              <w:shd w:val="clear" w:color="auto" w:fill="FFFFFF"/>
              <w:spacing w:before="0" w:beforeAutospacing="0" w:after="0" w:afterAutospacing="0"/>
              <w:ind w:left="285" w:right="137"/>
              <w:jc w:val="both"/>
              <w:rPr>
                <w:lang w:val="lv-LV"/>
              </w:rPr>
            </w:pPr>
            <w:r w:rsidRPr="009B0B4A">
              <w:rPr>
                <w:lang w:val="lv-LV"/>
              </w:rPr>
              <w:t>Ņemot vērā, ka šobrīd tiek virzīti darbības programmas grozījumi projektu iznākumu rādītāju maiņai no personām un pasākumiem, šāda konkrētu pasākuma profila nosacījumi nodrošinās arī konkrētu pasākumu plānošanu, īstenošanu un uzskaiti, gan finansējuma saņēmējiem, gan uzraugošajām institūcijām.</w:t>
            </w:r>
          </w:p>
          <w:p w14:paraId="19F6F054" w14:textId="3FD12DD8" w:rsidR="00F70D16" w:rsidRPr="009B0B4A" w:rsidRDefault="00F70D16" w:rsidP="00E03779">
            <w:pPr>
              <w:shd w:val="clear" w:color="auto" w:fill="FFFFFF"/>
              <w:tabs>
                <w:tab w:val="left" w:pos="2977"/>
              </w:tabs>
              <w:spacing w:line="293" w:lineRule="atLeast"/>
              <w:ind w:left="285" w:right="142"/>
              <w:jc w:val="both"/>
            </w:pPr>
            <w:r w:rsidRPr="009B0B4A">
              <w:t>SAM 9.2.4.2 finansējuma saņēmējs turpmākos veselības veicināšanas un slimību profilakses pasākumus plānos ievērojot</w:t>
            </w:r>
            <w:r w:rsidR="00FB0AF5" w:rsidRPr="009B0B4A">
              <w:t>, ka</w:t>
            </w:r>
            <w:r w:rsidRPr="009B0B4A">
              <w:t>:</w:t>
            </w:r>
          </w:p>
          <w:p w14:paraId="3FE32A56" w14:textId="4B73EA95" w:rsidR="00FB0AF5" w:rsidRPr="009B0B4A" w:rsidRDefault="00FB0AF5" w:rsidP="00E03779">
            <w:pPr>
              <w:pStyle w:val="ListParagraph"/>
              <w:numPr>
                <w:ilvl w:val="0"/>
                <w:numId w:val="23"/>
              </w:numPr>
              <w:shd w:val="clear" w:color="auto" w:fill="FFFFFF"/>
              <w:tabs>
                <w:tab w:val="left" w:pos="427"/>
              </w:tabs>
              <w:spacing w:line="293" w:lineRule="atLeast"/>
              <w:ind w:left="285" w:right="142" w:firstLine="0"/>
              <w:jc w:val="both"/>
            </w:pPr>
            <w:r w:rsidRPr="009B0B4A">
              <w:t>darbības atbilst veselības veicināšanai un slimību profilakses pasākumiem;</w:t>
            </w:r>
          </w:p>
          <w:p w14:paraId="0C29AE6F" w14:textId="5CEB3366" w:rsidR="00F70D16" w:rsidRPr="009B0B4A" w:rsidRDefault="00FB0AF5" w:rsidP="00E03779">
            <w:pPr>
              <w:pStyle w:val="ListParagraph"/>
              <w:numPr>
                <w:ilvl w:val="0"/>
                <w:numId w:val="23"/>
              </w:numPr>
              <w:shd w:val="clear" w:color="auto" w:fill="FFFFFF"/>
              <w:tabs>
                <w:tab w:val="left" w:pos="710"/>
              </w:tabs>
              <w:spacing w:line="293" w:lineRule="atLeast"/>
              <w:ind w:left="285" w:right="142" w:firstLine="0"/>
              <w:jc w:val="both"/>
            </w:pPr>
            <w:r w:rsidRPr="009B0B4A">
              <w:t xml:space="preserve">darbības īstenotas </w:t>
            </w:r>
            <w:r w:rsidR="00F70D16" w:rsidRPr="009B0B4A">
              <w:t>4 prioritārās jom</w:t>
            </w:r>
            <w:r w:rsidRPr="009B0B4A">
              <w:t>ā</w:t>
            </w:r>
            <w:r w:rsidR="00F70D16" w:rsidRPr="009B0B4A">
              <w:t>s (</w:t>
            </w:r>
            <w:r w:rsidR="00F70D16" w:rsidRPr="009B0B4A">
              <w:rPr>
                <w:shd w:val="clear" w:color="auto" w:fill="FFFFFF"/>
              </w:rPr>
              <w:t xml:space="preserve">sirds un asinsvadu slimības, onkoloģiskās slimības, bērnu (sākot no perinatālā un </w:t>
            </w:r>
            <w:proofErr w:type="spellStart"/>
            <w:r w:rsidR="00F70D16" w:rsidRPr="009B0B4A">
              <w:rPr>
                <w:shd w:val="clear" w:color="auto" w:fill="FFFFFF"/>
              </w:rPr>
              <w:t>neonatālā</w:t>
            </w:r>
            <w:proofErr w:type="spellEnd"/>
            <w:r w:rsidR="00F70D16" w:rsidRPr="009B0B4A">
              <w:rPr>
                <w:shd w:val="clear" w:color="auto" w:fill="FFFFFF"/>
              </w:rPr>
              <w:t xml:space="preserve"> perioda) veselība un psihiskā veselība)</w:t>
            </w:r>
            <w:r w:rsidR="00F70D16" w:rsidRPr="009B0B4A">
              <w:t>;</w:t>
            </w:r>
          </w:p>
          <w:p w14:paraId="4271CEEF" w14:textId="4899F59F" w:rsidR="00187E9E" w:rsidRPr="009B0B4A" w:rsidRDefault="00FB0AF5" w:rsidP="00E03779">
            <w:pPr>
              <w:pStyle w:val="ListParagraph"/>
              <w:numPr>
                <w:ilvl w:val="0"/>
                <w:numId w:val="23"/>
              </w:numPr>
              <w:shd w:val="clear" w:color="auto" w:fill="FFFFFF"/>
              <w:tabs>
                <w:tab w:val="left" w:pos="710"/>
              </w:tabs>
              <w:spacing w:line="293" w:lineRule="atLeast"/>
              <w:ind w:right="142" w:hanging="75"/>
              <w:jc w:val="both"/>
            </w:pPr>
            <w:r w:rsidRPr="009B0B4A">
              <w:t xml:space="preserve">darbības iekļauj </w:t>
            </w:r>
            <w:r w:rsidR="00187E9E" w:rsidRPr="009B0B4A">
              <w:t xml:space="preserve">6 </w:t>
            </w:r>
            <w:r w:rsidR="0064658E" w:rsidRPr="009B0B4A">
              <w:t xml:space="preserve">rīcības </w:t>
            </w:r>
            <w:proofErr w:type="spellStart"/>
            <w:r w:rsidR="0064658E" w:rsidRPr="009B0B4A">
              <w:t>apakšjomas</w:t>
            </w:r>
            <w:proofErr w:type="spellEnd"/>
            <w:r w:rsidR="00187E9E" w:rsidRPr="009B0B4A">
              <w:t xml:space="preserve"> (</w:t>
            </w:r>
            <w:r w:rsidRPr="009B0B4A">
              <w:t>ps</w:t>
            </w:r>
            <w:r w:rsidR="00187E9E" w:rsidRPr="009B0B4A">
              <w:rPr>
                <w:shd w:val="clear" w:color="auto" w:fill="FFFFFF"/>
              </w:rPr>
              <w:t xml:space="preserve">ihiskā veselība; atkarību </w:t>
            </w:r>
            <w:r w:rsidR="00411683" w:rsidRPr="009B0B4A">
              <w:rPr>
                <w:shd w:val="clear" w:color="auto" w:fill="FFFFFF"/>
              </w:rPr>
              <w:t xml:space="preserve">izraisošu vielu un procesu </w:t>
            </w:r>
            <w:r w:rsidR="00187E9E" w:rsidRPr="009B0B4A">
              <w:rPr>
                <w:shd w:val="clear" w:color="auto" w:fill="FFFFFF"/>
              </w:rPr>
              <w:t>izplatības mazināšana; fiziskā aktivitāte; veselīgs uzturs; seksuālā un reproduktīvā veselība; slimību profilakse</w:t>
            </w:r>
            <w:r w:rsidRPr="009B0B4A">
              <w:rPr>
                <w:shd w:val="clear" w:color="auto" w:fill="FFFFFF"/>
              </w:rPr>
              <w:t>);</w:t>
            </w:r>
            <w:r w:rsidR="00411683" w:rsidRPr="009B0B4A">
              <w:rPr>
                <w:shd w:val="clear" w:color="auto" w:fill="FFFFFF"/>
              </w:rPr>
              <w:t xml:space="preserve"> </w:t>
            </w:r>
          </w:p>
          <w:p w14:paraId="1F6B6453" w14:textId="3EFA2F8D" w:rsidR="007A2DEF" w:rsidRPr="009B0B4A" w:rsidRDefault="00FB0AF5" w:rsidP="007A2DEF">
            <w:pPr>
              <w:pStyle w:val="ListParagraph"/>
              <w:numPr>
                <w:ilvl w:val="0"/>
                <w:numId w:val="23"/>
              </w:numPr>
              <w:shd w:val="clear" w:color="auto" w:fill="FFFFFF"/>
              <w:tabs>
                <w:tab w:val="left" w:pos="710"/>
              </w:tabs>
              <w:spacing w:line="293" w:lineRule="atLeast"/>
              <w:ind w:right="142" w:hanging="75"/>
              <w:jc w:val="both"/>
            </w:pPr>
            <w:r w:rsidRPr="009B0B4A">
              <w:t xml:space="preserve">darbības vērstas uz </w:t>
            </w:r>
            <w:r w:rsidR="00F445F7" w:rsidRPr="009B0B4A">
              <w:t xml:space="preserve">visiem Latvijas iedzīvotājiem, tostarp, kas izriet no projekta vērtēšanas kritērijiem, pasākumi orientēti uz </w:t>
            </w:r>
            <w:r w:rsidR="00460D39" w:rsidRPr="009B0B4A">
              <w:t>sešām</w:t>
            </w:r>
            <w:r w:rsidRPr="009B0B4A">
              <w:t xml:space="preserve"> sociāli un teritoriāli atstumto iedzīvotāju </w:t>
            </w:r>
            <w:proofErr w:type="spellStart"/>
            <w:r w:rsidRPr="009B0B4A">
              <w:t>mērķgrupām</w:t>
            </w:r>
            <w:proofErr w:type="spellEnd"/>
            <w:r w:rsidR="00F445F7" w:rsidRPr="009B0B4A">
              <w:t xml:space="preserve"> -</w:t>
            </w:r>
            <w:r w:rsidR="00E03779" w:rsidRPr="009B0B4A">
              <w:t xml:space="preserve"> </w:t>
            </w:r>
            <w:r w:rsidRPr="009B0B4A">
              <w:rPr>
                <w:rFonts w:eastAsiaTheme="minorEastAsia"/>
                <w:bCs/>
                <w:spacing w:val="-2"/>
              </w:rPr>
              <w:t>tai skaitā i</w:t>
            </w:r>
            <w:r w:rsidRPr="009B0B4A">
              <w:t xml:space="preserve">edzīvotāji, kuri dzīvo </w:t>
            </w:r>
            <w:r w:rsidR="005E2D46" w:rsidRPr="009B0B4A">
              <w:t>teritorijā ārpus pilsētām ar iedzīvotāju blīvumu zem 50 iedzīvotājiem uz kvadrātkilometru</w:t>
            </w:r>
            <w:r w:rsidRPr="009B0B4A">
              <w:t>; trūcīgie un maznodrošinātie iedzīvotāji; bezdarbnieki; personas ar invaliditāti; iedzīvotāji, kas vecāki par 54 gadiem; bērni.</w:t>
            </w:r>
            <w:r w:rsidR="007A2DEF" w:rsidRPr="009B0B4A">
              <w:t xml:space="preserve"> </w:t>
            </w:r>
          </w:p>
          <w:p w14:paraId="35D73A18" w14:textId="77777777" w:rsidR="007A2DEF" w:rsidRPr="009B0B4A" w:rsidRDefault="007A2DEF" w:rsidP="007A2DEF">
            <w:pPr>
              <w:pStyle w:val="ListParagraph"/>
              <w:shd w:val="clear" w:color="auto" w:fill="FFFFFF"/>
              <w:tabs>
                <w:tab w:val="left" w:pos="710"/>
              </w:tabs>
              <w:spacing w:line="293" w:lineRule="atLeast"/>
              <w:ind w:left="360" w:right="142"/>
              <w:jc w:val="both"/>
            </w:pPr>
          </w:p>
          <w:p w14:paraId="291C27CC" w14:textId="60F5542D" w:rsidR="00585BDB" w:rsidRPr="009B0B4A" w:rsidRDefault="005F08FA" w:rsidP="00585BDB">
            <w:pPr>
              <w:pStyle w:val="ListParagraph"/>
              <w:numPr>
                <w:ilvl w:val="0"/>
                <w:numId w:val="2"/>
              </w:numPr>
              <w:shd w:val="clear" w:color="auto" w:fill="FFFFFF"/>
              <w:tabs>
                <w:tab w:val="left" w:pos="427"/>
              </w:tabs>
              <w:spacing w:after="40"/>
              <w:ind w:left="284" w:right="136" w:hanging="284"/>
              <w:contextualSpacing w:val="0"/>
              <w:jc w:val="both"/>
            </w:pPr>
            <w:r w:rsidRPr="009B0B4A">
              <w:t xml:space="preserve">Šobrīd </w:t>
            </w:r>
            <w:r w:rsidR="00B92E1B" w:rsidRPr="009B0B4A">
              <w:rPr>
                <w:rFonts w:eastAsiaTheme="minorEastAsia"/>
                <w:bCs/>
                <w:spacing w:val="-2"/>
              </w:rPr>
              <w:t>9.2.4.1.pasākuma un 9.2.4.2.pasākuma atbalstāmo darbību</w:t>
            </w:r>
            <w:r w:rsidR="00B92E1B" w:rsidRPr="009B0B4A">
              <w:t xml:space="preserve"> veselības ve</w:t>
            </w:r>
            <w:bookmarkStart w:id="12" w:name="vietejie_pasakumi_9241"/>
            <w:bookmarkEnd w:id="12"/>
            <w:r w:rsidR="00B92E1B" w:rsidRPr="009B0B4A">
              <w:t xml:space="preserve">icināšanas un slimības profilakses pasākumu īstenošanai </w:t>
            </w:r>
            <w:r w:rsidR="00B92E1B" w:rsidRPr="009B0B4A">
              <w:rPr>
                <w:rFonts w:eastAsiaTheme="minorEastAsia"/>
                <w:bCs/>
                <w:spacing w:val="-2"/>
              </w:rPr>
              <w:t>ir</w:t>
            </w:r>
            <w:r w:rsidR="00B92E1B" w:rsidRPr="009B0B4A">
              <w:t xml:space="preserve"> attiecināmas  </w:t>
            </w:r>
            <w:r w:rsidR="00B92E1B" w:rsidRPr="009B0B4A">
              <w:rPr>
                <w:bCs/>
                <w:u w:val="single"/>
              </w:rPr>
              <w:t>inventāra un veselības parametru paškontroles ierīču un aprīkojuma izmaksas</w:t>
            </w:r>
            <w:r w:rsidR="00B92E1B" w:rsidRPr="009B0B4A">
              <w:t>, tai skaitā nomas un darbības nodrošināšanas izmaksas projekta īstenošanas laikā</w:t>
            </w:r>
            <w:r w:rsidRPr="009B0B4A">
              <w:t>, ja  ierīču un inventāra vērtība par vienu vienību ir mazāka par 213 </w:t>
            </w:r>
            <w:proofErr w:type="spellStart"/>
            <w:r w:rsidRPr="009B0B4A">
              <w:rPr>
                <w:i/>
                <w:iCs/>
              </w:rPr>
              <w:t>euro</w:t>
            </w:r>
            <w:proofErr w:type="spellEnd"/>
            <w:r w:rsidR="00B92E1B" w:rsidRPr="009B0B4A">
              <w:t xml:space="preserve">. Atbilstoši </w:t>
            </w:r>
            <w:r w:rsidRPr="009B0B4A">
              <w:t xml:space="preserve">2018.gada </w:t>
            </w:r>
            <w:r w:rsidRPr="009B0B4A">
              <w:lastRenderedPageBreak/>
              <w:t>13.februāra Ministru kabineta noteikumiem Nr.87 “</w:t>
            </w:r>
            <w:hyperlink r:id="rId13" w:tgtFrame="_blank" w:history="1">
              <w:r w:rsidRPr="009B0B4A">
                <w:t>Grāmatvedības uzskaites kārtība budžeta iestādēs</w:t>
              </w:r>
            </w:hyperlink>
            <w:r w:rsidRPr="009B0B4A">
              <w:t>” un</w:t>
            </w:r>
            <w:r w:rsidR="00B92E1B" w:rsidRPr="009B0B4A">
              <w:rPr>
                <w:shd w:val="clear" w:color="auto" w:fill="F1F1F1"/>
              </w:rPr>
              <w:t> </w:t>
            </w:r>
            <w:r w:rsidR="00B92E1B" w:rsidRPr="009B0B4A">
              <w:t>Ministru kabineta 2005.gada 27.decembra noteikumiem Nr.1031 „Noteikumi par budžetu izdevumu klasifikāciju atbilstoši ekonomiskajām kategorijām” i</w:t>
            </w:r>
            <w:r w:rsidR="00B92E1B" w:rsidRPr="009B0B4A">
              <w:rPr>
                <w:shd w:val="clear" w:color="auto" w:fill="FFFFFF"/>
              </w:rPr>
              <w:t>estādes darbības nodrošināšanai nepieciešamā inventāra un to priekšmetu, kuru kalpošanas laiks ir mazāks par vienu gadu, neatkarīgi no to vērtības, kā arī kuru vērtība ir līdz 500 </w:t>
            </w:r>
            <w:proofErr w:type="spellStart"/>
            <w:r w:rsidR="00B92E1B" w:rsidRPr="009B0B4A">
              <w:rPr>
                <w:i/>
                <w:iCs/>
                <w:shd w:val="clear" w:color="auto" w:fill="FFFFFF"/>
              </w:rPr>
              <w:t>euro</w:t>
            </w:r>
            <w:proofErr w:type="spellEnd"/>
            <w:r w:rsidR="00B92E1B" w:rsidRPr="009B0B4A">
              <w:rPr>
                <w:shd w:val="clear" w:color="auto" w:fill="FFFFFF"/>
              </w:rPr>
              <w:t> par vienību</w:t>
            </w:r>
            <w:r w:rsidR="00BB4497" w:rsidRPr="009B0B4A">
              <w:rPr>
                <w:vertAlign w:val="superscript"/>
              </w:rPr>
              <w:footnoteReference w:id="2"/>
            </w:r>
            <w:r w:rsidR="00B92E1B" w:rsidRPr="009B0B4A">
              <w:rPr>
                <w:shd w:val="clear" w:color="auto" w:fill="FFFFFF"/>
              </w:rPr>
              <w:t>, ieskaitot ar pirkuma piegādi saistītos izdevumus, neatkarīgi no to kalpošanas ilguma, iegādes un norakstīšanas izdevumus</w:t>
            </w:r>
            <w:r w:rsidRPr="009B0B4A">
              <w:rPr>
                <w:shd w:val="clear" w:color="auto" w:fill="FFFFFF"/>
              </w:rPr>
              <w:t xml:space="preserve">, tiek </w:t>
            </w:r>
            <w:r w:rsidRPr="009B0B4A">
              <w:t>grozīta MK noteikumu 47.punkta redakcija, palielinot</w:t>
            </w:r>
            <w:r w:rsidR="00B92E1B" w:rsidRPr="009B0B4A">
              <w:t xml:space="preserve"> attiecinām</w:t>
            </w:r>
            <w:r w:rsidRPr="009B0B4A">
              <w:t>o</w:t>
            </w:r>
            <w:r w:rsidR="00B92E1B" w:rsidRPr="009B0B4A">
              <w:t xml:space="preserve">  darba materiālu un inventāra, veselības parametru paškontroles ierīču un aprīkojuma iegādes izmaksas vērtība</w:t>
            </w:r>
            <w:r w:rsidRPr="009B0B4A">
              <w:t xml:space="preserve"> līdz</w:t>
            </w:r>
            <w:r w:rsidR="00B92E1B" w:rsidRPr="009B0B4A">
              <w:t xml:space="preserve"> 500</w:t>
            </w:r>
            <w:r w:rsidRPr="009B0B4A">
              <w:t xml:space="preserve"> </w:t>
            </w:r>
            <w:proofErr w:type="spellStart"/>
            <w:r w:rsidR="00B92E1B" w:rsidRPr="009B0B4A">
              <w:rPr>
                <w:i/>
              </w:rPr>
              <w:t>euro</w:t>
            </w:r>
            <w:proofErr w:type="spellEnd"/>
            <w:r w:rsidR="00B92E1B" w:rsidRPr="009B0B4A">
              <w:t xml:space="preserve">. Ja  darba materiālu un </w:t>
            </w:r>
            <w:r w:rsidR="00B92E1B" w:rsidRPr="009B0B4A">
              <w:rPr>
                <w:rFonts w:eastAsiaTheme="minorEastAsia"/>
                <w:bCs/>
                <w:spacing w:val="-2"/>
              </w:rPr>
              <w:t>inventāra</w:t>
            </w:r>
            <w:r w:rsidR="00B92E1B" w:rsidRPr="009B0B4A">
              <w:t xml:space="preserve">, veselības parametru paškontroles ierīču un aprīkojuma izmaksas pārsniedz 500 </w:t>
            </w:r>
            <w:proofErr w:type="spellStart"/>
            <w:r w:rsidR="00B92E1B" w:rsidRPr="009B0B4A">
              <w:rPr>
                <w:i/>
              </w:rPr>
              <w:t>euro</w:t>
            </w:r>
            <w:proofErr w:type="spellEnd"/>
            <w:r w:rsidR="00B92E1B" w:rsidRPr="009B0B4A">
              <w:t xml:space="preserve"> robežvērtību ir atbalstāmas to nomas izmaksas uz projekta īstenošanas laiku.</w:t>
            </w:r>
            <w:r w:rsidR="00F445F7" w:rsidRPr="009B0B4A">
              <w:t xml:space="preserve"> </w:t>
            </w:r>
            <w:r w:rsidR="003C2746" w:rsidRPr="009B0B4A">
              <w:t xml:space="preserve">Projektos izmaiņas </w:t>
            </w:r>
            <w:r w:rsidR="00585BDB" w:rsidRPr="009B0B4A">
              <w:t xml:space="preserve">par </w:t>
            </w:r>
            <w:r w:rsidR="00585BDB" w:rsidRPr="009B0B4A">
              <w:rPr>
                <w:shd w:val="clear" w:color="auto" w:fill="FFFFFF"/>
              </w:rPr>
              <w:t xml:space="preserve"> inventāra</w:t>
            </w:r>
            <w:r w:rsidR="00585BDB" w:rsidRPr="009B0B4A">
              <w:t xml:space="preserve">  ierīču un inventāra vērtību par vienu vienību no 213 </w:t>
            </w:r>
            <w:proofErr w:type="spellStart"/>
            <w:r w:rsidR="00585BDB" w:rsidRPr="009B0B4A">
              <w:rPr>
                <w:i/>
                <w:iCs/>
              </w:rPr>
              <w:t>euro</w:t>
            </w:r>
            <w:proofErr w:type="spellEnd"/>
            <w:r w:rsidR="00585BDB" w:rsidRPr="009B0B4A">
              <w:t xml:space="preserve"> uz 500 </w:t>
            </w:r>
            <w:proofErr w:type="spellStart"/>
            <w:r w:rsidR="00585BDB" w:rsidRPr="009B0B4A">
              <w:rPr>
                <w:i/>
              </w:rPr>
              <w:t>euro</w:t>
            </w:r>
            <w:proofErr w:type="spellEnd"/>
            <w:r w:rsidR="00585BDB" w:rsidRPr="009B0B4A">
              <w:t xml:space="preserve">  ir </w:t>
            </w:r>
            <w:r w:rsidR="00F445F7" w:rsidRPr="009B0B4A">
              <w:t xml:space="preserve">attiecināmas ar </w:t>
            </w:r>
            <w:r w:rsidR="00585BDB" w:rsidRPr="009B0B4A">
              <w:t xml:space="preserve"> </w:t>
            </w:r>
            <w:r w:rsidR="00BB4497" w:rsidRPr="009B0B4A">
              <w:t>noteikumu projekta spēkā stāšanās datumu.</w:t>
            </w:r>
          </w:p>
          <w:p w14:paraId="40B38CEF" w14:textId="57182FCA" w:rsidR="006D1702" w:rsidRPr="009B0B4A" w:rsidRDefault="0004272E" w:rsidP="00E03779">
            <w:pPr>
              <w:pStyle w:val="ListParagraph"/>
              <w:numPr>
                <w:ilvl w:val="0"/>
                <w:numId w:val="2"/>
              </w:numPr>
              <w:tabs>
                <w:tab w:val="left" w:pos="427"/>
              </w:tabs>
              <w:spacing w:before="240" w:after="40"/>
              <w:ind w:left="285" w:right="135" w:hanging="285"/>
              <w:contextualSpacing w:val="0"/>
              <w:jc w:val="both"/>
            </w:pPr>
            <w:r w:rsidRPr="009B0B4A">
              <w:t>Projekt</w:t>
            </w:r>
            <w:r w:rsidR="006D1702" w:rsidRPr="009B0B4A">
              <w:t>u finanšu disciplīnas ievērošanai ar mē</w:t>
            </w:r>
            <w:r w:rsidR="004E7640" w:rsidRPr="009B0B4A">
              <w:t>rķ</w:t>
            </w:r>
            <w:r w:rsidR="006D1702" w:rsidRPr="009B0B4A">
              <w:t xml:space="preserve">i uzlabot vienmērīgu ES fondu līdzekļu apguvi visā projekta īstenošanas termiņā, MK Noteikumu 60.punktā tika noteikti projekta finanšu plūsmas apguves procentuālās apguves ierobežojumi pa projekta īstenošanas gadiem. Ņemot vērā, ka šie ierobežojumi tikai noteikti plānošanas posmā, bet ne īstenošanas, kā arī ņemot vērā finanšu disciplīnas pasākumus, kas ieviesta visos ES fondu projektos kopš 2018.gada, norma zaudējusi savu aktualitāti. Svītrots 60.punkts un tā apakšpunkti. </w:t>
            </w:r>
            <w:r w:rsidR="00E65C4F" w:rsidRPr="009B0B4A">
              <w:t xml:space="preserve">Konkrētā regulējuma </w:t>
            </w:r>
            <w:r w:rsidR="006D1702" w:rsidRPr="009B0B4A">
              <w:t>maiņa neietekmē īstenošanā esošos projektus.</w:t>
            </w:r>
          </w:p>
          <w:p w14:paraId="29311F6B" w14:textId="6EAA4059" w:rsidR="00DC395B" w:rsidRPr="009B0B4A" w:rsidRDefault="00DC395B" w:rsidP="00E03779">
            <w:pPr>
              <w:pStyle w:val="ListParagraph"/>
              <w:numPr>
                <w:ilvl w:val="0"/>
                <w:numId w:val="2"/>
              </w:numPr>
              <w:tabs>
                <w:tab w:val="left" w:pos="427"/>
              </w:tabs>
              <w:spacing w:before="240" w:after="40"/>
              <w:ind w:left="285" w:right="135" w:hanging="285"/>
              <w:contextualSpacing w:val="0"/>
              <w:jc w:val="both"/>
            </w:pPr>
            <w:r w:rsidRPr="009B0B4A">
              <w:t xml:space="preserve">MK noteikumu 62.punkts nosaka veselības veicināšanas un slimību profilakses </w:t>
            </w:r>
            <w:proofErr w:type="spellStart"/>
            <w:r w:rsidRPr="009B0B4A">
              <w:t>starpsektoru</w:t>
            </w:r>
            <w:proofErr w:type="spellEnd"/>
            <w:r w:rsidRPr="009B0B4A">
              <w:t xml:space="preserve"> sadarbības komitejas  tiek organizētas ne retāk kā reiz pusgadā, ņemot vērā komisijas ierosinājumu noteikt šīs komisijas darbu pēc nepieciešamības, bet ne retāk kā reizi gadā.</w:t>
            </w:r>
          </w:p>
          <w:p w14:paraId="3537358D" w14:textId="55EE4554" w:rsidR="00AA014A" w:rsidRPr="009B0B4A" w:rsidRDefault="00447642" w:rsidP="00E03779">
            <w:pPr>
              <w:pStyle w:val="ListParagraph"/>
              <w:numPr>
                <w:ilvl w:val="0"/>
                <w:numId w:val="2"/>
              </w:numPr>
              <w:tabs>
                <w:tab w:val="left" w:pos="427"/>
              </w:tabs>
              <w:spacing w:before="240" w:after="40"/>
              <w:ind w:left="285" w:right="135" w:hanging="285"/>
              <w:contextualSpacing w:val="0"/>
              <w:jc w:val="both"/>
            </w:pPr>
            <w:r w:rsidRPr="009B0B4A">
              <w:t>MK noteikumu 63.punkts nosaka, ja projekta kopējās attiecināmās izmaksas pārsniedz 1,5 milj. </w:t>
            </w:r>
            <w:proofErr w:type="spellStart"/>
            <w:r w:rsidRPr="009B0B4A">
              <w:rPr>
                <w:i/>
                <w:iCs/>
              </w:rPr>
              <w:t>euro</w:t>
            </w:r>
            <w:proofErr w:type="spellEnd"/>
            <w:r w:rsidRPr="009B0B4A">
              <w:t xml:space="preserve">, tā plānošanas un ieviešanas kontrolei finansējuma saņēmējs izveido vadības un kontroles komisiju, kuras sastāvā uzaicina Veselības ministrijas un Slimību profilakses un kontroles centra pārstāvjus, kā arī sadarbības iestādes pārstāvi novērotāja statusā un to biežums ne retāk kā reizi ceturksnī. Faktiski sanāksmes pēc projekta apjoma ir pienākums organizēt 9.2.4.1. pasākuma Veselības ministrijas īstenotajam projektam, kā arī 9.2.4.2.pasākuma Rīgas </w:t>
            </w:r>
            <w:r w:rsidRPr="009B0B4A">
              <w:lastRenderedPageBreak/>
              <w:t xml:space="preserve">pašvaldības īstenotajam projektam. Ņemot vērā, ka 9.2.4.2.pasākuma 2.kārtas paredzēto finansējumu pievienos 1.kārtas projektiem, </w:t>
            </w:r>
            <w:r w:rsidR="00DF3AC1" w:rsidRPr="009B0B4A">
              <w:t xml:space="preserve">paredzamais uzraugāmo projektu skaits pieaugs par vienu – Daugavpils pašvaldības projektu. Mazinot administratīvo slogu noteikts, ka </w:t>
            </w:r>
            <w:r w:rsidRPr="009B0B4A">
              <w:t xml:space="preserve"> projekta vadības un kontroles komisijas sanāksmes organizē pēc nepieciešamības, bet ne retāk kā reizi gadā.</w:t>
            </w:r>
            <w:r w:rsidR="00AA014A" w:rsidRPr="009B0B4A">
              <w:t xml:space="preserve"> </w:t>
            </w:r>
            <w:r w:rsidR="00DF3AC1" w:rsidRPr="009B0B4A">
              <w:t xml:space="preserve">Tādejādi gan </w:t>
            </w:r>
            <w:r w:rsidR="00AA014A" w:rsidRPr="009B0B4A">
              <w:t xml:space="preserve">finansējuma saņēmējs, gan Veselības ministrija, gan CFLA var lūgt organizēt sanāksmes pēc nepieciešamības, bet, ja nav nepieciešamības, tad minimālais skaits organizēt sanāksmi ir reizi gadā. Šī norma un mehānisms, ka reizi gadā pieaicina VM un CFLA pārstāvjus, disciplinē finansējuma saņēmēju, jo tik finanšu ietilpīgiem projektiem ir jābūt projekta vadības un uzraudzības darba grupai, kas sanāk regulāri. </w:t>
            </w:r>
            <w:r w:rsidR="00F3329E" w:rsidRPr="009B0B4A">
              <w:t>Papildus</w:t>
            </w:r>
            <w:r w:rsidR="009A4D88" w:rsidRPr="009B0B4A">
              <w:t xml:space="preserve"> uz 9.2.4.1. pasākuma Veselības ministrijas īstenoto projektu ir attiecināms pienākums gan par </w:t>
            </w:r>
            <w:proofErr w:type="spellStart"/>
            <w:r w:rsidR="009A4D88" w:rsidRPr="009B0B4A">
              <w:t>starpsektoru</w:t>
            </w:r>
            <w:proofErr w:type="spellEnd"/>
            <w:r w:rsidR="009A4D88" w:rsidRPr="009B0B4A">
              <w:t xml:space="preserve"> sadarbības komitejas  organizēšanu, gan par projekta vadības un kontroles komisiju, kas vairākās funkcijās dublē vienu otru. Lai mazinātu administratīvo slogu, 9.2.4.1. pasākuma Veselības ministrijas projektam tiek atcelts pienākums organizēt  projekta vadības un kontroles komisiju, savukārt sadarbības iestādes līdzdalība projekta uzraudzībā novērotāja statusā tiek pārlikta uz  </w:t>
            </w:r>
            <w:proofErr w:type="spellStart"/>
            <w:r w:rsidR="009A4D88" w:rsidRPr="009B0B4A">
              <w:t>starpsektoru</w:t>
            </w:r>
            <w:proofErr w:type="spellEnd"/>
            <w:r w:rsidR="009A4D88" w:rsidRPr="009B0B4A">
              <w:t xml:space="preserve"> sadarbības komiteju.</w:t>
            </w:r>
          </w:p>
          <w:p w14:paraId="29CB13D5" w14:textId="25F713B7" w:rsidR="00212868" w:rsidRPr="009B0B4A" w:rsidRDefault="00EE0407" w:rsidP="00E03779">
            <w:pPr>
              <w:pStyle w:val="ListParagraph"/>
              <w:numPr>
                <w:ilvl w:val="0"/>
                <w:numId w:val="2"/>
              </w:numPr>
              <w:tabs>
                <w:tab w:val="left" w:pos="427"/>
              </w:tabs>
              <w:spacing w:before="240" w:after="160"/>
              <w:ind w:left="285" w:right="142" w:hanging="285"/>
              <w:contextualSpacing w:val="0"/>
              <w:jc w:val="both"/>
            </w:pPr>
            <w:r w:rsidRPr="009B0B4A">
              <w:t xml:space="preserve">MK noteikumu 64.punkts regulē veselības veicināšanas un slimību profilakses uzraudzības sistēmu, tostarp nosakot  9.2.4.1. pasākuma finansējuma saņēmējs un sadarbības partneru funkcijas un pasākumus 9.2.4.2. pasākuma projekta ietvaros īstenoto veselības veicināšanas un slimību profilakses pasākumu efektivitātes ikgadējo </w:t>
            </w:r>
            <w:proofErr w:type="spellStart"/>
            <w:r w:rsidRPr="009B0B4A">
              <w:t>starpnovērtējumu</w:t>
            </w:r>
            <w:proofErr w:type="spellEnd"/>
            <w:r w:rsidRPr="009B0B4A">
              <w:t xml:space="preserve"> </w:t>
            </w:r>
            <w:proofErr w:type="spellStart"/>
            <w:r w:rsidRPr="009B0B4A">
              <w:t>izvērtējumam</w:t>
            </w:r>
            <w:proofErr w:type="spellEnd"/>
            <w:r w:rsidRPr="009B0B4A">
              <w:t xml:space="preserve">. Piemēram, tiek noteikts, ka </w:t>
            </w:r>
            <w:r w:rsidRPr="009B0B4A">
              <w:rPr>
                <w:shd w:val="clear" w:color="auto" w:fill="FFFFFF"/>
              </w:rPr>
              <w:t xml:space="preserve"> pamatojoties uz informāciju, ko 9.2.4.2. pasākuma finansējuma saņēmēji snieguši atbilstoši MK noteikumu 64.5. apakšpunktam, un sadarbības iestādei pieejamo informāciju, analizē īstenoto veselības veicināšanas un slimību profilakses pasākumu atbilstību projektu iesniegumiem, īstenošanas efektivitātes un ietekmes novērtējumu, kā arī veic pasākumu izmaksu un konstatēto neatbilstoši veikto izmaksu apjomu salīdzinājumu starp projektiem. 9.2.4.2.pasākumu uzraudzība </w:t>
            </w:r>
            <w:r w:rsidR="00212868" w:rsidRPr="009B0B4A">
              <w:rPr>
                <w:shd w:val="clear" w:color="auto" w:fill="FFFFFF"/>
              </w:rPr>
              <w:t>no veselības veicināšanas un slimību profilakses pasākumu saturiskā viedokļa veic 9.2.4.1.projekta finansējuma saņēmējs un sadarbības partneri, to atbildība ir metodoloģiskais atbalsts</w:t>
            </w:r>
            <w:r w:rsidR="003A099B" w:rsidRPr="009B0B4A">
              <w:rPr>
                <w:shd w:val="clear" w:color="auto" w:fill="FFFFFF"/>
              </w:rPr>
              <w:t>. Savukārt</w:t>
            </w:r>
            <w:r w:rsidR="00212868" w:rsidRPr="009B0B4A">
              <w:rPr>
                <w:shd w:val="clear" w:color="auto" w:fill="FFFFFF"/>
              </w:rPr>
              <w:t xml:space="preserve"> projektu uzraudzību nodrošina Centrālā finanšu un līgumu aģentūra no sadarbības iestādes puses</w:t>
            </w:r>
            <w:r w:rsidR="003A099B" w:rsidRPr="009B0B4A">
              <w:rPr>
                <w:shd w:val="clear" w:color="auto" w:fill="FFFFFF"/>
              </w:rPr>
              <w:t xml:space="preserve">. Tādejādi, </w:t>
            </w:r>
            <w:r w:rsidR="00212868" w:rsidRPr="009B0B4A">
              <w:rPr>
                <w:shd w:val="clear" w:color="auto" w:fill="FFFFFF"/>
              </w:rPr>
              <w:t xml:space="preserve">lai nedublētu uzraudzības pasākumus, nolemts atteikties uzraudzības ietvaros jautāt datus sadarbības iestādei un </w:t>
            </w:r>
            <w:r w:rsidR="00E97F34" w:rsidRPr="009B0B4A">
              <w:rPr>
                <w:shd w:val="clear" w:color="auto" w:fill="FFFFFF"/>
              </w:rPr>
              <w:t xml:space="preserve">atteikties </w:t>
            </w:r>
            <w:r w:rsidR="00212868" w:rsidRPr="009B0B4A">
              <w:rPr>
                <w:shd w:val="clear" w:color="auto" w:fill="FFFFFF"/>
              </w:rPr>
              <w:t>vērtēt pasākumu atbilstību projektam un nolemts neveikt pasākumu izmaksu un konstatēto neatbilstoši veikto izmaksu apjomu salīdzinājumu starp projektiem, precizēts 64.2.1.apakšpunkts. Attiecīgi tiek svītrots 64.4.apakšpunkts.</w:t>
            </w:r>
          </w:p>
          <w:p w14:paraId="15675FDE" w14:textId="226A9C3D" w:rsidR="001F2208" w:rsidRPr="009B0B4A" w:rsidRDefault="001F2208" w:rsidP="00E03779">
            <w:pPr>
              <w:tabs>
                <w:tab w:val="left" w:pos="2977"/>
              </w:tabs>
              <w:spacing w:before="40" w:after="160"/>
              <w:ind w:left="285" w:right="142"/>
              <w:jc w:val="both"/>
            </w:pPr>
            <w:r w:rsidRPr="009B0B4A">
              <w:lastRenderedPageBreak/>
              <w:t>Attiecīgi precizēts 2.pielikum</w:t>
            </w:r>
            <w:r w:rsidR="00DC499E" w:rsidRPr="009B0B4A">
              <w:t>s</w:t>
            </w:r>
            <w:r w:rsidRPr="009B0B4A">
              <w:t>, kurš regulē formu, kādā</w:t>
            </w:r>
            <w:r w:rsidR="0080789A" w:rsidRPr="009B0B4A">
              <w:t xml:space="preserve"> 9</w:t>
            </w:r>
            <w:r w:rsidRPr="009B0B4A">
              <w:rPr>
                <w:shd w:val="clear" w:color="auto" w:fill="FFFFFF"/>
              </w:rPr>
              <w:t>.2.4.2. pasākuma finansējuma saņēmējs sagatavo un līdz kārtējā gada 1. martam iesniedz 9.2.4.1. pasākuma finansējuma saņēmējam informāciju par katra projekta ietvaros īstenotā veselības veicināšanas un slimību profilakses pasākuma īstenošanas efektivitātes un ietekmes novērtējumu par iepriekšējo gadu</w:t>
            </w:r>
            <w:r w:rsidR="00E97F34" w:rsidRPr="009B0B4A">
              <w:rPr>
                <w:shd w:val="clear" w:color="auto" w:fill="FFFFFF"/>
              </w:rPr>
              <w:t>.</w:t>
            </w:r>
          </w:p>
          <w:p w14:paraId="26D58342" w14:textId="53A438F7" w:rsidR="00FD4EB4" w:rsidRPr="009B0B4A" w:rsidRDefault="00FD4EB4" w:rsidP="00E03779">
            <w:pPr>
              <w:pStyle w:val="ListParagraph"/>
              <w:numPr>
                <w:ilvl w:val="0"/>
                <w:numId w:val="2"/>
              </w:numPr>
              <w:tabs>
                <w:tab w:val="left" w:pos="427"/>
                <w:tab w:val="left" w:pos="5955"/>
              </w:tabs>
              <w:spacing w:before="40" w:after="160"/>
              <w:ind w:left="285" w:right="142" w:hanging="285"/>
              <w:jc w:val="both"/>
            </w:pPr>
            <w:r w:rsidRPr="009B0B4A">
              <w:t>Šobrīd MK noteikumu 66.1.1.</w:t>
            </w:r>
            <w:r w:rsidR="002C7BF6" w:rsidRPr="009B0B4A">
              <w:t xml:space="preserve">un 66.1.2. </w:t>
            </w:r>
            <w:r w:rsidR="00C21131" w:rsidRPr="009B0B4A">
              <w:t xml:space="preserve">apakšpunkti </w:t>
            </w:r>
            <w:r w:rsidRPr="009B0B4A">
              <w:t>nosaka projektā uzkrāt horizontālā principa “Vienlīdzīgas iespējas” rādītāju “atbalstu saņēmušo sociālās atstumtības riskam pakļauto iedzīvotāju skaits”</w:t>
            </w:r>
            <w:r w:rsidR="00C21131" w:rsidRPr="009B0B4A">
              <w:t xml:space="preserve"> un “atbalstu saņēmušo sociālās atstumtības riskam pakļauto iedzīvotāju skaitu”</w:t>
            </w:r>
            <w:r w:rsidRPr="009B0B4A">
              <w:t>. Līdz šim tas projektos tika nodrošināts vienlaikus ar</w:t>
            </w:r>
            <w:r w:rsidRPr="009B0B4A">
              <w:rPr>
                <w:bCs/>
              </w:rPr>
              <w:t xml:space="preserve"> rādītāja </w:t>
            </w:r>
            <w:r w:rsidRPr="009B0B4A">
              <w:t xml:space="preserve">i.9.2.4.a un </w:t>
            </w:r>
            <w:r w:rsidRPr="009B0B4A">
              <w:rPr>
                <w:bCs/>
              </w:rPr>
              <w:t xml:space="preserve"> rādītāja </w:t>
            </w:r>
            <w:r w:rsidRPr="009B0B4A">
              <w:t>i.9.2.4.b uzskaiti. Par cik no 2020.gada 1.janvāra šie rādītāji turpmāk netiks uzkrāti, bet tomēr saglabāsies MK Noteikumu 66.3.apakšpunktā minētais pienākums, kur reizi gadā tiks sniegti dati par dalībniekiem par pasākumiem virs 8 stundām, arī horizontālā rādītājam tiek noteikts uzkrāšanas slieksni</w:t>
            </w:r>
            <w:r w:rsidR="00D67488" w:rsidRPr="009B0B4A">
              <w:t>s</w:t>
            </w:r>
            <w:r w:rsidRPr="009B0B4A">
              <w:t xml:space="preserve"> par pasākumiem virs 8 h.</w:t>
            </w:r>
          </w:p>
          <w:p w14:paraId="09822251" w14:textId="433E075E" w:rsidR="00CD38B1" w:rsidRPr="009B0B4A" w:rsidRDefault="005604B7" w:rsidP="00E03779">
            <w:pPr>
              <w:pStyle w:val="ListParagraph"/>
              <w:numPr>
                <w:ilvl w:val="0"/>
                <w:numId w:val="2"/>
              </w:numPr>
              <w:tabs>
                <w:tab w:val="left" w:pos="427"/>
                <w:tab w:val="left" w:pos="5955"/>
              </w:tabs>
              <w:spacing w:before="40" w:after="160"/>
              <w:ind w:left="285" w:right="142" w:hanging="285"/>
              <w:jc w:val="both"/>
            </w:pPr>
            <w:r w:rsidRPr="009B0B4A">
              <w:t>Šobrīd MK noteikumu redakcija nosaka, ka 9.2.4.1. pasākuma un 9.2.4.2. pasākuma finansējuma saņēmēji</w:t>
            </w:r>
            <w:r w:rsidR="001D2460" w:rsidRPr="009B0B4A">
              <w:t xml:space="preserve">, </w:t>
            </w:r>
            <w:r w:rsidRPr="009B0B4A">
              <w:t xml:space="preserve">īstenojot projektu, uzkrāj datus par projekta ietvaros īstenojamo pasākumu dalībniekiem, kuri uzskaitāmi atbilstoši Eiropas Parlamenta un Padomes 2013. gada 17. decembra Regulas (ES) Nr. 1304/2013 par Eiropas Sociālo fondu un ar ko atceļ Padomes Regulu (EK) Nr. 1081/2006 (turpmāk – </w:t>
            </w:r>
            <w:r w:rsidRPr="009B0B4A">
              <w:rPr>
                <w:u w:val="single"/>
              </w:rPr>
              <w:t>EK Regula 1304/2013</w:t>
            </w:r>
            <w:r w:rsidRPr="009B0B4A">
              <w:t>), par MK noteikumu 8.1., 8.2., 8.3., 8.4., 8.5. un 8.6. apakšpunktā minētajām mērķa grupām atbilstošo atbalstu saņēmušo unikālo personu skaitu</w:t>
            </w:r>
            <w:r w:rsidR="001D2460" w:rsidRPr="009B0B4A">
              <w:t>, 66.3.2.</w:t>
            </w:r>
            <w:r w:rsidR="00141DB6" w:rsidRPr="009B0B4A">
              <w:t>apakš</w:t>
            </w:r>
            <w:r w:rsidR="001D2460" w:rsidRPr="009B0B4A">
              <w:t>punktā precizējot, ka uzskaiti veic veselības veicināšanas un slimību profilakses pasākumos, ja</w:t>
            </w:r>
            <w:r w:rsidR="001D2460" w:rsidRPr="009B0B4A">
              <w:rPr>
                <w:shd w:val="clear" w:color="auto" w:fill="FFFFFF"/>
              </w:rPr>
              <w:t xml:space="preserve"> pasākuma vai viena pasākuma cikla ilgums ir vismaz 8 stundas. Diskusijās par iznākuma rādītāju maiņu un dalībnieku datu vākšanu, ir konstatēts, ka vēsturiski izveidojies, ka pasākumi tiek plānoti tā, lai pasākuma vai viena cikla garums ir </w:t>
            </w:r>
            <w:r w:rsidR="000955E3" w:rsidRPr="009B0B4A">
              <w:rPr>
                <w:shd w:val="clear" w:color="auto" w:fill="FFFFFF"/>
              </w:rPr>
              <w:t xml:space="preserve">tieši </w:t>
            </w:r>
            <w:r w:rsidR="001D2460" w:rsidRPr="009B0B4A">
              <w:rPr>
                <w:shd w:val="clear" w:color="auto" w:fill="FFFFFF"/>
              </w:rPr>
              <w:t>8 h. Ņemot vērā, ka noteikumu redakcija šobrīd paredz šo ierobežojumu, no kura tiek uzsākta dalībnieku datu vākšanu</w:t>
            </w:r>
            <w:r w:rsidR="000955E3" w:rsidRPr="009B0B4A">
              <w:rPr>
                <w:shd w:val="clear" w:color="auto" w:fill="FFFFFF"/>
              </w:rPr>
              <w:t xml:space="preserve"> (t.i., vismaz 8 stundas)</w:t>
            </w:r>
            <w:r w:rsidR="001D2460" w:rsidRPr="009B0B4A">
              <w:rPr>
                <w:shd w:val="clear" w:color="auto" w:fill="FFFFFF"/>
              </w:rPr>
              <w:t xml:space="preserve">, </w:t>
            </w:r>
            <w:r w:rsidR="001372E9" w:rsidRPr="009B0B4A">
              <w:rPr>
                <w:shd w:val="clear" w:color="auto" w:fill="FFFFFF"/>
              </w:rPr>
              <w:t>a</w:t>
            </w:r>
            <w:r w:rsidR="001D2460" w:rsidRPr="009B0B4A">
              <w:rPr>
                <w:shd w:val="clear" w:color="auto" w:fill="FFFFFF"/>
              </w:rPr>
              <w:t>r grozījumiem tiek ierosināts noteikt, ka dati tiek vākti pasākumiem, kuru ilgums ir vairāk par 8 h</w:t>
            </w:r>
            <w:r w:rsidR="001372E9" w:rsidRPr="009B0B4A">
              <w:rPr>
                <w:shd w:val="clear" w:color="auto" w:fill="FFFFFF"/>
              </w:rPr>
              <w:t>, tādējādi būtiski</w:t>
            </w:r>
            <w:r w:rsidR="00917530" w:rsidRPr="009B0B4A">
              <w:rPr>
                <w:shd w:val="clear" w:color="auto" w:fill="FFFFFF"/>
              </w:rPr>
              <w:t xml:space="preserve"> </w:t>
            </w:r>
            <w:r w:rsidR="001372E9" w:rsidRPr="009B0B4A">
              <w:rPr>
                <w:shd w:val="clear" w:color="auto" w:fill="FFFFFF"/>
              </w:rPr>
              <w:t xml:space="preserve">samazinot administratīvo </w:t>
            </w:r>
            <w:r w:rsidR="00917530" w:rsidRPr="009B0B4A">
              <w:rPr>
                <w:shd w:val="clear" w:color="auto" w:fill="FFFFFF"/>
              </w:rPr>
              <w:t>slog</w:t>
            </w:r>
            <w:r w:rsidR="001372E9" w:rsidRPr="009B0B4A">
              <w:rPr>
                <w:shd w:val="clear" w:color="auto" w:fill="FFFFFF"/>
              </w:rPr>
              <w:t>u</w:t>
            </w:r>
            <w:r w:rsidR="00917530" w:rsidRPr="009B0B4A">
              <w:rPr>
                <w:shd w:val="clear" w:color="auto" w:fill="FFFFFF"/>
              </w:rPr>
              <w:t>, kas saistīts ar dalībnieku datu vākšanu</w:t>
            </w:r>
            <w:r w:rsidR="001372E9" w:rsidRPr="009B0B4A">
              <w:rPr>
                <w:shd w:val="clear" w:color="auto" w:fill="FFFFFF"/>
              </w:rPr>
              <w:t>. Papildus vēršam uzmanību, ka nosacījums attiecībā uz pasākumu laika ierobežojumu dalībnieku uzskaitei tiek mainīts nebūtiski, vienlaicīgi</w:t>
            </w:r>
            <w:r w:rsidR="00AA36D9" w:rsidRPr="009B0B4A">
              <w:rPr>
                <w:shd w:val="clear" w:color="auto" w:fill="FFFFFF"/>
              </w:rPr>
              <w:t xml:space="preserve"> administratīvais slogs tiek mazināts ievērojami, jo </w:t>
            </w:r>
            <w:r w:rsidR="001372E9" w:rsidRPr="009B0B4A">
              <w:rPr>
                <w:shd w:val="clear" w:color="auto" w:fill="FFFFFF"/>
              </w:rPr>
              <w:t>mazin</w:t>
            </w:r>
            <w:r w:rsidR="00AA36D9" w:rsidRPr="009B0B4A">
              <w:rPr>
                <w:shd w:val="clear" w:color="auto" w:fill="FFFFFF"/>
              </w:rPr>
              <w:t>ās</w:t>
            </w:r>
            <w:r w:rsidR="001372E9" w:rsidRPr="009B0B4A">
              <w:rPr>
                <w:shd w:val="clear" w:color="auto" w:fill="FFFFFF"/>
              </w:rPr>
              <w:t xml:space="preserve"> pasākumu skait</w:t>
            </w:r>
            <w:r w:rsidR="00AA36D9" w:rsidRPr="009B0B4A">
              <w:rPr>
                <w:shd w:val="clear" w:color="auto" w:fill="FFFFFF"/>
              </w:rPr>
              <w:t>s</w:t>
            </w:r>
            <w:r w:rsidR="001372E9" w:rsidRPr="009B0B4A">
              <w:rPr>
                <w:shd w:val="clear" w:color="auto" w:fill="FFFFFF"/>
              </w:rPr>
              <w:t>, kuru ietvaros nepieciešams</w:t>
            </w:r>
            <w:r w:rsidR="00917530" w:rsidRPr="009B0B4A">
              <w:rPr>
                <w:shd w:val="clear" w:color="auto" w:fill="FFFFFF"/>
              </w:rPr>
              <w:t xml:space="preserve"> aizpild</w:t>
            </w:r>
            <w:r w:rsidR="001372E9" w:rsidRPr="009B0B4A">
              <w:rPr>
                <w:shd w:val="clear" w:color="auto" w:fill="FFFFFF"/>
              </w:rPr>
              <w:t>ī</w:t>
            </w:r>
            <w:r w:rsidR="00917530" w:rsidRPr="009B0B4A">
              <w:rPr>
                <w:shd w:val="clear" w:color="auto" w:fill="FFFFFF"/>
              </w:rPr>
              <w:t xml:space="preserve">t lielās anketas. </w:t>
            </w:r>
            <w:r w:rsidR="001E1EED" w:rsidRPr="009B0B4A">
              <w:rPr>
                <w:shd w:val="clear" w:color="auto" w:fill="FFFFFF"/>
              </w:rPr>
              <w:t>Piemēram, līdz šim baseina nodarbība</w:t>
            </w:r>
            <w:r w:rsidR="00EA4115" w:rsidRPr="009B0B4A">
              <w:rPr>
                <w:shd w:val="clear" w:color="auto" w:fill="FFFFFF"/>
              </w:rPr>
              <w:t xml:space="preserve"> (1 h) </w:t>
            </w:r>
            <w:r w:rsidR="001E1EED" w:rsidRPr="009B0B4A">
              <w:rPr>
                <w:shd w:val="clear" w:color="auto" w:fill="FFFFFF"/>
              </w:rPr>
              <w:t xml:space="preserve"> vai viens basein</w:t>
            </w:r>
            <w:r w:rsidR="00CD38B1" w:rsidRPr="009B0B4A">
              <w:rPr>
                <w:shd w:val="clear" w:color="auto" w:fill="FFFFFF"/>
              </w:rPr>
              <w:t>a</w:t>
            </w:r>
            <w:r w:rsidR="001E1EED" w:rsidRPr="009B0B4A">
              <w:rPr>
                <w:shd w:val="clear" w:color="auto" w:fill="FFFFFF"/>
              </w:rPr>
              <w:t xml:space="preserve"> nodarbību cikls (viena cilvēku grupa </w:t>
            </w:r>
            <w:r w:rsidR="00EA4115" w:rsidRPr="009B0B4A">
              <w:rPr>
                <w:shd w:val="clear" w:color="auto" w:fill="FFFFFF"/>
              </w:rPr>
              <w:t>apmeklē baseinu divas reizes nedēļā 3 mēnešu periodā</w:t>
            </w:r>
            <w:r w:rsidR="0097404B" w:rsidRPr="009B0B4A">
              <w:rPr>
                <w:shd w:val="clear" w:color="auto" w:fill="FFFFFF"/>
              </w:rPr>
              <w:t xml:space="preserve"> -  </w:t>
            </w:r>
            <w:r w:rsidR="00CD38B1" w:rsidRPr="009B0B4A">
              <w:rPr>
                <w:shd w:val="clear" w:color="auto" w:fill="FFFFFF"/>
              </w:rPr>
              <w:t xml:space="preserve">~ </w:t>
            </w:r>
            <w:r w:rsidR="0097404B" w:rsidRPr="009B0B4A">
              <w:rPr>
                <w:shd w:val="clear" w:color="auto" w:fill="FFFFFF"/>
              </w:rPr>
              <w:t>2</w:t>
            </w:r>
            <w:r w:rsidR="00CD38B1" w:rsidRPr="009B0B4A">
              <w:rPr>
                <w:shd w:val="clear" w:color="auto" w:fill="FFFFFF"/>
              </w:rPr>
              <w:t>5 pasākumi</w:t>
            </w:r>
            <w:r w:rsidR="00EA4115" w:rsidRPr="009B0B4A">
              <w:rPr>
                <w:shd w:val="clear" w:color="auto" w:fill="FFFFFF"/>
              </w:rPr>
              <w:t xml:space="preserve">)  tika uzskaitīta kā viens ciklisks pasākums vismaz 8 h garš un tika veikta dalībnieku uzskaite, proti dalībniekam nodarbību cikla sākumā bija jāaizpilda </w:t>
            </w:r>
            <w:r w:rsidR="00EA4115" w:rsidRPr="009B0B4A">
              <w:rPr>
                <w:shd w:val="clear" w:color="auto" w:fill="FFFFFF"/>
              </w:rPr>
              <w:lastRenderedPageBreak/>
              <w:t>lielā anketa</w:t>
            </w:r>
            <w:r w:rsidR="00CD38B1" w:rsidRPr="009B0B4A">
              <w:rPr>
                <w:shd w:val="clear" w:color="auto" w:fill="FFFFFF"/>
              </w:rPr>
              <w:t xml:space="preserve">. Otrs piemērs 7 dienu diennakts nometne tika uzskaitīta kā viens pasākums vismaz 8 h garš. Pēc </w:t>
            </w:r>
            <w:r w:rsidR="00EA4115" w:rsidRPr="009B0B4A">
              <w:rPr>
                <w:shd w:val="clear" w:color="auto" w:fill="FFFFFF"/>
              </w:rPr>
              <w:t xml:space="preserve"> grozījumiem</w:t>
            </w:r>
            <w:r w:rsidR="00CD38B1" w:rsidRPr="009B0B4A">
              <w:rPr>
                <w:shd w:val="clear" w:color="auto" w:fill="FFFFFF"/>
              </w:rPr>
              <w:t xml:space="preserve"> pirmajā piemērā minētās 1 h baseina nodarbības būs uzskaitāmas kā viens pasākums un tāpat arī 7 dienu diennakts nometne būs uzskaitāma kā viens pasākums. Ņemot vērā, ka pastāv pasākuma ilguma atšķirības starp baseina nodarbību, dienas vai diennakts nometni, lekciju, </w:t>
            </w:r>
            <w:proofErr w:type="spellStart"/>
            <w:r w:rsidR="00CD38B1" w:rsidRPr="009B0B4A">
              <w:rPr>
                <w:shd w:val="clear" w:color="auto" w:fill="FFFFFF"/>
              </w:rPr>
              <w:t>ekspress</w:t>
            </w:r>
            <w:proofErr w:type="spellEnd"/>
            <w:r w:rsidR="00CD38B1" w:rsidRPr="009B0B4A">
              <w:rPr>
                <w:shd w:val="clear" w:color="auto" w:fill="FFFFFF"/>
              </w:rPr>
              <w:t xml:space="preserve"> konsultāciju, skaidrojam, ka plānotais jaunais sasniedzamais rādītājs pasākumu skaits tika aprēķināts ņemot vērā faktiski notikušos 9.2.4.2.pasākuma projekta ietvaros īstenotos veselības veicināšanas un slimību profilakses pasākumus, kas tika uzskaitīti un analizēti pēc šāda paša principa. Tādu izņēmumu (pasākuma norises laika ziņā) pasākumu kā </w:t>
            </w:r>
            <w:proofErr w:type="spellStart"/>
            <w:r w:rsidR="00CD38B1" w:rsidRPr="009B0B4A">
              <w:rPr>
                <w:shd w:val="clear" w:color="auto" w:fill="FFFFFF"/>
              </w:rPr>
              <w:t>ekspress</w:t>
            </w:r>
            <w:proofErr w:type="spellEnd"/>
            <w:r w:rsidR="00CD38B1" w:rsidRPr="009B0B4A">
              <w:rPr>
                <w:shd w:val="clear" w:color="auto" w:fill="FFFFFF"/>
              </w:rPr>
              <w:t xml:space="preserve"> konsultācija un diennakts nometne skaits uz kopējo pasākumu fona ir ļoti neliels, tas neietekmēs kopējo sasniedzamo pasākumu skaitu. Tādejādi nevajadzētu rasties situācija, ka finansējuma saņēmēji var nesasniegt iznākuma rādītāju.</w:t>
            </w:r>
          </w:p>
          <w:p w14:paraId="1A912B0D" w14:textId="06A6D800" w:rsidR="00FD4EB4" w:rsidRPr="009B0B4A" w:rsidRDefault="00FD4EB4" w:rsidP="00E03779">
            <w:pPr>
              <w:tabs>
                <w:tab w:val="left" w:pos="2977"/>
              </w:tabs>
              <w:spacing w:before="40" w:after="160"/>
              <w:ind w:left="285" w:right="142"/>
              <w:jc w:val="both"/>
            </w:pPr>
            <w:r w:rsidRPr="009B0B4A">
              <w:t>Kopumā minētie apjomīgie grozījumi ir vērsti uz labāku SAM 9.2.4. mērķa sasniegšanu un iznākumu rādītāju sasniegšanu, maksimāli vienkāršojot un atvieglojot projektu īstenošanu finansējuma saņēmējiem un uzraugošajām institūcijām. Grozījumi prasīs izmaiņas īstenošanā esošajos projektos</w:t>
            </w:r>
            <w:r w:rsidR="00F16016" w:rsidRPr="009B0B4A">
              <w:t>, tiks grozītas projektu summas, termiņi un citas būtiskas izmaiņas, tādejādi grozījumi ir uzskatāmi par būtiskiem grozījumiem, ņemot vērā, ka noteikumu projekts iesniegts izskatīšanai pēc projektu iesniegumu atlases noslēguma</w:t>
            </w:r>
            <w:r w:rsidRPr="009B0B4A">
              <w:t>.</w:t>
            </w:r>
          </w:p>
        </w:tc>
      </w:tr>
      <w:tr w:rsidR="00464827" w:rsidRPr="009B0B4A" w14:paraId="3A41624B" w14:textId="77777777" w:rsidTr="002603E9">
        <w:trPr>
          <w:trHeight w:val="476"/>
        </w:trPr>
        <w:tc>
          <w:tcPr>
            <w:tcW w:w="233" w:type="pct"/>
          </w:tcPr>
          <w:p w14:paraId="38EA1107" w14:textId="77777777" w:rsidR="002130F9" w:rsidRPr="009B0B4A" w:rsidRDefault="002130F9" w:rsidP="00683BA6">
            <w:pPr>
              <w:pStyle w:val="naiskr"/>
              <w:tabs>
                <w:tab w:val="left" w:pos="2977"/>
              </w:tabs>
              <w:spacing w:before="0" w:beforeAutospacing="0" w:after="0" w:afterAutospacing="0"/>
              <w:ind w:left="57" w:right="57"/>
              <w:jc w:val="center"/>
            </w:pPr>
            <w:r w:rsidRPr="009B0B4A">
              <w:lastRenderedPageBreak/>
              <w:t xml:space="preserve">3. </w:t>
            </w:r>
          </w:p>
        </w:tc>
        <w:tc>
          <w:tcPr>
            <w:tcW w:w="1329" w:type="pct"/>
          </w:tcPr>
          <w:p w14:paraId="069C193B" w14:textId="558F6DF6" w:rsidR="002130F9" w:rsidRPr="009B0B4A" w:rsidRDefault="00EC2621" w:rsidP="00683BA6">
            <w:pPr>
              <w:pStyle w:val="naiskr"/>
              <w:tabs>
                <w:tab w:val="left" w:pos="2977"/>
              </w:tabs>
              <w:spacing w:before="0" w:beforeAutospacing="0" w:after="0" w:afterAutospacing="0"/>
              <w:ind w:left="57" w:right="57"/>
            </w:pPr>
            <w:r w:rsidRPr="009B0B4A">
              <w:t>Projekta izstrādē iesaistītās institūcijas un publiskas personas kapitālsabiedrības</w:t>
            </w:r>
          </w:p>
        </w:tc>
        <w:tc>
          <w:tcPr>
            <w:tcW w:w="3438" w:type="pct"/>
          </w:tcPr>
          <w:p w14:paraId="2D809E30" w14:textId="767A7E42" w:rsidR="002130F9" w:rsidRPr="009B0B4A" w:rsidRDefault="002130F9" w:rsidP="00E03779">
            <w:pPr>
              <w:pStyle w:val="naiskr"/>
              <w:tabs>
                <w:tab w:val="left" w:pos="2977"/>
              </w:tabs>
              <w:spacing w:before="40" w:beforeAutospacing="0" w:after="40" w:afterAutospacing="0"/>
              <w:ind w:left="285" w:right="135"/>
              <w:jc w:val="both"/>
            </w:pPr>
            <w:r w:rsidRPr="009B0B4A">
              <w:t xml:space="preserve">MK noteikumu grozījumu izstrādes ietvaros tika iesaistīta SPKC, Centrālā finanšu un līgumu aģentūra, Finanšu ministrija, </w:t>
            </w:r>
            <w:r w:rsidR="00D72261" w:rsidRPr="009B0B4A">
              <w:t xml:space="preserve">VSIA “Bērnu klīniskā universitātes slimnīca”, </w:t>
            </w:r>
            <w:r w:rsidRPr="009B0B4A">
              <w:t>pašvaldības un citas īstenošanas procesā iesaistītās institūcijas.</w:t>
            </w:r>
          </w:p>
        </w:tc>
      </w:tr>
      <w:tr w:rsidR="00464827" w:rsidRPr="009B0B4A" w14:paraId="4B0FF8BC" w14:textId="77777777" w:rsidTr="002603E9">
        <w:tc>
          <w:tcPr>
            <w:tcW w:w="233" w:type="pct"/>
          </w:tcPr>
          <w:p w14:paraId="79649C54" w14:textId="77777777" w:rsidR="002130F9" w:rsidRPr="009B0B4A" w:rsidRDefault="002130F9" w:rsidP="00683BA6">
            <w:pPr>
              <w:pStyle w:val="naiskr"/>
              <w:tabs>
                <w:tab w:val="left" w:pos="2977"/>
              </w:tabs>
              <w:spacing w:before="0" w:beforeAutospacing="0" w:after="0" w:afterAutospacing="0"/>
              <w:ind w:left="57" w:right="57"/>
              <w:jc w:val="center"/>
            </w:pPr>
            <w:r w:rsidRPr="009B0B4A">
              <w:t xml:space="preserve">4. </w:t>
            </w:r>
          </w:p>
        </w:tc>
        <w:tc>
          <w:tcPr>
            <w:tcW w:w="1329" w:type="pct"/>
          </w:tcPr>
          <w:p w14:paraId="23CE2E7D" w14:textId="77777777" w:rsidR="002130F9" w:rsidRPr="009B0B4A" w:rsidRDefault="002130F9" w:rsidP="00683BA6">
            <w:pPr>
              <w:pStyle w:val="naiskr"/>
              <w:tabs>
                <w:tab w:val="left" w:pos="2977"/>
              </w:tabs>
              <w:spacing w:before="0" w:beforeAutospacing="0" w:after="0" w:afterAutospacing="0"/>
              <w:ind w:left="57" w:right="57"/>
            </w:pPr>
            <w:r w:rsidRPr="009B0B4A">
              <w:t>Cita informācija</w:t>
            </w:r>
          </w:p>
        </w:tc>
        <w:tc>
          <w:tcPr>
            <w:tcW w:w="3438" w:type="pct"/>
          </w:tcPr>
          <w:p w14:paraId="37DA4182" w14:textId="77777777" w:rsidR="002130F9" w:rsidRPr="009B0B4A" w:rsidRDefault="002130F9" w:rsidP="00683BA6">
            <w:pPr>
              <w:pStyle w:val="naiskr"/>
              <w:tabs>
                <w:tab w:val="left" w:pos="2977"/>
              </w:tabs>
              <w:spacing w:before="40" w:beforeAutospacing="0" w:after="40" w:afterAutospacing="0"/>
              <w:ind w:left="57" w:right="57" w:firstLine="284"/>
              <w:jc w:val="both"/>
            </w:pPr>
            <w:r w:rsidRPr="009B0B4A">
              <w:t xml:space="preserve">Nav. </w:t>
            </w:r>
          </w:p>
        </w:tc>
      </w:tr>
    </w:tbl>
    <w:p w14:paraId="7B10BAC6" w14:textId="77777777" w:rsidR="006269FB" w:rsidRPr="009B0B4A" w:rsidRDefault="006269FB" w:rsidP="00683BA6">
      <w:pPr>
        <w:tabs>
          <w:tab w:val="left" w:pos="2977"/>
        </w:tabs>
        <w:autoSpaceDE w:val="0"/>
        <w:autoSpaceDN w:val="0"/>
        <w:adjustRightInd w:val="0"/>
        <w:jc w:val="both"/>
        <w:outlineLvl w:val="0"/>
      </w:pPr>
    </w:p>
    <w:tbl>
      <w:tblPr>
        <w:tblpPr w:leftFromText="180" w:rightFromText="180" w:vertAnchor="text" w:horzAnchor="margin" w:tblpX="13" w:tblpY="1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842"/>
        <w:gridCol w:w="6653"/>
      </w:tblGrid>
      <w:tr w:rsidR="00464827" w:rsidRPr="009B0B4A" w14:paraId="14FECD6B" w14:textId="77777777" w:rsidTr="007165B0">
        <w:trPr>
          <w:trHeight w:val="556"/>
        </w:trPr>
        <w:tc>
          <w:tcPr>
            <w:tcW w:w="8926" w:type="dxa"/>
            <w:gridSpan w:val="3"/>
            <w:vAlign w:val="center"/>
          </w:tcPr>
          <w:p w14:paraId="38251FFB" w14:textId="77777777" w:rsidR="003735C6" w:rsidRPr="009B0B4A" w:rsidRDefault="003735C6" w:rsidP="00683BA6">
            <w:pPr>
              <w:pStyle w:val="naisnod"/>
              <w:tabs>
                <w:tab w:val="left" w:pos="2977"/>
              </w:tabs>
              <w:spacing w:before="0" w:beforeAutospacing="0" w:after="0" w:afterAutospacing="0"/>
              <w:ind w:left="57" w:right="57"/>
              <w:jc w:val="center"/>
              <w:rPr>
                <w:b/>
              </w:rPr>
            </w:pPr>
            <w:r w:rsidRPr="009B0B4A">
              <w:rPr>
                <w:b/>
              </w:rPr>
              <w:t>II</w:t>
            </w:r>
            <w:r w:rsidR="00D46E0B" w:rsidRPr="009B0B4A">
              <w:rPr>
                <w:b/>
              </w:rPr>
              <w:t xml:space="preserve">. </w:t>
            </w:r>
            <w:r w:rsidRPr="009B0B4A">
              <w:rPr>
                <w:b/>
              </w:rPr>
              <w:t>Tiesību akta projekta ietekme uz sabiedrību, tautsaimniecības attīstību</w:t>
            </w:r>
          </w:p>
          <w:p w14:paraId="0348A56C" w14:textId="77777777" w:rsidR="003735C6" w:rsidRPr="009B0B4A" w:rsidRDefault="003735C6" w:rsidP="00683BA6">
            <w:pPr>
              <w:pStyle w:val="naisnod"/>
              <w:tabs>
                <w:tab w:val="left" w:pos="2977"/>
              </w:tabs>
              <w:spacing w:before="0" w:beforeAutospacing="0" w:after="0" w:afterAutospacing="0"/>
              <w:ind w:left="57" w:right="57"/>
              <w:jc w:val="center"/>
              <w:rPr>
                <w:b/>
              </w:rPr>
            </w:pPr>
            <w:r w:rsidRPr="009B0B4A">
              <w:rPr>
                <w:b/>
              </w:rPr>
              <w:t>un administratīvo slogu</w:t>
            </w:r>
          </w:p>
        </w:tc>
      </w:tr>
      <w:tr w:rsidR="00464827" w:rsidRPr="009B0B4A" w14:paraId="3EF7B1B9" w14:textId="77777777" w:rsidTr="007165B0">
        <w:trPr>
          <w:trHeight w:val="467"/>
        </w:trPr>
        <w:tc>
          <w:tcPr>
            <w:tcW w:w="431" w:type="dxa"/>
          </w:tcPr>
          <w:p w14:paraId="0E1B49A8" w14:textId="77777777" w:rsidR="001C4D3E" w:rsidRPr="009B0B4A" w:rsidRDefault="001C4D3E" w:rsidP="00683BA6">
            <w:pPr>
              <w:pStyle w:val="naiskr"/>
              <w:tabs>
                <w:tab w:val="left" w:pos="2977"/>
              </w:tabs>
              <w:spacing w:before="0" w:beforeAutospacing="0" w:after="0" w:afterAutospacing="0"/>
              <w:ind w:left="57" w:right="57"/>
              <w:jc w:val="both"/>
            </w:pPr>
            <w:r w:rsidRPr="009B0B4A">
              <w:t xml:space="preserve">1. </w:t>
            </w:r>
          </w:p>
        </w:tc>
        <w:tc>
          <w:tcPr>
            <w:tcW w:w="1842" w:type="dxa"/>
          </w:tcPr>
          <w:p w14:paraId="47E57CF6" w14:textId="77777777" w:rsidR="001C4D3E" w:rsidRPr="009B0B4A" w:rsidRDefault="001C4D3E" w:rsidP="00683BA6">
            <w:pPr>
              <w:pStyle w:val="naiskr"/>
              <w:tabs>
                <w:tab w:val="left" w:pos="2977"/>
              </w:tabs>
              <w:spacing w:before="0" w:beforeAutospacing="0" w:after="0" w:afterAutospacing="0"/>
              <w:ind w:left="57" w:right="57"/>
            </w:pPr>
            <w:r w:rsidRPr="009B0B4A">
              <w:t xml:space="preserve">Sabiedrības </w:t>
            </w:r>
            <w:proofErr w:type="spellStart"/>
            <w:r w:rsidRPr="009B0B4A">
              <w:t>mērķgrupas</w:t>
            </w:r>
            <w:proofErr w:type="spellEnd"/>
            <w:r w:rsidRPr="009B0B4A">
              <w:t>, kuras tiesiskais regulējums ietekmē vai varētu ietekmēt</w:t>
            </w:r>
          </w:p>
        </w:tc>
        <w:tc>
          <w:tcPr>
            <w:tcW w:w="6653" w:type="dxa"/>
          </w:tcPr>
          <w:p w14:paraId="49F7B56B" w14:textId="25113BFF" w:rsidR="001C4D3E" w:rsidRPr="009B0B4A" w:rsidRDefault="001C4D3E" w:rsidP="00E03779">
            <w:pPr>
              <w:pStyle w:val="naiskr"/>
              <w:tabs>
                <w:tab w:val="left" w:pos="2977"/>
              </w:tabs>
              <w:spacing w:before="40" w:beforeAutospacing="0" w:after="40" w:afterAutospacing="0"/>
              <w:ind w:left="271" w:right="57" w:firstLine="283"/>
              <w:jc w:val="both"/>
            </w:pPr>
            <w:bookmarkStart w:id="13" w:name="p21"/>
            <w:bookmarkEnd w:id="13"/>
            <w:r w:rsidRPr="009B0B4A">
              <w:t>Tiesiskais regulējums</w:t>
            </w:r>
            <w:r w:rsidR="00EC2621" w:rsidRPr="009B0B4A">
              <w:t xml:space="preserve"> ietekmē</w:t>
            </w:r>
            <w:r w:rsidRPr="009B0B4A">
              <w:t xml:space="preserve"> Veselības ministriju, S</w:t>
            </w:r>
            <w:r w:rsidR="00FB72A4" w:rsidRPr="009B0B4A">
              <w:t>PKC</w:t>
            </w:r>
            <w:r w:rsidRPr="009B0B4A">
              <w:t>, Centrālo finanšu un līgumu aģentūru</w:t>
            </w:r>
            <w:r w:rsidR="0098251C" w:rsidRPr="009B0B4A">
              <w:t>, pašvaldības, mazinot administratīvo slogu</w:t>
            </w:r>
            <w:r w:rsidRPr="009B0B4A">
              <w:t>.</w:t>
            </w:r>
          </w:p>
        </w:tc>
      </w:tr>
      <w:tr w:rsidR="00464827" w:rsidRPr="009B0B4A" w14:paraId="649C8249" w14:textId="77777777" w:rsidTr="007165B0">
        <w:trPr>
          <w:trHeight w:val="523"/>
        </w:trPr>
        <w:tc>
          <w:tcPr>
            <w:tcW w:w="431" w:type="dxa"/>
          </w:tcPr>
          <w:p w14:paraId="3F69D69B" w14:textId="77777777" w:rsidR="001C4D3E" w:rsidRPr="009B0B4A" w:rsidRDefault="001C4D3E" w:rsidP="00683BA6">
            <w:pPr>
              <w:pStyle w:val="naiskr"/>
              <w:tabs>
                <w:tab w:val="left" w:pos="2977"/>
              </w:tabs>
              <w:spacing w:before="0" w:beforeAutospacing="0" w:after="0" w:afterAutospacing="0"/>
              <w:ind w:left="57" w:right="57"/>
              <w:jc w:val="both"/>
            </w:pPr>
            <w:r w:rsidRPr="009B0B4A">
              <w:t xml:space="preserve">2. </w:t>
            </w:r>
          </w:p>
        </w:tc>
        <w:tc>
          <w:tcPr>
            <w:tcW w:w="1842" w:type="dxa"/>
          </w:tcPr>
          <w:p w14:paraId="5A5ACE53" w14:textId="77777777" w:rsidR="001C4D3E" w:rsidRPr="009B0B4A" w:rsidRDefault="001C4D3E" w:rsidP="00683BA6">
            <w:pPr>
              <w:pStyle w:val="naiskr"/>
              <w:tabs>
                <w:tab w:val="left" w:pos="2977"/>
              </w:tabs>
              <w:spacing w:before="0" w:beforeAutospacing="0" w:after="0" w:afterAutospacing="0"/>
              <w:ind w:left="57" w:right="57"/>
            </w:pPr>
            <w:r w:rsidRPr="009B0B4A">
              <w:t>Tiesiskā regulējuma ietekme uz tautsaimniecību un administratīvo slogu</w:t>
            </w:r>
          </w:p>
        </w:tc>
        <w:tc>
          <w:tcPr>
            <w:tcW w:w="6653" w:type="dxa"/>
          </w:tcPr>
          <w:p w14:paraId="68AA3412" w14:textId="77777777" w:rsidR="001C4D3E" w:rsidRPr="009B0B4A" w:rsidRDefault="001C4D3E" w:rsidP="00E03779">
            <w:pPr>
              <w:pStyle w:val="naiskr"/>
              <w:tabs>
                <w:tab w:val="left" w:pos="2977"/>
              </w:tabs>
              <w:spacing w:before="40" w:beforeAutospacing="0" w:after="40" w:afterAutospacing="0"/>
              <w:ind w:left="271" w:right="57" w:firstLine="284"/>
              <w:jc w:val="both"/>
            </w:pPr>
            <w:r w:rsidRPr="009B0B4A">
              <w:t>Sabiedrības grupām un institūcijām projekta tiesiskais regulējums nemaina tiesības un pienākumus, kā arī veicamās darbības pēc būtības. Tiesiskā regulējuma ietvaros noteiktie pienākumi tiks īstenoti esošo finanšu un darbinieku kapacitātes ietvaros.</w:t>
            </w:r>
          </w:p>
        </w:tc>
      </w:tr>
      <w:tr w:rsidR="00464827" w:rsidRPr="009B0B4A" w14:paraId="3A0C2614" w14:textId="77777777" w:rsidTr="007165B0">
        <w:trPr>
          <w:trHeight w:val="523"/>
        </w:trPr>
        <w:tc>
          <w:tcPr>
            <w:tcW w:w="431" w:type="dxa"/>
          </w:tcPr>
          <w:p w14:paraId="633F0C00" w14:textId="77777777" w:rsidR="001C4D3E" w:rsidRPr="009B0B4A" w:rsidRDefault="001C4D3E" w:rsidP="00683BA6">
            <w:pPr>
              <w:pStyle w:val="naiskr"/>
              <w:tabs>
                <w:tab w:val="left" w:pos="2977"/>
              </w:tabs>
              <w:spacing w:before="0" w:beforeAutospacing="0" w:after="0" w:afterAutospacing="0"/>
              <w:ind w:left="57" w:right="57"/>
              <w:jc w:val="both"/>
            </w:pPr>
            <w:r w:rsidRPr="009B0B4A">
              <w:lastRenderedPageBreak/>
              <w:t xml:space="preserve">3. </w:t>
            </w:r>
          </w:p>
        </w:tc>
        <w:tc>
          <w:tcPr>
            <w:tcW w:w="1842" w:type="dxa"/>
          </w:tcPr>
          <w:p w14:paraId="04BC41E8" w14:textId="77777777" w:rsidR="001C4D3E" w:rsidRPr="009B0B4A" w:rsidRDefault="001C4D3E" w:rsidP="00683BA6">
            <w:pPr>
              <w:pStyle w:val="naiskr"/>
              <w:tabs>
                <w:tab w:val="left" w:pos="2977"/>
              </w:tabs>
              <w:spacing w:before="0" w:beforeAutospacing="0" w:after="0" w:afterAutospacing="0"/>
              <w:ind w:left="57" w:right="57"/>
            </w:pPr>
            <w:r w:rsidRPr="009B0B4A">
              <w:t>Administratīvo izmaksu monetārs novērtējums</w:t>
            </w:r>
          </w:p>
        </w:tc>
        <w:tc>
          <w:tcPr>
            <w:tcW w:w="6653" w:type="dxa"/>
          </w:tcPr>
          <w:p w14:paraId="453915F5" w14:textId="77777777" w:rsidR="001C4D3E" w:rsidRPr="009B0B4A" w:rsidRDefault="001C4D3E" w:rsidP="00683BA6">
            <w:pPr>
              <w:pStyle w:val="naiskr"/>
              <w:tabs>
                <w:tab w:val="left" w:pos="2977"/>
              </w:tabs>
              <w:spacing w:before="40" w:beforeAutospacing="0" w:after="40" w:afterAutospacing="0"/>
              <w:ind w:left="57" w:right="57" w:firstLine="284"/>
              <w:jc w:val="both"/>
            </w:pPr>
            <w:r w:rsidRPr="009B0B4A">
              <w:t>MK noteikumu projekts šo jomu neskar.</w:t>
            </w:r>
          </w:p>
        </w:tc>
      </w:tr>
      <w:tr w:rsidR="00464827" w:rsidRPr="009B0B4A" w14:paraId="42B2D31C" w14:textId="77777777" w:rsidTr="007165B0">
        <w:trPr>
          <w:trHeight w:val="357"/>
        </w:trPr>
        <w:tc>
          <w:tcPr>
            <w:tcW w:w="431" w:type="dxa"/>
          </w:tcPr>
          <w:p w14:paraId="7F1DB171" w14:textId="77777777" w:rsidR="001C4D3E" w:rsidRPr="009B0B4A" w:rsidRDefault="001C4D3E" w:rsidP="00683BA6">
            <w:pPr>
              <w:pStyle w:val="naiskr"/>
              <w:tabs>
                <w:tab w:val="left" w:pos="2977"/>
              </w:tabs>
              <w:spacing w:before="0" w:beforeAutospacing="0" w:after="0" w:afterAutospacing="0"/>
              <w:ind w:left="57" w:right="57"/>
              <w:jc w:val="both"/>
            </w:pPr>
            <w:r w:rsidRPr="009B0B4A">
              <w:t xml:space="preserve">4. </w:t>
            </w:r>
          </w:p>
        </w:tc>
        <w:tc>
          <w:tcPr>
            <w:tcW w:w="1842" w:type="dxa"/>
          </w:tcPr>
          <w:p w14:paraId="312D36A2" w14:textId="6B4FEFFA" w:rsidR="001C4D3E" w:rsidRPr="009B0B4A" w:rsidRDefault="00EC2621" w:rsidP="00683BA6">
            <w:pPr>
              <w:pStyle w:val="naiskr"/>
              <w:tabs>
                <w:tab w:val="left" w:pos="2977"/>
              </w:tabs>
              <w:spacing w:before="0" w:beforeAutospacing="0" w:after="0" w:afterAutospacing="0"/>
              <w:ind w:left="57" w:right="57"/>
            </w:pPr>
            <w:r w:rsidRPr="009B0B4A">
              <w:t>Atbilstības izmaksu monetārs novērtējums</w:t>
            </w:r>
          </w:p>
        </w:tc>
        <w:tc>
          <w:tcPr>
            <w:tcW w:w="6653" w:type="dxa"/>
          </w:tcPr>
          <w:p w14:paraId="2E95C4FC" w14:textId="131698FF" w:rsidR="001C4D3E" w:rsidRPr="009B0B4A" w:rsidRDefault="00EC2621" w:rsidP="00683BA6">
            <w:pPr>
              <w:pStyle w:val="naiskr"/>
              <w:tabs>
                <w:tab w:val="left" w:pos="2977"/>
              </w:tabs>
              <w:spacing w:before="40" w:beforeAutospacing="0" w:after="40" w:afterAutospacing="0"/>
              <w:ind w:left="57" w:right="57" w:firstLine="284"/>
              <w:jc w:val="both"/>
            </w:pPr>
            <w:r w:rsidRPr="009B0B4A">
              <w:t>MK noteikumu projekts šo jomu neskar.</w:t>
            </w:r>
          </w:p>
        </w:tc>
      </w:tr>
      <w:tr w:rsidR="00464827" w:rsidRPr="009B0B4A" w14:paraId="090F94A9" w14:textId="77777777" w:rsidTr="007165B0">
        <w:trPr>
          <w:trHeight w:val="357"/>
        </w:trPr>
        <w:tc>
          <w:tcPr>
            <w:tcW w:w="431" w:type="dxa"/>
          </w:tcPr>
          <w:p w14:paraId="26A0C824" w14:textId="23F4BA9F" w:rsidR="00EC2621" w:rsidRPr="009B0B4A" w:rsidRDefault="00EC2621" w:rsidP="00683BA6">
            <w:pPr>
              <w:pStyle w:val="naiskr"/>
              <w:tabs>
                <w:tab w:val="left" w:pos="2977"/>
              </w:tabs>
              <w:spacing w:before="0" w:beforeAutospacing="0" w:after="0" w:afterAutospacing="0"/>
              <w:ind w:left="57" w:right="57"/>
              <w:jc w:val="both"/>
            </w:pPr>
            <w:r w:rsidRPr="009B0B4A">
              <w:t>5.</w:t>
            </w:r>
          </w:p>
        </w:tc>
        <w:tc>
          <w:tcPr>
            <w:tcW w:w="1842" w:type="dxa"/>
          </w:tcPr>
          <w:p w14:paraId="012ACCB2" w14:textId="2C57A5B1" w:rsidR="00EC2621" w:rsidRPr="009B0B4A" w:rsidRDefault="00EC2621" w:rsidP="00683BA6">
            <w:pPr>
              <w:pStyle w:val="naiskr"/>
              <w:tabs>
                <w:tab w:val="left" w:pos="2977"/>
              </w:tabs>
              <w:spacing w:before="0" w:beforeAutospacing="0" w:after="0" w:afterAutospacing="0"/>
              <w:ind w:left="57" w:right="57"/>
            </w:pPr>
            <w:r w:rsidRPr="009B0B4A">
              <w:t>Cita informācija</w:t>
            </w:r>
          </w:p>
        </w:tc>
        <w:tc>
          <w:tcPr>
            <w:tcW w:w="6653" w:type="dxa"/>
          </w:tcPr>
          <w:p w14:paraId="61FB844E" w14:textId="397C3498" w:rsidR="00EC2621" w:rsidRPr="009B0B4A" w:rsidRDefault="00EC2621" w:rsidP="00683BA6">
            <w:pPr>
              <w:pStyle w:val="naiskr"/>
              <w:tabs>
                <w:tab w:val="left" w:pos="2977"/>
              </w:tabs>
              <w:spacing w:before="40" w:beforeAutospacing="0" w:after="40" w:afterAutospacing="0"/>
              <w:ind w:left="57" w:right="57" w:firstLine="284"/>
              <w:jc w:val="both"/>
            </w:pPr>
            <w:r w:rsidRPr="009B0B4A">
              <w:t>Nav.</w:t>
            </w:r>
          </w:p>
        </w:tc>
      </w:tr>
    </w:tbl>
    <w:p w14:paraId="3F998C87" w14:textId="7390A51E" w:rsidR="00284C3F" w:rsidRPr="009B0B4A" w:rsidRDefault="00284C3F" w:rsidP="00D224AF">
      <w:pPr>
        <w:pStyle w:val="naisnod"/>
        <w:tabs>
          <w:tab w:val="left" w:pos="2977"/>
        </w:tabs>
        <w:spacing w:before="0" w:beforeAutospacing="0" w:after="0" w:afterAutospacing="0"/>
        <w:ind w:right="57"/>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64827" w:rsidRPr="009B0B4A" w14:paraId="0B6B15D6" w14:textId="77777777" w:rsidTr="003571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2444AA" w14:textId="77777777" w:rsidR="00284C3F" w:rsidRPr="009B0B4A" w:rsidRDefault="00284C3F" w:rsidP="00683BA6">
            <w:pPr>
              <w:tabs>
                <w:tab w:val="left" w:pos="2977"/>
              </w:tabs>
              <w:rPr>
                <w:b/>
                <w:bCs/>
                <w:iCs/>
                <w:lang w:eastAsia="lv-LV"/>
              </w:rPr>
            </w:pPr>
            <w:bookmarkStart w:id="14" w:name="_Hlk24094579"/>
            <w:r w:rsidRPr="009B0B4A">
              <w:rPr>
                <w:b/>
                <w:bCs/>
                <w:iCs/>
                <w:lang w:eastAsia="lv-LV"/>
              </w:rPr>
              <w:t>III. Tiesību akta projekta ietekme uz valsts budžetu un pašvaldību budžetiem</w:t>
            </w:r>
          </w:p>
        </w:tc>
      </w:tr>
      <w:tr w:rsidR="000A7007" w:rsidRPr="009B0B4A" w14:paraId="51E5F019" w14:textId="77777777" w:rsidTr="003571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3171C2" w14:textId="77777777" w:rsidR="00284C3F" w:rsidRPr="009B0B4A" w:rsidRDefault="00284C3F" w:rsidP="00683BA6">
            <w:pPr>
              <w:tabs>
                <w:tab w:val="left" w:pos="2977"/>
              </w:tabs>
              <w:jc w:val="center"/>
              <w:rPr>
                <w:b/>
                <w:bCs/>
                <w:iCs/>
                <w:lang w:eastAsia="lv-LV"/>
              </w:rPr>
            </w:pPr>
            <w:r w:rsidRPr="009B0B4A">
              <w:rPr>
                <w:bCs/>
                <w:lang w:eastAsia="lv-LV"/>
              </w:rPr>
              <w:t>Projekts šo jomu neskar.</w:t>
            </w:r>
          </w:p>
        </w:tc>
      </w:tr>
      <w:bookmarkEnd w:id="14"/>
    </w:tbl>
    <w:p w14:paraId="0F1B714E" w14:textId="2BD3EF49" w:rsidR="00284C3F" w:rsidRPr="009B0B4A" w:rsidRDefault="00284C3F" w:rsidP="00683BA6">
      <w:pPr>
        <w:pStyle w:val="naisnod"/>
        <w:tabs>
          <w:tab w:val="left" w:pos="2977"/>
        </w:tabs>
        <w:spacing w:before="0" w:beforeAutospacing="0" w:after="0" w:afterAutospacing="0"/>
        <w:ind w:left="57" w:right="57"/>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64827" w:rsidRPr="009B0B4A" w14:paraId="525C051F" w14:textId="77777777" w:rsidTr="003571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F73940" w14:textId="77777777" w:rsidR="00284C3F" w:rsidRPr="009B0B4A" w:rsidRDefault="00284C3F" w:rsidP="00683BA6">
            <w:pPr>
              <w:tabs>
                <w:tab w:val="left" w:pos="2977"/>
              </w:tabs>
              <w:rPr>
                <w:b/>
                <w:bCs/>
                <w:iCs/>
                <w:lang w:eastAsia="lv-LV"/>
              </w:rPr>
            </w:pPr>
            <w:r w:rsidRPr="009B0B4A">
              <w:rPr>
                <w:b/>
                <w:bCs/>
                <w:iCs/>
                <w:lang w:eastAsia="lv-LV"/>
              </w:rPr>
              <w:t>IV. Tiesību akta projekta ietekme uz spēkā esošo tiesību normu sistēmu</w:t>
            </w:r>
          </w:p>
        </w:tc>
      </w:tr>
      <w:tr w:rsidR="000A7007" w:rsidRPr="009B0B4A" w14:paraId="5D70700A" w14:textId="77777777" w:rsidTr="0035715B">
        <w:trPr>
          <w:trHeight w:val="317"/>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2F3D4AEF" w14:textId="77777777" w:rsidR="00284C3F" w:rsidRPr="009B0B4A" w:rsidRDefault="00284C3F" w:rsidP="00683BA6">
            <w:pPr>
              <w:tabs>
                <w:tab w:val="left" w:pos="2977"/>
              </w:tabs>
              <w:jc w:val="center"/>
              <w:rPr>
                <w:iCs/>
                <w:lang w:eastAsia="lv-LV"/>
              </w:rPr>
            </w:pPr>
            <w:r w:rsidRPr="009B0B4A">
              <w:rPr>
                <w:iCs/>
                <w:lang w:eastAsia="lv-LV"/>
              </w:rPr>
              <w:t>Projekts šo jomu neskar.</w:t>
            </w:r>
          </w:p>
        </w:tc>
      </w:tr>
    </w:tbl>
    <w:p w14:paraId="7C8F7E8F" w14:textId="76CE5589" w:rsidR="00284C3F" w:rsidRPr="009B0B4A" w:rsidRDefault="00284C3F" w:rsidP="00683BA6">
      <w:pPr>
        <w:pStyle w:val="naisnod"/>
        <w:tabs>
          <w:tab w:val="left" w:pos="2977"/>
        </w:tabs>
        <w:spacing w:before="0" w:beforeAutospacing="0" w:after="0" w:afterAutospacing="0"/>
        <w:ind w:left="57" w:right="57"/>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73"/>
        <w:gridCol w:w="5982"/>
      </w:tblGrid>
      <w:tr w:rsidR="00464827" w:rsidRPr="009B0B4A" w14:paraId="663F47E9" w14:textId="77777777" w:rsidTr="002D05A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13EC2B21" w14:textId="77777777" w:rsidR="00230B1A" w:rsidRPr="009B0B4A" w:rsidRDefault="00230B1A" w:rsidP="002D05A2">
            <w:pPr>
              <w:tabs>
                <w:tab w:val="left" w:pos="2977"/>
              </w:tabs>
              <w:rPr>
                <w:b/>
                <w:bCs/>
                <w:iCs/>
                <w:lang w:eastAsia="lv-LV"/>
              </w:rPr>
            </w:pPr>
            <w:r w:rsidRPr="009B0B4A">
              <w:rPr>
                <w:b/>
                <w:bCs/>
              </w:rPr>
              <w:t>V. Tiesību akta projekta atbilstība Latvijas Republikas starptautiskajām saistībām</w:t>
            </w:r>
          </w:p>
        </w:tc>
      </w:tr>
      <w:tr w:rsidR="00464827" w:rsidRPr="009B0B4A" w14:paraId="5CB1F340" w14:textId="77777777" w:rsidTr="002D05A2">
        <w:trPr>
          <w:tblCellSpacing w:w="15" w:type="dxa"/>
        </w:trPr>
        <w:tc>
          <w:tcPr>
            <w:tcW w:w="1678" w:type="pct"/>
            <w:tcBorders>
              <w:top w:val="outset" w:sz="6" w:space="0" w:color="auto"/>
              <w:left w:val="outset" w:sz="6" w:space="0" w:color="auto"/>
              <w:bottom w:val="outset" w:sz="6" w:space="0" w:color="auto"/>
              <w:right w:val="outset" w:sz="6" w:space="0" w:color="auto"/>
            </w:tcBorders>
            <w:vAlign w:val="center"/>
          </w:tcPr>
          <w:p w14:paraId="24B694F5" w14:textId="77777777" w:rsidR="00230B1A" w:rsidRPr="009B0B4A" w:rsidRDefault="00230B1A" w:rsidP="002D05A2">
            <w:pPr>
              <w:tabs>
                <w:tab w:val="left" w:pos="2977"/>
              </w:tabs>
              <w:rPr>
                <w:b/>
                <w:bCs/>
                <w:iCs/>
                <w:lang w:eastAsia="lv-LV"/>
              </w:rPr>
            </w:pPr>
            <w:r w:rsidRPr="009B0B4A">
              <w:t>Saistības pret Eiropas Savienību</w:t>
            </w:r>
          </w:p>
        </w:tc>
        <w:tc>
          <w:tcPr>
            <w:tcW w:w="3272" w:type="pct"/>
            <w:tcBorders>
              <w:top w:val="outset" w:sz="6" w:space="0" w:color="auto"/>
              <w:left w:val="outset" w:sz="6" w:space="0" w:color="auto"/>
              <w:bottom w:val="outset" w:sz="6" w:space="0" w:color="auto"/>
              <w:right w:val="outset" w:sz="6" w:space="0" w:color="auto"/>
            </w:tcBorders>
            <w:vAlign w:val="center"/>
          </w:tcPr>
          <w:p w14:paraId="0B7D3048" w14:textId="544F1654" w:rsidR="00230B1A" w:rsidRPr="009B0B4A" w:rsidRDefault="00230B1A" w:rsidP="002D05A2">
            <w:pPr>
              <w:tabs>
                <w:tab w:val="left" w:pos="2977"/>
              </w:tabs>
              <w:jc w:val="both"/>
              <w:rPr>
                <w:b/>
                <w:bCs/>
                <w:iCs/>
                <w:lang w:eastAsia="lv-LV"/>
              </w:rPr>
            </w:pPr>
            <w:r w:rsidRPr="009B0B4A">
              <w:t>Tiesību akta projekts atbilst Latvijas Republikas starptautiskajām saistībām. Ievērota Regula Nr. 2018/1046</w:t>
            </w:r>
            <w:r w:rsidR="009367A1">
              <w:t>,</w:t>
            </w:r>
            <w:r w:rsidRPr="009B0B4A">
              <w:t xml:space="preserve"> Regula Nr. 1304/2013</w:t>
            </w:r>
            <w:r w:rsidR="009367A1">
              <w:t>, Regula Nr.</w:t>
            </w:r>
            <w:r w:rsidR="009367A1" w:rsidRPr="009B0B4A">
              <w:t xml:space="preserve"> 1303/2013</w:t>
            </w:r>
          </w:p>
        </w:tc>
      </w:tr>
      <w:tr w:rsidR="00464827" w:rsidRPr="009B0B4A" w14:paraId="132EEEFA" w14:textId="77777777" w:rsidTr="002D05A2">
        <w:trPr>
          <w:tblCellSpacing w:w="15" w:type="dxa"/>
        </w:trPr>
        <w:tc>
          <w:tcPr>
            <w:tcW w:w="1678" w:type="pct"/>
            <w:tcBorders>
              <w:top w:val="outset" w:sz="6" w:space="0" w:color="auto"/>
              <w:left w:val="outset" w:sz="6" w:space="0" w:color="auto"/>
              <w:bottom w:val="outset" w:sz="6" w:space="0" w:color="auto"/>
              <w:right w:val="outset" w:sz="6" w:space="0" w:color="auto"/>
            </w:tcBorders>
            <w:vAlign w:val="center"/>
          </w:tcPr>
          <w:p w14:paraId="31CDC7D3" w14:textId="77777777" w:rsidR="00230B1A" w:rsidRPr="009B0B4A" w:rsidRDefault="00230B1A" w:rsidP="002D05A2">
            <w:pPr>
              <w:tabs>
                <w:tab w:val="left" w:pos="2977"/>
              </w:tabs>
              <w:rPr>
                <w:bCs/>
                <w:lang w:eastAsia="lv-LV"/>
              </w:rPr>
            </w:pPr>
            <w:r w:rsidRPr="009B0B4A">
              <w:t>Citas starptautiskās saistības</w:t>
            </w:r>
          </w:p>
        </w:tc>
        <w:tc>
          <w:tcPr>
            <w:tcW w:w="3272" w:type="pct"/>
            <w:tcBorders>
              <w:top w:val="outset" w:sz="6" w:space="0" w:color="auto"/>
              <w:left w:val="outset" w:sz="6" w:space="0" w:color="auto"/>
              <w:bottom w:val="outset" w:sz="6" w:space="0" w:color="auto"/>
              <w:right w:val="outset" w:sz="6" w:space="0" w:color="auto"/>
            </w:tcBorders>
            <w:vAlign w:val="center"/>
          </w:tcPr>
          <w:p w14:paraId="3E77C0DF" w14:textId="77777777" w:rsidR="00230B1A" w:rsidRPr="009B0B4A" w:rsidRDefault="00230B1A" w:rsidP="002D05A2">
            <w:pPr>
              <w:tabs>
                <w:tab w:val="left" w:pos="2977"/>
              </w:tabs>
              <w:rPr>
                <w:bCs/>
                <w:lang w:eastAsia="lv-LV"/>
              </w:rPr>
            </w:pPr>
            <w:r w:rsidRPr="009B0B4A">
              <w:t>Noteikumu projekts šo jomu neskar.</w:t>
            </w:r>
          </w:p>
        </w:tc>
      </w:tr>
      <w:tr w:rsidR="00230B1A" w:rsidRPr="009B0B4A" w14:paraId="668528A6" w14:textId="77777777" w:rsidTr="002D05A2">
        <w:trPr>
          <w:tblCellSpacing w:w="15" w:type="dxa"/>
        </w:trPr>
        <w:tc>
          <w:tcPr>
            <w:tcW w:w="1678" w:type="pct"/>
            <w:tcBorders>
              <w:top w:val="outset" w:sz="6" w:space="0" w:color="auto"/>
              <w:left w:val="outset" w:sz="6" w:space="0" w:color="auto"/>
              <w:bottom w:val="outset" w:sz="6" w:space="0" w:color="auto"/>
              <w:right w:val="outset" w:sz="6" w:space="0" w:color="auto"/>
            </w:tcBorders>
            <w:vAlign w:val="center"/>
          </w:tcPr>
          <w:p w14:paraId="0A9296A2" w14:textId="77777777" w:rsidR="00230B1A" w:rsidRPr="009B0B4A" w:rsidRDefault="00230B1A" w:rsidP="002D05A2">
            <w:pPr>
              <w:tabs>
                <w:tab w:val="left" w:pos="2977"/>
              </w:tabs>
              <w:rPr>
                <w:bCs/>
                <w:lang w:eastAsia="lv-LV"/>
              </w:rPr>
            </w:pPr>
            <w:r w:rsidRPr="009B0B4A">
              <w:t>Cita informācija</w:t>
            </w:r>
          </w:p>
        </w:tc>
        <w:tc>
          <w:tcPr>
            <w:tcW w:w="3272" w:type="pct"/>
            <w:tcBorders>
              <w:top w:val="outset" w:sz="6" w:space="0" w:color="auto"/>
              <w:left w:val="outset" w:sz="6" w:space="0" w:color="auto"/>
              <w:bottom w:val="outset" w:sz="6" w:space="0" w:color="auto"/>
              <w:right w:val="outset" w:sz="6" w:space="0" w:color="auto"/>
            </w:tcBorders>
          </w:tcPr>
          <w:p w14:paraId="34A985F7" w14:textId="77777777" w:rsidR="00230B1A" w:rsidRPr="009B0B4A" w:rsidRDefault="00230B1A" w:rsidP="002D05A2">
            <w:pPr>
              <w:tabs>
                <w:tab w:val="left" w:pos="2977"/>
              </w:tabs>
              <w:rPr>
                <w:bCs/>
                <w:lang w:eastAsia="lv-LV"/>
              </w:rPr>
            </w:pPr>
            <w:r w:rsidRPr="009B0B4A">
              <w:t>Nav.</w:t>
            </w:r>
          </w:p>
        </w:tc>
      </w:tr>
    </w:tbl>
    <w:p w14:paraId="64B45EA1" w14:textId="1D7552EE" w:rsidR="00230B1A" w:rsidRPr="009B0B4A" w:rsidRDefault="00230B1A" w:rsidP="00683BA6">
      <w:pPr>
        <w:pStyle w:val="naisnod"/>
        <w:tabs>
          <w:tab w:val="left" w:pos="2977"/>
        </w:tabs>
        <w:spacing w:before="0" w:beforeAutospacing="0" w:after="0" w:afterAutospacing="0"/>
        <w:ind w:left="57" w:right="57"/>
        <w:rPr>
          <w:b/>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2"/>
        <w:gridCol w:w="479"/>
        <w:gridCol w:w="995"/>
        <w:gridCol w:w="2112"/>
        <w:gridCol w:w="3266"/>
      </w:tblGrid>
      <w:tr w:rsidR="00464827" w:rsidRPr="009B0B4A" w14:paraId="37204487" w14:textId="77777777" w:rsidTr="002D05A2">
        <w:trPr>
          <w:tblCellSpacing w:w="15" w:type="dxa"/>
        </w:trPr>
        <w:tc>
          <w:tcPr>
            <w:tcW w:w="4967" w:type="pct"/>
            <w:gridSpan w:val="5"/>
            <w:tcBorders>
              <w:top w:val="outset" w:sz="6" w:space="0" w:color="auto"/>
              <w:left w:val="outset" w:sz="6" w:space="0" w:color="auto"/>
              <w:bottom w:val="outset" w:sz="6" w:space="0" w:color="auto"/>
              <w:right w:val="outset" w:sz="6" w:space="0" w:color="auto"/>
            </w:tcBorders>
            <w:vAlign w:val="center"/>
            <w:hideMark/>
          </w:tcPr>
          <w:p w14:paraId="625431C6" w14:textId="77777777" w:rsidR="00230B1A" w:rsidRPr="009B0B4A" w:rsidRDefault="00230B1A" w:rsidP="002D05A2">
            <w:pPr>
              <w:tabs>
                <w:tab w:val="left" w:pos="2977"/>
              </w:tabs>
              <w:rPr>
                <w:b/>
                <w:bCs/>
              </w:rPr>
            </w:pPr>
            <w:r w:rsidRPr="009B0B4A">
              <w:rPr>
                <w:b/>
                <w:bCs/>
              </w:rPr>
              <w:t>1.tabula</w:t>
            </w:r>
          </w:p>
          <w:p w14:paraId="53066367" w14:textId="77777777" w:rsidR="00230B1A" w:rsidRPr="009B0B4A" w:rsidRDefault="00230B1A" w:rsidP="002D05A2">
            <w:pPr>
              <w:tabs>
                <w:tab w:val="left" w:pos="2977"/>
              </w:tabs>
              <w:rPr>
                <w:b/>
                <w:bCs/>
                <w:iCs/>
                <w:lang w:eastAsia="lv-LV"/>
              </w:rPr>
            </w:pPr>
            <w:r w:rsidRPr="009B0B4A">
              <w:rPr>
                <w:b/>
              </w:rPr>
              <w:t>Tiesību akta projekta atbilstība ES tiesību aktiem</w:t>
            </w:r>
          </w:p>
        </w:tc>
      </w:tr>
      <w:tr w:rsidR="00464827" w:rsidRPr="009B0B4A" w14:paraId="6E99065A" w14:textId="77777777" w:rsidTr="00D43D96">
        <w:trPr>
          <w:tblCellSpacing w:w="15" w:type="dxa"/>
        </w:trPr>
        <w:tc>
          <w:tcPr>
            <w:tcW w:w="1463" w:type="pct"/>
            <w:gridSpan w:val="2"/>
            <w:tcBorders>
              <w:top w:val="outset" w:sz="6" w:space="0" w:color="auto"/>
              <w:left w:val="outset" w:sz="6" w:space="0" w:color="auto"/>
              <w:bottom w:val="outset" w:sz="6" w:space="0" w:color="auto"/>
              <w:right w:val="outset" w:sz="6" w:space="0" w:color="auto"/>
            </w:tcBorders>
            <w:vAlign w:val="center"/>
          </w:tcPr>
          <w:p w14:paraId="6BF1CE46" w14:textId="77777777" w:rsidR="00230B1A" w:rsidRPr="009B0B4A" w:rsidRDefault="00230B1A" w:rsidP="002D05A2">
            <w:pPr>
              <w:tabs>
                <w:tab w:val="left" w:pos="2977"/>
              </w:tabs>
              <w:rPr>
                <w:b/>
                <w:bCs/>
                <w:iCs/>
                <w:lang w:eastAsia="lv-LV"/>
              </w:rPr>
            </w:pPr>
            <w:r w:rsidRPr="009B0B4A">
              <w:t>Attiecīgā ES tiesību akta datums, numurs un nosaukums</w:t>
            </w:r>
          </w:p>
        </w:tc>
        <w:tc>
          <w:tcPr>
            <w:tcW w:w="3487" w:type="pct"/>
            <w:gridSpan w:val="3"/>
            <w:tcBorders>
              <w:top w:val="outset" w:sz="6" w:space="0" w:color="auto"/>
              <w:left w:val="outset" w:sz="6" w:space="0" w:color="auto"/>
              <w:bottom w:val="outset" w:sz="6" w:space="0" w:color="auto"/>
              <w:right w:val="outset" w:sz="6" w:space="0" w:color="auto"/>
            </w:tcBorders>
            <w:vAlign w:val="center"/>
          </w:tcPr>
          <w:p w14:paraId="1AAC342C" w14:textId="77777777" w:rsidR="00230B1A" w:rsidRDefault="00230B1A" w:rsidP="002D05A2">
            <w:pPr>
              <w:pStyle w:val="naiskr"/>
              <w:spacing w:before="40" w:beforeAutospacing="0" w:after="40" w:afterAutospacing="0"/>
              <w:ind w:left="14" w:right="57"/>
              <w:jc w:val="both"/>
            </w:pPr>
            <w:r w:rsidRPr="009B0B4A">
              <w:t>17.12.2013. Eiropas Parlamenta un Padomes (ES) Regula Nr. 1304/2013 par Eiropas Sociālo fondu un ar ko atceļ Padomes Regulu (EK) Nr. 1081/2006.</w:t>
            </w:r>
          </w:p>
          <w:p w14:paraId="6665E898" w14:textId="4FE9E1E7" w:rsidR="009367A1" w:rsidRPr="009B0B4A" w:rsidRDefault="009367A1" w:rsidP="002D05A2">
            <w:pPr>
              <w:pStyle w:val="naiskr"/>
              <w:spacing w:before="40" w:beforeAutospacing="0" w:after="40" w:afterAutospacing="0"/>
              <w:ind w:left="14" w:right="57"/>
              <w:jc w:val="both"/>
            </w:pPr>
            <w:r>
              <w:t xml:space="preserve">17.12.2013. </w:t>
            </w:r>
            <w:r w:rsidRPr="009B0B4A">
              <w:t xml:space="preserve">Eiropas Parlamenta un Padomes </w:t>
            </w:r>
            <w:r>
              <w:t>(ES)</w:t>
            </w:r>
            <w:r w:rsidRPr="009B0B4A">
              <w:t xml:space="preserve"> Regula</w:t>
            </w:r>
            <w:r>
              <w:t xml:space="preserve"> </w:t>
            </w:r>
            <w:r w:rsidRPr="009B0B4A">
              <w:t>Nr. 1303/2013</w:t>
            </w:r>
            <w:r>
              <w:t xml:space="preserve"> </w:t>
            </w:r>
            <w:r w:rsidRPr="009367A1">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tc>
      </w:tr>
      <w:tr w:rsidR="00374DC6" w:rsidRPr="009B0B4A" w14:paraId="4907A667" w14:textId="77777777" w:rsidTr="00374DC6">
        <w:trPr>
          <w:tblCellSpacing w:w="15" w:type="dxa"/>
        </w:trPr>
        <w:tc>
          <w:tcPr>
            <w:tcW w:w="1212" w:type="pct"/>
            <w:tcBorders>
              <w:top w:val="outset" w:sz="6" w:space="0" w:color="auto"/>
              <w:left w:val="outset" w:sz="6" w:space="0" w:color="auto"/>
              <w:bottom w:val="outset" w:sz="6" w:space="0" w:color="auto"/>
              <w:right w:val="outset" w:sz="6" w:space="0" w:color="auto"/>
            </w:tcBorders>
            <w:vAlign w:val="center"/>
          </w:tcPr>
          <w:p w14:paraId="7F95A38D" w14:textId="77777777" w:rsidR="00230B1A" w:rsidRPr="009B0B4A" w:rsidRDefault="00230B1A" w:rsidP="002D05A2">
            <w:pPr>
              <w:tabs>
                <w:tab w:val="left" w:pos="2977"/>
              </w:tabs>
              <w:rPr>
                <w:bCs/>
                <w:lang w:eastAsia="lv-LV"/>
              </w:rPr>
            </w:pPr>
            <w:r w:rsidRPr="009B0B4A">
              <w:rPr>
                <w:bCs/>
                <w:lang w:eastAsia="lv-LV"/>
              </w:rPr>
              <w:t>A</w:t>
            </w:r>
          </w:p>
        </w:tc>
        <w:tc>
          <w:tcPr>
            <w:tcW w:w="790" w:type="pct"/>
            <w:gridSpan w:val="2"/>
            <w:tcBorders>
              <w:top w:val="outset" w:sz="6" w:space="0" w:color="auto"/>
              <w:left w:val="outset" w:sz="6" w:space="0" w:color="auto"/>
              <w:bottom w:val="outset" w:sz="6" w:space="0" w:color="auto"/>
              <w:right w:val="outset" w:sz="6" w:space="0" w:color="auto"/>
            </w:tcBorders>
            <w:vAlign w:val="center"/>
          </w:tcPr>
          <w:p w14:paraId="2AB057FA" w14:textId="77777777" w:rsidR="00230B1A" w:rsidRPr="009B0B4A" w:rsidRDefault="00230B1A" w:rsidP="002D05A2">
            <w:pPr>
              <w:tabs>
                <w:tab w:val="left" w:pos="2977"/>
              </w:tabs>
              <w:rPr>
                <w:bCs/>
                <w:lang w:eastAsia="lv-LV"/>
              </w:rPr>
            </w:pPr>
            <w:r w:rsidRPr="009B0B4A">
              <w:rPr>
                <w:bCs/>
                <w:lang w:eastAsia="lv-LV"/>
              </w:rPr>
              <w:t>B</w:t>
            </w:r>
          </w:p>
        </w:tc>
        <w:tc>
          <w:tcPr>
            <w:tcW w:w="1164" w:type="pct"/>
            <w:tcBorders>
              <w:top w:val="outset" w:sz="6" w:space="0" w:color="auto"/>
              <w:left w:val="outset" w:sz="6" w:space="0" w:color="auto"/>
              <w:bottom w:val="outset" w:sz="6" w:space="0" w:color="auto"/>
              <w:right w:val="outset" w:sz="6" w:space="0" w:color="auto"/>
            </w:tcBorders>
            <w:vAlign w:val="center"/>
          </w:tcPr>
          <w:p w14:paraId="4A2BE01F" w14:textId="77777777" w:rsidR="00230B1A" w:rsidRPr="009B0B4A" w:rsidRDefault="00230B1A" w:rsidP="002D05A2">
            <w:pPr>
              <w:tabs>
                <w:tab w:val="left" w:pos="2977"/>
              </w:tabs>
              <w:rPr>
                <w:bCs/>
                <w:lang w:eastAsia="lv-LV"/>
              </w:rPr>
            </w:pPr>
            <w:r w:rsidRPr="009B0B4A">
              <w:rPr>
                <w:bCs/>
                <w:lang w:eastAsia="lv-LV"/>
              </w:rPr>
              <w:t>C</w:t>
            </w:r>
          </w:p>
        </w:tc>
        <w:tc>
          <w:tcPr>
            <w:tcW w:w="1751" w:type="pct"/>
            <w:tcBorders>
              <w:top w:val="outset" w:sz="6" w:space="0" w:color="auto"/>
              <w:left w:val="outset" w:sz="6" w:space="0" w:color="auto"/>
              <w:bottom w:val="outset" w:sz="6" w:space="0" w:color="auto"/>
              <w:right w:val="outset" w:sz="6" w:space="0" w:color="auto"/>
            </w:tcBorders>
            <w:vAlign w:val="center"/>
          </w:tcPr>
          <w:p w14:paraId="1041D7FC" w14:textId="77777777" w:rsidR="00230B1A" w:rsidRPr="009B0B4A" w:rsidRDefault="00230B1A" w:rsidP="002D05A2">
            <w:pPr>
              <w:tabs>
                <w:tab w:val="left" w:pos="2977"/>
              </w:tabs>
              <w:rPr>
                <w:bCs/>
                <w:lang w:eastAsia="lv-LV"/>
              </w:rPr>
            </w:pPr>
            <w:r w:rsidRPr="009B0B4A">
              <w:rPr>
                <w:bCs/>
                <w:lang w:eastAsia="lv-LV"/>
              </w:rPr>
              <w:t>D</w:t>
            </w:r>
          </w:p>
        </w:tc>
      </w:tr>
      <w:tr w:rsidR="00374DC6" w:rsidRPr="009B0B4A" w14:paraId="0FCF72EC" w14:textId="77777777" w:rsidTr="00374DC6">
        <w:trPr>
          <w:tblCellSpacing w:w="15" w:type="dxa"/>
        </w:trPr>
        <w:tc>
          <w:tcPr>
            <w:tcW w:w="1212" w:type="pct"/>
            <w:tcBorders>
              <w:top w:val="outset" w:sz="6" w:space="0" w:color="auto"/>
              <w:left w:val="outset" w:sz="6" w:space="0" w:color="auto"/>
              <w:bottom w:val="outset" w:sz="6" w:space="0" w:color="auto"/>
              <w:right w:val="outset" w:sz="6" w:space="0" w:color="auto"/>
            </w:tcBorders>
            <w:vAlign w:val="center"/>
          </w:tcPr>
          <w:p w14:paraId="45879EAD" w14:textId="77777777" w:rsidR="00230B1A" w:rsidRPr="009B0B4A" w:rsidRDefault="00230B1A" w:rsidP="00D43D96">
            <w:pPr>
              <w:tabs>
                <w:tab w:val="left" w:pos="2977"/>
              </w:tabs>
              <w:jc w:val="both"/>
              <w:rPr>
                <w:bCs/>
                <w:lang w:eastAsia="lv-LV"/>
              </w:rPr>
            </w:pPr>
            <w:r w:rsidRPr="009B0B4A">
              <w:t>Attiecīgā ES tiesību akta panta numurs (uzskaitot katru tiesību akta vienību – pantu, daļu, punktu, apakšpunktu)</w:t>
            </w:r>
          </w:p>
        </w:tc>
        <w:tc>
          <w:tcPr>
            <w:tcW w:w="790" w:type="pct"/>
            <w:gridSpan w:val="2"/>
            <w:tcBorders>
              <w:top w:val="outset" w:sz="6" w:space="0" w:color="auto"/>
              <w:left w:val="outset" w:sz="6" w:space="0" w:color="auto"/>
              <w:bottom w:val="outset" w:sz="6" w:space="0" w:color="auto"/>
              <w:right w:val="outset" w:sz="6" w:space="0" w:color="auto"/>
            </w:tcBorders>
            <w:vAlign w:val="center"/>
          </w:tcPr>
          <w:p w14:paraId="7EDF23D7" w14:textId="77777777" w:rsidR="00230B1A" w:rsidRPr="009B0B4A" w:rsidRDefault="00230B1A" w:rsidP="00D43D96">
            <w:pPr>
              <w:tabs>
                <w:tab w:val="left" w:pos="2977"/>
              </w:tabs>
              <w:jc w:val="both"/>
              <w:rPr>
                <w:bCs/>
                <w:lang w:eastAsia="lv-LV"/>
              </w:rPr>
            </w:pPr>
            <w:r w:rsidRPr="009B0B4A">
              <w:t xml:space="preserve">Projekta vienība, kas pārņem vai ievieš katru šīs tabulas A ailē minēto ES tiesību </w:t>
            </w:r>
            <w:r w:rsidRPr="009B0B4A">
              <w:lastRenderedPageBreak/>
              <w:t>akta vienību, vai tiesību akts, kur attiecīgā ES tiesību akta vienība pārņemta vai ieviesta</w:t>
            </w:r>
          </w:p>
        </w:tc>
        <w:tc>
          <w:tcPr>
            <w:tcW w:w="1164" w:type="pct"/>
            <w:tcBorders>
              <w:top w:val="outset" w:sz="6" w:space="0" w:color="auto"/>
              <w:left w:val="outset" w:sz="6" w:space="0" w:color="auto"/>
              <w:bottom w:val="outset" w:sz="6" w:space="0" w:color="auto"/>
              <w:right w:val="outset" w:sz="6" w:space="0" w:color="auto"/>
            </w:tcBorders>
            <w:vAlign w:val="center"/>
          </w:tcPr>
          <w:p w14:paraId="516EFCDE" w14:textId="77777777" w:rsidR="00230B1A" w:rsidRPr="009B0B4A" w:rsidRDefault="00230B1A" w:rsidP="002D05A2">
            <w:pPr>
              <w:pStyle w:val="naiskr"/>
              <w:spacing w:before="40" w:beforeAutospacing="0" w:after="40" w:afterAutospacing="0"/>
              <w:ind w:left="57" w:right="57"/>
              <w:jc w:val="both"/>
            </w:pPr>
            <w:r w:rsidRPr="009B0B4A">
              <w:lastRenderedPageBreak/>
              <w:t xml:space="preserve">Informācija par to, vai šīs tabulas A ailē minētās ES tiesību akta vienības tiek pārņemtas vai </w:t>
            </w:r>
            <w:r w:rsidRPr="009B0B4A">
              <w:lastRenderedPageBreak/>
              <w:t xml:space="preserve">ieviestas pilnībā vai daļēji. </w:t>
            </w:r>
          </w:p>
          <w:p w14:paraId="29E7C3F7" w14:textId="77777777" w:rsidR="00230B1A" w:rsidRPr="009B0B4A" w:rsidRDefault="00230B1A" w:rsidP="002D05A2">
            <w:pPr>
              <w:pStyle w:val="naiskr"/>
              <w:spacing w:before="40" w:beforeAutospacing="0" w:after="40" w:afterAutospacing="0"/>
              <w:ind w:left="57" w:right="57"/>
              <w:jc w:val="both"/>
            </w:pPr>
            <w:r w:rsidRPr="009B0B4A">
              <w:t xml:space="preserve">Ja attiecīgā ES tiesību akta vienība tiek pārņemta vai ieviesta daļēji, sniedz attiecīgu skaidrojumu, kā arī precīzi norāda, kad un kādā veidā ES tiesību akta vienība tiks pārņemta vai ieviesta pilnībā. </w:t>
            </w:r>
          </w:p>
          <w:p w14:paraId="3B55A31D" w14:textId="77777777" w:rsidR="00230B1A" w:rsidRPr="009B0B4A" w:rsidRDefault="00230B1A" w:rsidP="002D05A2">
            <w:pPr>
              <w:tabs>
                <w:tab w:val="left" w:pos="2977"/>
              </w:tabs>
              <w:jc w:val="both"/>
              <w:rPr>
                <w:bCs/>
                <w:lang w:eastAsia="lv-LV"/>
              </w:rPr>
            </w:pPr>
            <w:r w:rsidRPr="009B0B4A">
              <w:t>Norāda institūciju, kas ir atbildīga par šo saistību izpildi pilnībā</w:t>
            </w:r>
          </w:p>
        </w:tc>
        <w:tc>
          <w:tcPr>
            <w:tcW w:w="1751" w:type="pct"/>
            <w:tcBorders>
              <w:top w:val="outset" w:sz="6" w:space="0" w:color="auto"/>
              <w:left w:val="outset" w:sz="6" w:space="0" w:color="auto"/>
              <w:bottom w:val="outset" w:sz="6" w:space="0" w:color="auto"/>
              <w:right w:val="outset" w:sz="6" w:space="0" w:color="auto"/>
            </w:tcBorders>
            <w:vAlign w:val="center"/>
          </w:tcPr>
          <w:p w14:paraId="5F5F54D8" w14:textId="77777777" w:rsidR="00230B1A" w:rsidRPr="009B0B4A" w:rsidRDefault="00230B1A" w:rsidP="002D05A2">
            <w:pPr>
              <w:tabs>
                <w:tab w:val="left" w:pos="2977"/>
              </w:tabs>
              <w:jc w:val="both"/>
              <w:rPr>
                <w:bCs/>
                <w:lang w:eastAsia="lv-LV"/>
              </w:rPr>
            </w:pPr>
            <w:r w:rsidRPr="009B0B4A">
              <w:rPr>
                <w:bCs/>
                <w:lang w:eastAsia="lv-LV"/>
              </w:rPr>
              <w:lastRenderedPageBreak/>
              <w:t xml:space="preserve">Informācija par to, vai šīs tabulas B ailē minētās projekta vienības paredz stingrākas prasības nekā šīs tabulas A ailē minētās ES tiesību akta vienības. </w:t>
            </w:r>
          </w:p>
          <w:p w14:paraId="6746BCFB" w14:textId="77777777" w:rsidR="00230B1A" w:rsidRPr="009B0B4A" w:rsidRDefault="00230B1A" w:rsidP="002D05A2">
            <w:pPr>
              <w:tabs>
                <w:tab w:val="left" w:pos="2977"/>
              </w:tabs>
              <w:jc w:val="both"/>
              <w:rPr>
                <w:bCs/>
                <w:lang w:eastAsia="lv-LV"/>
              </w:rPr>
            </w:pPr>
            <w:r w:rsidRPr="009B0B4A">
              <w:rPr>
                <w:bCs/>
                <w:lang w:eastAsia="lv-LV"/>
              </w:rPr>
              <w:t xml:space="preserve">Ja projekts satur stingrākas prasības nekā attiecīgais ES </w:t>
            </w:r>
            <w:r w:rsidRPr="009B0B4A">
              <w:rPr>
                <w:bCs/>
                <w:lang w:eastAsia="lv-LV"/>
              </w:rPr>
              <w:lastRenderedPageBreak/>
              <w:t xml:space="preserve">tiesību akts, norāda pamatojumu un samērīgumu. </w:t>
            </w:r>
          </w:p>
          <w:p w14:paraId="1FCCD336" w14:textId="77777777" w:rsidR="00230B1A" w:rsidRPr="009B0B4A" w:rsidRDefault="00230B1A" w:rsidP="002D05A2">
            <w:pPr>
              <w:tabs>
                <w:tab w:val="left" w:pos="2977"/>
              </w:tabs>
              <w:jc w:val="both"/>
              <w:rPr>
                <w:bCs/>
                <w:lang w:eastAsia="lv-LV"/>
              </w:rPr>
            </w:pPr>
            <w:r w:rsidRPr="009B0B4A">
              <w:rPr>
                <w:bCs/>
                <w:lang w:eastAsia="lv-LV"/>
              </w:rPr>
              <w:t>Norāda iespējamās alternatīvas (t. sk. alternatīvas, kas neparedz tiesiskā regulējuma izstrādi) – kādos gadījumos būtu iespējams izvairīties no stingrāku prasību noteikšanas, nekā paredzēts attiecīgajos ES tiesību aktos</w:t>
            </w:r>
          </w:p>
        </w:tc>
      </w:tr>
      <w:tr w:rsidR="00374DC6" w:rsidRPr="009B0B4A" w14:paraId="18E71532" w14:textId="77777777" w:rsidTr="00374DC6">
        <w:trPr>
          <w:tblCellSpacing w:w="15" w:type="dxa"/>
        </w:trPr>
        <w:tc>
          <w:tcPr>
            <w:tcW w:w="1212" w:type="pct"/>
            <w:tcBorders>
              <w:top w:val="outset" w:sz="6" w:space="0" w:color="auto"/>
              <w:left w:val="outset" w:sz="6" w:space="0" w:color="auto"/>
              <w:bottom w:val="outset" w:sz="6" w:space="0" w:color="auto"/>
              <w:right w:val="outset" w:sz="6" w:space="0" w:color="auto"/>
            </w:tcBorders>
          </w:tcPr>
          <w:p w14:paraId="247872F8" w14:textId="244D62DB" w:rsidR="00230B1A" w:rsidRPr="009B0B4A" w:rsidRDefault="00230B1A" w:rsidP="002D05A2">
            <w:pPr>
              <w:tabs>
                <w:tab w:val="left" w:pos="2977"/>
              </w:tabs>
            </w:pPr>
            <w:r w:rsidRPr="009B0B4A">
              <w:lastRenderedPageBreak/>
              <w:t xml:space="preserve">Eiropas Parlamenta un </w:t>
            </w:r>
            <w:r w:rsidRPr="00C21B69">
              <w:t xml:space="preserve">Padomes Regula Nr. 1304/2013., </w:t>
            </w:r>
            <w:r w:rsidR="00C21B69" w:rsidRPr="00C21B69">
              <w:t>1</w:t>
            </w:r>
            <w:r w:rsidRPr="00C21B69">
              <w:t>.p</w:t>
            </w:r>
            <w:r w:rsidR="00C21B69" w:rsidRPr="00C21B69">
              <w:t>ielikuma</w:t>
            </w:r>
            <w:r w:rsidR="00813C83" w:rsidRPr="00C21B69">
              <w:t xml:space="preserve"> 1.</w:t>
            </w:r>
            <w:r w:rsidR="00A551E3" w:rsidRPr="00C21B69">
              <w:t>punkts</w:t>
            </w:r>
          </w:p>
        </w:tc>
        <w:tc>
          <w:tcPr>
            <w:tcW w:w="790" w:type="pct"/>
            <w:gridSpan w:val="2"/>
            <w:tcBorders>
              <w:top w:val="outset" w:sz="6" w:space="0" w:color="auto"/>
              <w:left w:val="outset" w:sz="6" w:space="0" w:color="auto"/>
              <w:bottom w:val="outset" w:sz="6" w:space="0" w:color="auto"/>
              <w:right w:val="outset" w:sz="6" w:space="0" w:color="auto"/>
            </w:tcBorders>
          </w:tcPr>
          <w:p w14:paraId="3BDF6684" w14:textId="500A97CF" w:rsidR="00230B1A" w:rsidRPr="009B0B4A" w:rsidRDefault="00230B1A" w:rsidP="002D05A2">
            <w:pPr>
              <w:tabs>
                <w:tab w:val="left" w:pos="2977"/>
              </w:tabs>
            </w:pPr>
            <w:r w:rsidRPr="009B0B4A">
              <w:t xml:space="preserve">MK noteikumu </w:t>
            </w:r>
            <w:r w:rsidR="00813C83" w:rsidRPr="009B0B4A">
              <w:t xml:space="preserve">projekta </w:t>
            </w:r>
            <w:r w:rsidR="00257FFB">
              <w:t>45</w:t>
            </w:r>
            <w:r w:rsidR="00813C83" w:rsidRPr="009B0B4A">
              <w:t>.punkt</w:t>
            </w:r>
            <w:r w:rsidR="00BB155A" w:rsidRPr="009B0B4A">
              <w:t>s</w:t>
            </w:r>
          </w:p>
        </w:tc>
        <w:tc>
          <w:tcPr>
            <w:tcW w:w="1164" w:type="pct"/>
            <w:tcBorders>
              <w:top w:val="outset" w:sz="6" w:space="0" w:color="auto"/>
              <w:left w:val="outset" w:sz="6" w:space="0" w:color="auto"/>
              <w:bottom w:val="outset" w:sz="6" w:space="0" w:color="auto"/>
              <w:right w:val="outset" w:sz="6" w:space="0" w:color="auto"/>
            </w:tcBorders>
          </w:tcPr>
          <w:p w14:paraId="5A2EF2CA" w14:textId="77777777" w:rsidR="00DD614C" w:rsidRPr="009B0B4A" w:rsidRDefault="00DD614C" w:rsidP="00DD614C">
            <w:pPr>
              <w:tabs>
                <w:tab w:val="left" w:pos="2977"/>
              </w:tabs>
            </w:pPr>
            <w:r w:rsidRPr="009B0B4A">
              <w:t xml:space="preserve">Tiek ieviesta pilnībā. </w:t>
            </w:r>
          </w:p>
          <w:p w14:paraId="046CA84E" w14:textId="56251968" w:rsidR="00230B1A" w:rsidRPr="009B0B4A" w:rsidRDefault="00DD614C" w:rsidP="00DD614C">
            <w:pPr>
              <w:tabs>
                <w:tab w:val="left" w:pos="2977"/>
              </w:tabs>
            </w:pPr>
            <w:r w:rsidRPr="009B0B4A">
              <w:t>Atbildīgā institūcija – Veselības ministrija (projekta iesniedzējs).</w:t>
            </w:r>
          </w:p>
        </w:tc>
        <w:tc>
          <w:tcPr>
            <w:tcW w:w="1751" w:type="pct"/>
            <w:tcBorders>
              <w:top w:val="outset" w:sz="6" w:space="0" w:color="auto"/>
              <w:left w:val="outset" w:sz="6" w:space="0" w:color="auto"/>
              <w:bottom w:val="outset" w:sz="6" w:space="0" w:color="auto"/>
              <w:right w:val="outset" w:sz="6" w:space="0" w:color="auto"/>
            </w:tcBorders>
          </w:tcPr>
          <w:p w14:paraId="57815D59" w14:textId="0BB48055" w:rsidR="00230B1A" w:rsidRPr="009B0B4A" w:rsidRDefault="00DD614C" w:rsidP="002D05A2">
            <w:pPr>
              <w:tabs>
                <w:tab w:val="left" w:pos="2977"/>
              </w:tabs>
            </w:pPr>
            <w:r w:rsidRPr="009B0B4A">
              <w:t>Netiek paredzētas stingrākas prasības.</w:t>
            </w:r>
          </w:p>
        </w:tc>
      </w:tr>
      <w:tr w:rsidR="00374DC6" w:rsidRPr="009B0B4A" w14:paraId="45C11BA3" w14:textId="77777777" w:rsidTr="00374DC6">
        <w:trPr>
          <w:tblCellSpacing w:w="15" w:type="dxa"/>
        </w:trPr>
        <w:tc>
          <w:tcPr>
            <w:tcW w:w="1212" w:type="pct"/>
            <w:tcBorders>
              <w:top w:val="outset" w:sz="6" w:space="0" w:color="auto"/>
              <w:left w:val="outset" w:sz="6" w:space="0" w:color="auto"/>
              <w:bottom w:val="outset" w:sz="6" w:space="0" w:color="auto"/>
              <w:right w:val="outset" w:sz="6" w:space="0" w:color="auto"/>
            </w:tcBorders>
          </w:tcPr>
          <w:p w14:paraId="7424EE49" w14:textId="72281B19" w:rsidR="002C7E70" w:rsidRPr="009B0B4A" w:rsidRDefault="00DD614C" w:rsidP="002D05A2">
            <w:pPr>
              <w:tabs>
                <w:tab w:val="left" w:pos="2977"/>
              </w:tabs>
            </w:pPr>
            <w:r w:rsidRPr="009B0B4A">
              <w:t xml:space="preserve">Eiropas Parlamenta un Padomes Regula Nr. </w:t>
            </w:r>
            <w:r w:rsidR="00374DC6" w:rsidRPr="009B0B4A">
              <w:t>1303</w:t>
            </w:r>
            <w:r w:rsidRPr="009B0B4A">
              <w:t>/</w:t>
            </w:r>
            <w:r w:rsidR="00374DC6" w:rsidRPr="009B0B4A">
              <w:t>2013</w:t>
            </w:r>
            <w:r w:rsidRPr="009B0B4A">
              <w:t>, 68.</w:t>
            </w:r>
            <w:r w:rsidR="00813C83" w:rsidRPr="009B0B4A">
              <w:t xml:space="preserve">a </w:t>
            </w:r>
            <w:r w:rsidRPr="009B0B4A">
              <w:t>pant</w:t>
            </w:r>
            <w:r w:rsidR="00A551E3" w:rsidRPr="009B0B4A">
              <w:t>a 1.punkts</w:t>
            </w:r>
          </w:p>
        </w:tc>
        <w:tc>
          <w:tcPr>
            <w:tcW w:w="790" w:type="pct"/>
            <w:gridSpan w:val="2"/>
            <w:tcBorders>
              <w:top w:val="outset" w:sz="6" w:space="0" w:color="auto"/>
              <w:left w:val="outset" w:sz="6" w:space="0" w:color="auto"/>
              <w:bottom w:val="outset" w:sz="6" w:space="0" w:color="auto"/>
              <w:right w:val="outset" w:sz="6" w:space="0" w:color="auto"/>
            </w:tcBorders>
          </w:tcPr>
          <w:p w14:paraId="47D65F87" w14:textId="25BD022D" w:rsidR="00230B1A" w:rsidRPr="009B0B4A" w:rsidRDefault="00DD614C" w:rsidP="002D05A2">
            <w:pPr>
              <w:tabs>
                <w:tab w:val="left" w:pos="2977"/>
              </w:tabs>
            </w:pPr>
            <w:r w:rsidRPr="009B0B4A">
              <w:t xml:space="preserve">MK noteikumu </w:t>
            </w:r>
            <w:r w:rsidR="00A551E3" w:rsidRPr="009B0B4A">
              <w:t>projekta 1</w:t>
            </w:r>
            <w:r w:rsidR="00D11D77" w:rsidRPr="009B0B4A">
              <w:t>0</w:t>
            </w:r>
            <w:r w:rsidR="00A551E3" w:rsidRPr="009B0B4A">
              <w:t xml:space="preserve">. </w:t>
            </w:r>
            <w:r w:rsidR="005E7287" w:rsidRPr="009B0B4A">
              <w:t xml:space="preserve">un </w:t>
            </w:r>
            <w:r w:rsidR="009B0B4A">
              <w:t>2</w:t>
            </w:r>
            <w:r w:rsidR="00257FFB">
              <w:t>2</w:t>
            </w:r>
            <w:r w:rsidR="005E7287" w:rsidRPr="009B0B4A">
              <w:t>.punkt</w:t>
            </w:r>
            <w:r w:rsidR="003D2966" w:rsidRPr="009B0B4A">
              <w:t>s</w:t>
            </w:r>
            <w:r w:rsidR="00A551E3" w:rsidRPr="009B0B4A">
              <w:t xml:space="preserve"> </w:t>
            </w:r>
          </w:p>
        </w:tc>
        <w:tc>
          <w:tcPr>
            <w:tcW w:w="1164" w:type="pct"/>
            <w:tcBorders>
              <w:top w:val="outset" w:sz="6" w:space="0" w:color="auto"/>
              <w:left w:val="outset" w:sz="6" w:space="0" w:color="auto"/>
              <w:bottom w:val="outset" w:sz="6" w:space="0" w:color="auto"/>
              <w:right w:val="outset" w:sz="6" w:space="0" w:color="auto"/>
            </w:tcBorders>
          </w:tcPr>
          <w:p w14:paraId="74DA30CA" w14:textId="77777777" w:rsidR="00DD614C" w:rsidRPr="009B0B4A" w:rsidRDefault="00DD614C" w:rsidP="00DD614C">
            <w:pPr>
              <w:tabs>
                <w:tab w:val="left" w:pos="2977"/>
              </w:tabs>
            </w:pPr>
            <w:r w:rsidRPr="009B0B4A">
              <w:t xml:space="preserve">Tiek ieviesta pilnībā. </w:t>
            </w:r>
          </w:p>
          <w:p w14:paraId="061BA55F" w14:textId="718EBC53" w:rsidR="00230B1A" w:rsidRPr="009B0B4A" w:rsidRDefault="00DD614C" w:rsidP="00DD614C">
            <w:pPr>
              <w:tabs>
                <w:tab w:val="left" w:pos="2977"/>
              </w:tabs>
            </w:pPr>
            <w:r w:rsidRPr="009B0B4A">
              <w:t>Atbildīgā institūcija – Veselības ministrija (projekta iesniedzējs).</w:t>
            </w:r>
          </w:p>
        </w:tc>
        <w:tc>
          <w:tcPr>
            <w:tcW w:w="1751" w:type="pct"/>
            <w:tcBorders>
              <w:top w:val="outset" w:sz="6" w:space="0" w:color="auto"/>
              <w:left w:val="outset" w:sz="6" w:space="0" w:color="auto"/>
              <w:bottom w:val="outset" w:sz="6" w:space="0" w:color="auto"/>
              <w:right w:val="outset" w:sz="6" w:space="0" w:color="auto"/>
            </w:tcBorders>
          </w:tcPr>
          <w:p w14:paraId="6DA3F37E" w14:textId="0C7C1012" w:rsidR="00230B1A" w:rsidRPr="009B0B4A" w:rsidRDefault="00DD614C" w:rsidP="002D05A2">
            <w:pPr>
              <w:tabs>
                <w:tab w:val="left" w:pos="2977"/>
              </w:tabs>
            </w:pPr>
            <w:r w:rsidRPr="009B0B4A">
              <w:t>Netiek paredzētas stingrākas prasības.</w:t>
            </w:r>
          </w:p>
        </w:tc>
      </w:tr>
      <w:tr w:rsidR="00374DC6" w:rsidRPr="009B0B4A" w14:paraId="53DB621E" w14:textId="77777777" w:rsidTr="00374DC6">
        <w:trPr>
          <w:tblCellSpacing w:w="15" w:type="dxa"/>
        </w:trPr>
        <w:tc>
          <w:tcPr>
            <w:tcW w:w="1212" w:type="pct"/>
            <w:tcBorders>
              <w:top w:val="outset" w:sz="6" w:space="0" w:color="auto"/>
              <w:left w:val="outset" w:sz="6" w:space="0" w:color="auto"/>
              <w:bottom w:val="outset" w:sz="6" w:space="0" w:color="auto"/>
              <w:right w:val="outset" w:sz="6" w:space="0" w:color="auto"/>
            </w:tcBorders>
          </w:tcPr>
          <w:p w14:paraId="1781FE19" w14:textId="2C0F40CE" w:rsidR="00374DC6" w:rsidRPr="009B0B4A" w:rsidRDefault="00374DC6" w:rsidP="00374DC6">
            <w:pPr>
              <w:tabs>
                <w:tab w:val="left" w:pos="2977"/>
              </w:tabs>
              <w:jc w:val="both"/>
            </w:pPr>
            <w:r w:rsidRPr="009B0B4A">
              <w:t>Kā ir izmantota ES tiesību aktā paredzētā rīcības brīvība dalībvalstij pārņemt vai ieviest noteiktas ES tiesību akta normas. Kādēļ?</w:t>
            </w:r>
          </w:p>
        </w:tc>
        <w:tc>
          <w:tcPr>
            <w:tcW w:w="3738" w:type="pct"/>
            <w:gridSpan w:val="4"/>
            <w:tcBorders>
              <w:top w:val="outset" w:sz="6" w:space="0" w:color="auto"/>
              <w:left w:val="outset" w:sz="6" w:space="0" w:color="auto"/>
              <w:bottom w:val="outset" w:sz="6" w:space="0" w:color="auto"/>
              <w:right w:val="outset" w:sz="6" w:space="0" w:color="auto"/>
            </w:tcBorders>
          </w:tcPr>
          <w:p w14:paraId="6005B38B" w14:textId="629FAD45" w:rsidR="00374DC6" w:rsidRPr="009B0B4A" w:rsidRDefault="00374DC6" w:rsidP="00257FFB">
            <w:pPr>
              <w:tabs>
                <w:tab w:val="left" w:pos="2977"/>
              </w:tabs>
              <w:jc w:val="both"/>
            </w:pPr>
            <w:r w:rsidRPr="009B0B4A">
              <w:t xml:space="preserve">Izmantota Eiropas Parlamenta un Padomes Regulas Nr. 1304/2013., 5.panta 1.punktā noteiktā rīcības brīvība </w:t>
            </w:r>
            <w:r w:rsidR="000820AE">
              <w:t>–</w:t>
            </w:r>
            <w:r w:rsidRPr="009B0B4A">
              <w:t xml:space="preserve"> </w:t>
            </w:r>
            <w:r w:rsidR="000820AE">
              <w:t>nosakot,</w:t>
            </w:r>
            <w:r w:rsidR="009367A1">
              <w:t xml:space="preserve"> </w:t>
            </w:r>
            <w:r w:rsidR="000820AE">
              <w:t xml:space="preserve">ka </w:t>
            </w:r>
            <w:r w:rsidR="00B07575" w:rsidRPr="009B0B4A">
              <w:t xml:space="preserve">kopējiem iznākuma un rezultāta rādītājiem </w:t>
            </w:r>
            <w:r w:rsidR="00D929A4" w:rsidRPr="009B0B4A">
              <w:t xml:space="preserve">uzskaitāmi </w:t>
            </w:r>
            <w:r w:rsidR="00B07575" w:rsidRPr="009B0B4A">
              <w:t>dalībnieki</w:t>
            </w:r>
            <w:r w:rsidR="00D929A4" w:rsidRPr="009B0B4A">
              <w:t>, kas piedalījušies veselības veicināšanas vai slimību profilakses pasākumā mērķa grupām vai vietējai sabiedrībai</w:t>
            </w:r>
            <w:bookmarkStart w:id="15" w:name="_Hlk16164406"/>
            <w:r w:rsidR="00D929A4" w:rsidRPr="009B0B4A">
              <w:t xml:space="preserve"> un pasākuma ilgums ir vairāk kā 8 stundas</w:t>
            </w:r>
            <w:bookmarkEnd w:id="15"/>
            <w:r w:rsidR="00D929A4" w:rsidRPr="009B0B4A">
              <w:t>.</w:t>
            </w:r>
            <w:r w:rsidR="000820AE">
              <w:t xml:space="preserve"> Šajā gadījumā izmantota rīcības brīvība precizējot iznākuma un rezultāta rādītājos iekļaujamos dalībniekus</w:t>
            </w:r>
            <w:r w:rsidR="009367A1">
              <w:t>, ņemot vērā pasākuma ilgumu</w:t>
            </w:r>
            <w:r w:rsidR="000820AE">
              <w:t>.</w:t>
            </w:r>
          </w:p>
          <w:p w14:paraId="0B36E427" w14:textId="66F3ED40" w:rsidR="00374DC6" w:rsidRPr="009B0B4A" w:rsidRDefault="00374DC6" w:rsidP="00257FFB">
            <w:pPr>
              <w:tabs>
                <w:tab w:val="left" w:pos="2977"/>
              </w:tabs>
              <w:jc w:val="both"/>
            </w:pPr>
            <w:r w:rsidRPr="009B0B4A">
              <w:t xml:space="preserve">Izmantota Eiropas Parlamenta un Padomes Regulas Nr. 1303/2013, 68.a panta 1.punktā noteiktā rīcības brīvība </w:t>
            </w:r>
            <w:r w:rsidR="0081283E" w:rsidRPr="009B0B4A">
              <w:t>–</w:t>
            </w:r>
            <w:r w:rsidRPr="009B0B4A">
              <w:t xml:space="preserve"> </w:t>
            </w:r>
            <w:r w:rsidR="0081283E" w:rsidRPr="009B0B4A">
              <w:t>nosakot izmaksu vienoto likmi finansējuma saņēmēja un sadarbības partneru projekta vadības personāla un īstenošanas personāla atlīdzības izmaksām</w:t>
            </w:r>
            <w:r w:rsidR="000D34FC">
              <w:t xml:space="preserve">, lai </w:t>
            </w:r>
            <w:r w:rsidR="000D34FC" w:rsidRPr="009B0B4A">
              <w:t>mazināt</w:t>
            </w:r>
            <w:r w:rsidR="000D34FC">
              <w:t>u</w:t>
            </w:r>
            <w:r w:rsidR="000D34FC" w:rsidRPr="009B0B4A">
              <w:t xml:space="preserve"> administratīvo slogu gan finansējuma saņēmējam, gan uzraugošajām institūcijām</w:t>
            </w:r>
            <w:r w:rsidR="000D34FC">
              <w:t>.</w:t>
            </w:r>
          </w:p>
        </w:tc>
      </w:tr>
      <w:tr w:rsidR="00374DC6" w:rsidRPr="009B0B4A" w14:paraId="32A7FD98" w14:textId="77777777" w:rsidTr="00374DC6">
        <w:trPr>
          <w:tblCellSpacing w:w="15" w:type="dxa"/>
        </w:trPr>
        <w:tc>
          <w:tcPr>
            <w:tcW w:w="1212" w:type="pct"/>
            <w:tcBorders>
              <w:top w:val="outset" w:sz="6" w:space="0" w:color="auto"/>
              <w:left w:val="outset" w:sz="6" w:space="0" w:color="auto"/>
              <w:bottom w:val="outset" w:sz="6" w:space="0" w:color="auto"/>
              <w:right w:val="outset" w:sz="6" w:space="0" w:color="auto"/>
            </w:tcBorders>
          </w:tcPr>
          <w:p w14:paraId="5D448B9B" w14:textId="3B57C9D5" w:rsidR="00374DC6" w:rsidRPr="009B0B4A" w:rsidRDefault="00374DC6" w:rsidP="00374DC6">
            <w:pPr>
              <w:tabs>
                <w:tab w:val="left" w:pos="2977"/>
              </w:tabs>
              <w:jc w:val="both"/>
            </w:pPr>
            <w:r w:rsidRPr="009B0B4A">
              <w:t xml:space="preserve">Saistības sniegt paziņojumu ES institūcijām un ES dalībvalstīm atbilstoši normatīvajiem </w:t>
            </w:r>
            <w:r w:rsidRPr="009B0B4A">
              <w:lastRenderedPageBreak/>
              <w:t>aktiem, kas regulē informācijas sniegšanu par tehnisko noteikumu, valsts atbalsta piešķiršanas un finanšu noteikumu (attiecībā uz monetāro politiku) projektiem</w:t>
            </w:r>
          </w:p>
        </w:tc>
        <w:tc>
          <w:tcPr>
            <w:tcW w:w="3738" w:type="pct"/>
            <w:gridSpan w:val="4"/>
            <w:tcBorders>
              <w:top w:val="outset" w:sz="6" w:space="0" w:color="auto"/>
              <w:left w:val="outset" w:sz="6" w:space="0" w:color="auto"/>
              <w:bottom w:val="outset" w:sz="6" w:space="0" w:color="auto"/>
              <w:right w:val="outset" w:sz="6" w:space="0" w:color="auto"/>
            </w:tcBorders>
          </w:tcPr>
          <w:p w14:paraId="65B7DFE2" w14:textId="444116CE" w:rsidR="006A4C2C" w:rsidRPr="009B0B4A" w:rsidRDefault="006A4C2C" w:rsidP="006A4C2C">
            <w:pPr>
              <w:jc w:val="both"/>
              <w:rPr>
                <w:lang w:eastAsia="lv-LV"/>
              </w:rPr>
            </w:pPr>
            <w:r w:rsidRPr="009B0B4A">
              <w:rPr>
                <w:iCs/>
              </w:rPr>
              <w:lastRenderedPageBreak/>
              <w:t>Projekts šo jomu neskar.</w:t>
            </w:r>
          </w:p>
          <w:p w14:paraId="43125DDF" w14:textId="77777777" w:rsidR="00374DC6" w:rsidRPr="009B0B4A" w:rsidRDefault="00374DC6" w:rsidP="00374DC6">
            <w:pPr>
              <w:tabs>
                <w:tab w:val="left" w:pos="2977"/>
              </w:tabs>
            </w:pPr>
          </w:p>
        </w:tc>
      </w:tr>
    </w:tbl>
    <w:p w14:paraId="7B270E93" w14:textId="77777777" w:rsidR="00270B32" w:rsidRPr="009B0B4A" w:rsidRDefault="00270B32" w:rsidP="00B07D6A">
      <w:pPr>
        <w:pStyle w:val="naisnod"/>
        <w:tabs>
          <w:tab w:val="left" w:pos="2977"/>
        </w:tabs>
        <w:spacing w:before="0" w:beforeAutospacing="0" w:after="0" w:afterAutospacing="0"/>
        <w:ind w:right="57"/>
        <w:rPr>
          <w:b/>
        </w:rPr>
      </w:pPr>
    </w:p>
    <w:tbl>
      <w:tblPr>
        <w:tblW w:w="5004"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60"/>
        <w:gridCol w:w="1554"/>
        <w:gridCol w:w="6948"/>
      </w:tblGrid>
      <w:tr w:rsidR="00464827" w:rsidRPr="009B0B4A" w14:paraId="55DA3401" w14:textId="77777777" w:rsidTr="00D72261">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3C4F43B" w14:textId="77777777" w:rsidR="00D72261" w:rsidRPr="009B0B4A" w:rsidRDefault="00D72261" w:rsidP="00683BA6">
            <w:pPr>
              <w:tabs>
                <w:tab w:val="left" w:pos="2977"/>
              </w:tabs>
              <w:rPr>
                <w:b/>
                <w:bCs/>
                <w:iCs/>
                <w:lang w:eastAsia="lv-LV"/>
              </w:rPr>
            </w:pPr>
            <w:r w:rsidRPr="009B0B4A">
              <w:rPr>
                <w:b/>
                <w:bCs/>
                <w:iCs/>
                <w:lang w:eastAsia="lv-LV"/>
              </w:rPr>
              <w:t>VI. Sabiedrības līdzdalība un komunikācijas aktivitātes</w:t>
            </w:r>
          </w:p>
        </w:tc>
      </w:tr>
      <w:tr w:rsidR="00464827" w:rsidRPr="009B0B4A" w14:paraId="5954446C" w14:textId="77777777" w:rsidTr="00D72261">
        <w:trPr>
          <w:trHeight w:val="279"/>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2F09E986" w14:textId="77777777" w:rsidR="00D72261" w:rsidRPr="009B0B4A" w:rsidRDefault="00D72261" w:rsidP="00683BA6">
            <w:pPr>
              <w:tabs>
                <w:tab w:val="left" w:pos="2977"/>
              </w:tabs>
              <w:rPr>
                <w:iCs/>
                <w:lang w:eastAsia="lv-LV"/>
              </w:rPr>
            </w:pPr>
            <w:r w:rsidRPr="009B0B4A">
              <w:rPr>
                <w:iCs/>
                <w:lang w:eastAsia="lv-LV"/>
              </w:rPr>
              <w:t>1.</w:t>
            </w:r>
          </w:p>
        </w:tc>
        <w:tc>
          <w:tcPr>
            <w:tcW w:w="846" w:type="pct"/>
            <w:tcBorders>
              <w:top w:val="outset" w:sz="6" w:space="0" w:color="auto"/>
              <w:left w:val="outset" w:sz="6" w:space="0" w:color="auto"/>
              <w:bottom w:val="outset" w:sz="6" w:space="0" w:color="auto"/>
              <w:right w:val="outset" w:sz="6" w:space="0" w:color="auto"/>
            </w:tcBorders>
            <w:hideMark/>
          </w:tcPr>
          <w:p w14:paraId="2A508762" w14:textId="77777777" w:rsidR="00D72261" w:rsidRPr="009B0B4A" w:rsidRDefault="00D72261" w:rsidP="00683BA6">
            <w:pPr>
              <w:tabs>
                <w:tab w:val="left" w:pos="2977"/>
              </w:tabs>
              <w:rPr>
                <w:rFonts w:eastAsia="Arial Unicode MS"/>
                <w:lang w:eastAsia="lv-LV"/>
              </w:rPr>
            </w:pPr>
            <w:r w:rsidRPr="009B0B4A">
              <w:rPr>
                <w:rFonts w:eastAsia="Arial Unicode MS"/>
                <w:lang w:eastAsia="lv-LV"/>
              </w:rPr>
              <w:t>Plānotās sabiedrības līdzdalības un komunikācijas aktivitātes saistībā ar projektu</w:t>
            </w:r>
          </w:p>
        </w:tc>
        <w:tc>
          <w:tcPr>
            <w:tcW w:w="3802" w:type="pct"/>
            <w:tcBorders>
              <w:top w:val="outset" w:sz="6" w:space="0" w:color="auto"/>
              <w:left w:val="outset" w:sz="6" w:space="0" w:color="auto"/>
              <w:bottom w:val="outset" w:sz="6" w:space="0" w:color="auto"/>
              <w:right w:val="outset" w:sz="6" w:space="0" w:color="auto"/>
            </w:tcBorders>
            <w:hideMark/>
          </w:tcPr>
          <w:p w14:paraId="6E667BF0" w14:textId="388D25D6" w:rsidR="00D72261" w:rsidRPr="009B0B4A" w:rsidRDefault="00FD4EB4" w:rsidP="00683BA6">
            <w:pPr>
              <w:tabs>
                <w:tab w:val="left" w:pos="2977"/>
              </w:tabs>
              <w:ind w:firstLine="336"/>
              <w:jc w:val="both"/>
              <w:rPr>
                <w:rFonts w:eastAsia="Arial Unicode MS"/>
                <w:lang w:eastAsia="lv-LV"/>
              </w:rPr>
            </w:pPr>
            <w:r w:rsidRPr="009B0B4A">
              <w:rPr>
                <w:rFonts w:eastAsia="Arial Unicode MS"/>
                <w:lang w:eastAsia="lv-LV"/>
              </w:rPr>
              <w:t xml:space="preserve">2019.gada </w:t>
            </w:r>
            <w:r w:rsidR="004E7640" w:rsidRPr="009B0B4A">
              <w:rPr>
                <w:rFonts w:eastAsia="Arial Unicode MS"/>
                <w:lang w:eastAsia="lv-LV"/>
              </w:rPr>
              <w:t>17</w:t>
            </w:r>
            <w:r w:rsidRPr="009B0B4A">
              <w:rPr>
                <w:rFonts w:eastAsia="Arial Unicode MS"/>
                <w:lang w:eastAsia="lv-LV"/>
              </w:rPr>
              <w:t xml:space="preserve">.oktobrī </w:t>
            </w:r>
            <w:r w:rsidR="00D72261" w:rsidRPr="009B0B4A">
              <w:rPr>
                <w:rFonts w:eastAsia="Arial Unicode MS"/>
                <w:lang w:eastAsia="lv-LV"/>
              </w:rPr>
              <w:t xml:space="preserve">uzsākta noteikuma projekta </w:t>
            </w:r>
            <w:r w:rsidR="00D2643A" w:rsidRPr="009B0B4A">
              <w:rPr>
                <w:rFonts w:eastAsia="Arial Unicode MS"/>
                <w:lang w:eastAsia="lv-LV"/>
              </w:rPr>
              <w:t>sabiedriskā</w:t>
            </w:r>
            <w:r w:rsidR="00D72261" w:rsidRPr="009B0B4A">
              <w:rPr>
                <w:rFonts w:eastAsia="Arial Unicode MS"/>
                <w:lang w:eastAsia="lv-LV"/>
              </w:rPr>
              <w:t xml:space="preserve"> apspriešana</w:t>
            </w:r>
            <w:r w:rsidR="00AA5C0A" w:rsidRPr="009B0B4A">
              <w:rPr>
                <w:rFonts w:eastAsia="Arial Unicode MS"/>
                <w:lang w:eastAsia="lv-LV"/>
              </w:rPr>
              <w:t>,</w:t>
            </w:r>
            <w:r w:rsidR="00D72261" w:rsidRPr="009B0B4A">
              <w:rPr>
                <w:rFonts w:eastAsia="Arial Unicode MS"/>
                <w:lang w:eastAsia="lv-LV"/>
              </w:rPr>
              <w:t xml:space="preserve"> </w:t>
            </w:r>
            <w:r w:rsidR="000A3514" w:rsidRPr="009B0B4A">
              <w:rPr>
                <w:rFonts w:eastAsia="Arial Unicode MS"/>
                <w:lang w:eastAsia="lv-LV"/>
              </w:rPr>
              <w:t xml:space="preserve">2019.gada 1.novembrī ir notikusi sabiedriskās apspriedes sanāksme, </w:t>
            </w:r>
            <w:r w:rsidR="00D72261" w:rsidRPr="009B0B4A">
              <w:rPr>
                <w:rFonts w:eastAsia="Arial Unicode MS"/>
                <w:lang w:eastAsia="lv-LV"/>
              </w:rPr>
              <w:t xml:space="preserve">informācija tika publicēta Veselības ministrijas mājas lapā: </w:t>
            </w:r>
          </w:p>
          <w:p w14:paraId="6CAD8F03" w14:textId="77777777" w:rsidR="00D72261" w:rsidRPr="009B0B4A" w:rsidRDefault="00C36855" w:rsidP="00683BA6">
            <w:pPr>
              <w:tabs>
                <w:tab w:val="left" w:pos="2977"/>
              </w:tabs>
              <w:ind w:firstLine="336"/>
              <w:jc w:val="both"/>
              <w:rPr>
                <w:iCs/>
                <w:lang w:eastAsia="lv-LV"/>
              </w:rPr>
            </w:pPr>
            <w:hyperlink r:id="rId14" w:history="1">
              <w:r w:rsidR="00D72261" w:rsidRPr="009B0B4A">
                <w:rPr>
                  <w:rStyle w:val="Hyperlink"/>
                  <w:color w:val="auto"/>
                  <w:lang w:eastAsia="lv-LV"/>
                </w:rPr>
                <w:t>http://www.vm.gov.lv/lv/aktualitates/sabiedribas_lidzdaliba/publiska_apspriesana/</w:t>
              </w:r>
            </w:hyperlink>
          </w:p>
        </w:tc>
      </w:tr>
      <w:tr w:rsidR="00464827" w:rsidRPr="009B0B4A" w14:paraId="49940C58" w14:textId="77777777" w:rsidTr="00D72261">
        <w:trPr>
          <w:trHeight w:val="27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10D1D774" w14:textId="77777777" w:rsidR="00D72261" w:rsidRPr="009B0B4A" w:rsidRDefault="00D72261" w:rsidP="00683BA6">
            <w:pPr>
              <w:tabs>
                <w:tab w:val="left" w:pos="2977"/>
              </w:tabs>
              <w:rPr>
                <w:lang w:eastAsia="lv-LV"/>
              </w:rPr>
            </w:pPr>
            <w:r w:rsidRPr="009B0B4A">
              <w:rPr>
                <w:lang w:eastAsia="lv-LV"/>
              </w:rPr>
              <w:t>2.</w:t>
            </w:r>
          </w:p>
        </w:tc>
        <w:tc>
          <w:tcPr>
            <w:tcW w:w="846" w:type="pct"/>
            <w:tcBorders>
              <w:top w:val="outset" w:sz="6" w:space="0" w:color="auto"/>
              <w:left w:val="outset" w:sz="6" w:space="0" w:color="auto"/>
              <w:bottom w:val="outset" w:sz="6" w:space="0" w:color="auto"/>
              <w:right w:val="outset" w:sz="6" w:space="0" w:color="auto"/>
            </w:tcBorders>
            <w:hideMark/>
          </w:tcPr>
          <w:p w14:paraId="5D43260D" w14:textId="77777777" w:rsidR="00D72261" w:rsidRPr="009B0B4A" w:rsidRDefault="00D72261" w:rsidP="00683BA6">
            <w:pPr>
              <w:tabs>
                <w:tab w:val="left" w:pos="2977"/>
              </w:tabs>
              <w:rPr>
                <w:lang w:eastAsia="lv-LV"/>
              </w:rPr>
            </w:pPr>
            <w:r w:rsidRPr="009B0B4A">
              <w:rPr>
                <w:lang w:eastAsia="lv-LV"/>
              </w:rPr>
              <w:t>Sabiedrības līdzdalība projekta izstrādē</w:t>
            </w:r>
          </w:p>
        </w:tc>
        <w:tc>
          <w:tcPr>
            <w:tcW w:w="3802" w:type="pct"/>
            <w:tcBorders>
              <w:top w:val="outset" w:sz="6" w:space="0" w:color="auto"/>
              <w:left w:val="outset" w:sz="6" w:space="0" w:color="auto"/>
              <w:bottom w:val="outset" w:sz="6" w:space="0" w:color="auto"/>
              <w:right w:val="outset" w:sz="6" w:space="0" w:color="auto"/>
            </w:tcBorders>
            <w:hideMark/>
          </w:tcPr>
          <w:p w14:paraId="7417A14D" w14:textId="5A19118D" w:rsidR="00D72261" w:rsidRPr="009B0B4A" w:rsidRDefault="00D2643A" w:rsidP="00683BA6">
            <w:pPr>
              <w:tabs>
                <w:tab w:val="left" w:pos="2977"/>
              </w:tabs>
              <w:ind w:firstLine="336"/>
              <w:jc w:val="both"/>
              <w:rPr>
                <w:lang w:eastAsia="lv-LV"/>
              </w:rPr>
            </w:pPr>
            <w:r w:rsidRPr="009B0B4A">
              <w:rPr>
                <w:lang w:eastAsia="lv-LV"/>
              </w:rPr>
              <w:t>Projekta izstrādē ņemti vērā sabiedriskās apspriedes gaitā, kā arī sabiedriskās apspriedes sanāksmes laikā saņemtie iebildumi un ierosinājumi.</w:t>
            </w:r>
          </w:p>
        </w:tc>
      </w:tr>
      <w:tr w:rsidR="00464827" w:rsidRPr="009B0B4A" w14:paraId="3E8B51E6" w14:textId="77777777" w:rsidTr="00D72261">
        <w:trPr>
          <w:trHeight w:val="27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4FAA7218" w14:textId="77777777" w:rsidR="00D72261" w:rsidRPr="009B0B4A" w:rsidRDefault="00D72261" w:rsidP="00683BA6">
            <w:pPr>
              <w:tabs>
                <w:tab w:val="left" w:pos="2977"/>
              </w:tabs>
              <w:rPr>
                <w:lang w:eastAsia="lv-LV"/>
              </w:rPr>
            </w:pPr>
            <w:r w:rsidRPr="009B0B4A">
              <w:rPr>
                <w:lang w:eastAsia="lv-LV"/>
              </w:rPr>
              <w:t>3.</w:t>
            </w:r>
          </w:p>
        </w:tc>
        <w:tc>
          <w:tcPr>
            <w:tcW w:w="846" w:type="pct"/>
            <w:tcBorders>
              <w:top w:val="outset" w:sz="6" w:space="0" w:color="auto"/>
              <w:left w:val="outset" w:sz="6" w:space="0" w:color="auto"/>
              <w:bottom w:val="outset" w:sz="6" w:space="0" w:color="auto"/>
              <w:right w:val="outset" w:sz="6" w:space="0" w:color="auto"/>
            </w:tcBorders>
            <w:hideMark/>
          </w:tcPr>
          <w:p w14:paraId="58E7F2A9" w14:textId="77777777" w:rsidR="00D72261" w:rsidRPr="009B0B4A" w:rsidRDefault="00D72261" w:rsidP="00683BA6">
            <w:pPr>
              <w:tabs>
                <w:tab w:val="left" w:pos="2977"/>
              </w:tabs>
              <w:rPr>
                <w:lang w:eastAsia="lv-LV"/>
              </w:rPr>
            </w:pPr>
            <w:r w:rsidRPr="009B0B4A">
              <w:rPr>
                <w:lang w:eastAsia="lv-LV"/>
              </w:rPr>
              <w:t>Sabiedrības līdzdalības rezultāti</w:t>
            </w:r>
          </w:p>
        </w:tc>
        <w:tc>
          <w:tcPr>
            <w:tcW w:w="3802" w:type="pct"/>
            <w:tcBorders>
              <w:top w:val="outset" w:sz="6" w:space="0" w:color="auto"/>
              <w:left w:val="outset" w:sz="6" w:space="0" w:color="auto"/>
              <w:bottom w:val="outset" w:sz="6" w:space="0" w:color="auto"/>
              <w:right w:val="outset" w:sz="6" w:space="0" w:color="auto"/>
            </w:tcBorders>
            <w:hideMark/>
          </w:tcPr>
          <w:p w14:paraId="55552578" w14:textId="53737900" w:rsidR="00D72261" w:rsidRPr="009B0B4A" w:rsidRDefault="004B7C54" w:rsidP="00683BA6">
            <w:pPr>
              <w:tabs>
                <w:tab w:val="left" w:pos="2977"/>
              </w:tabs>
              <w:ind w:firstLine="336"/>
              <w:jc w:val="both"/>
              <w:rPr>
                <w:lang w:eastAsia="lv-LV"/>
              </w:rPr>
            </w:pPr>
            <w:r w:rsidRPr="009B0B4A">
              <w:rPr>
                <w:lang w:eastAsia="lv-LV"/>
              </w:rPr>
              <w:t xml:space="preserve">Sabiedriskās apspriedes gaitā, kā arī sabiedriskās apspriedes sanāksmes laikā saņemti iebildumi un ierosinājumi tika ņemti vērā, apkopotā informācija par saņemtajiem priekšlikumiem tiks publicēta Veselības ministrijas mājas lapā. </w:t>
            </w:r>
          </w:p>
        </w:tc>
      </w:tr>
      <w:tr w:rsidR="00464827" w:rsidRPr="009B0B4A" w14:paraId="1CE046C8" w14:textId="77777777" w:rsidTr="00D72261">
        <w:trPr>
          <w:trHeight w:val="27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01D1AE37" w14:textId="77777777" w:rsidR="00D72261" w:rsidRPr="009B0B4A" w:rsidRDefault="00D72261" w:rsidP="00683BA6">
            <w:pPr>
              <w:tabs>
                <w:tab w:val="left" w:pos="2977"/>
              </w:tabs>
              <w:rPr>
                <w:lang w:eastAsia="lv-LV"/>
              </w:rPr>
            </w:pPr>
            <w:r w:rsidRPr="009B0B4A">
              <w:rPr>
                <w:lang w:eastAsia="lv-LV"/>
              </w:rPr>
              <w:t>4.</w:t>
            </w:r>
          </w:p>
        </w:tc>
        <w:tc>
          <w:tcPr>
            <w:tcW w:w="846" w:type="pct"/>
            <w:tcBorders>
              <w:top w:val="outset" w:sz="6" w:space="0" w:color="auto"/>
              <w:left w:val="outset" w:sz="6" w:space="0" w:color="auto"/>
              <w:bottom w:val="outset" w:sz="6" w:space="0" w:color="auto"/>
              <w:right w:val="outset" w:sz="6" w:space="0" w:color="auto"/>
            </w:tcBorders>
            <w:hideMark/>
          </w:tcPr>
          <w:p w14:paraId="6415164C" w14:textId="77777777" w:rsidR="00D72261" w:rsidRPr="009B0B4A" w:rsidRDefault="00D72261" w:rsidP="00683BA6">
            <w:pPr>
              <w:tabs>
                <w:tab w:val="left" w:pos="2977"/>
              </w:tabs>
              <w:jc w:val="both"/>
              <w:rPr>
                <w:lang w:eastAsia="lv-LV"/>
              </w:rPr>
            </w:pPr>
            <w:r w:rsidRPr="009B0B4A">
              <w:rPr>
                <w:lang w:eastAsia="lv-LV"/>
              </w:rPr>
              <w:t>Cita informācija</w:t>
            </w:r>
          </w:p>
        </w:tc>
        <w:tc>
          <w:tcPr>
            <w:tcW w:w="3802" w:type="pct"/>
            <w:tcBorders>
              <w:top w:val="outset" w:sz="6" w:space="0" w:color="auto"/>
              <w:left w:val="outset" w:sz="6" w:space="0" w:color="auto"/>
              <w:bottom w:val="outset" w:sz="6" w:space="0" w:color="auto"/>
              <w:right w:val="outset" w:sz="6" w:space="0" w:color="auto"/>
            </w:tcBorders>
            <w:hideMark/>
          </w:tcPr>
          <w:p w14:paraId="180542CC" w14:textId="480C6D32" w:rsidR="00D72261" w:rsidRPr="009B0B4A" w:rsidRDefault="00D72261" w:rsidP="00683BA6">
            <w:pPr>
              <w:tabs>
                <w:tab w:val="left" w:pos="2977"/>
              </w:tabs>
              <w:ind w:firstLine="336"/>
              <w:jc w:val="both"/>
              <w:rPr>
                <w:lang w:eastAsia="lv-LV"/>
              </w:rPr>
            </w:pPr>
            <w:r w:rsidRPr="009B0B4A">
              <w:rPr>
                <w:lang w:eastAsia="lv-LV"/>
              </w:rPr>
              <w:t>Tiesību akta projekts nodrošina ātrāku un kvalitatīvāku SAM 924 mērķu sasniegšanu un pakalpojumu pieejamību sabiedrības interesēs un tam nav ietekmes uz sabiedrības interesēm un pienākumiem, līdz ar to nav nepieciešams organizēt sabiedrības informēšanas pasākumus saistībā ar šī projekta izstrādi.</w:t>
            </w:r>
          </w:p>
        </w:tc>
      </w:tr>
    </w:tbl>
    <w:p w14:paraId="64268481" w14:textId="77777777" w:rsidR="00513043" w:rsidRPr="009B0B4A" w:rsidRDefault="00513043" w:rsidP="00683BA6">
      <w:pPr>
        <w:tabs>
          <w:tab w:val="left" w:pos="2977"/>
        </w:tabs>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70"/>
        <w:gridCol w:w="3249"/>
        <w:gridCol w:w="5353"/>
      </w:tblGrid>
      <w:tr w:rsidR="00464827" w:rsidRPr="009B0B4A" w14:paraId="4C2170C2" w14:textId="77777777" w:rsidTr="00D52DF7">
        <w:trPr>
          <w:trHeight w:val="381"/>
        </w:trPr>
        <w:tc>
          <w:tcPr>
            <w:tcW w:w="9072" w:type="dxa"/>
            <w:gridSpan w:val="3"/>
            <w:vAlign w:val="center"/>
          </w:tcPr>
          <w:p w14:paraId="34B62E78" w14:textId="77777777" w:rsidR="003735C6" w:rsidRPr="009B0B4A" w:rsidRDefault="003735C6" w:rsidP="00683BA6">
            <w:pPr>
              <w:pStyle w:val="naisnod"/>
              <w:tabs>
                <w:tab w:val="left" w:pos="2977"/>
              </w:tabs>
              <w:spacing w:before="0" w:beforeAutospacing="0" w:after="0" w:afterAutospacing="0"/>
              <w:ind w:left="57" w:right="57"/>
              <w:jc w:val="center"/>
              <w:rPr>
                <w:b/>
              </w:rPr>
            </w:pPr>
            <w:r w:rsidRPr="009B0B4A">
              <w:rPr>
                <w:b/>
              </w:rPr>
              <w:t>VII</w:t>
            </w:r>
            <w:r w:rsidR="00D46E0B" w:rsidRPr="009B0B4A">
              <w:rPr>
                <w:b/>
              </w:rPr>
              <w:t xml:space="preserve">. </w:t>
            </w:r>
            <w:r w:rsidRPr="009B0B4A">
              <w:rPr>
                <w:b/>
              </w:rPr>
              <w:t>Tiesību akta projekta izpildes nodrošināšana un tās ietekme uz institūcijām</w:t>
            </w:r>
          </w:p>
        </w:tc>
      </w:tr>
      <w:tr w:rsidR="00464827" w:rsidRPr="009B0B4A" w14:paraId="1C854DF5" w14:textId="77777777" w:rsidTr="00D52DF7">
        <w:trPr>
          <w:trHeight w:val="427"/>
        </w:trPr>
        <w:tc>
          <w:tcPr>
            <w:tcW w:w="470" w:type="dxa"/>
          </w:tcPr>
          <w:p w14:paraId="39EFA109" w14:textId="77777777" w:rsidR="00D3577B" w:rsidRPr="009B0B4A" w:rsidRDefault="00D3577B" w:rsidP="00683BA6">
            <w:pPr>
              <w:pStyle w:val="naisnod"/>
              <w:tabs>
                <w:tab w:val="left" w:pos="2977"/>
              </w:tabs>
              <w:spacing w:before="0" w:beforeAutospacing="0" w:after="0" w:afterAutospacing="0"/>
              <w:ind w:left="57" w:right="57"/>
              <w:jc w:val="both"/>
            </w:pPr>
            <w:r w:rsidRPr="009B0B4A">
              <w:t xml:space="preserve">1. </w:t>
            </w:r>
          </w:p>
        </w:tc>
        <w:tc>
          <w:tcPr>
            <w:tcW w:w="3249" w:type="dxa"/>
          </w:tcPr>
          <w:p w14:paraId="3901B8F3" w14:textId="77777777" w:rsidR="00D3577B" w:rsidRPr="009B0B4A" w:rsidRDefault="00D3577B" w:rsidP="00683BA6">
            <w:pPr>
              <w:pStyle w:val="naisf"/>
              <w:tabs>
                <w:tab w:val="left" w:pos="2977"/>
              </w:tabs>
              <w:spacing w:before="0" w:beforeAutospacing="0" w:after="0" w:afterAutospacing="0"/>
              <w:ind w:left="57" w:right="57"/>
              <w:rPr>
                <w:lang w:val="lv-LV"/>
              </w:rPr>
            </w:pPr>
            <w:r w:rsidRPr="009B0B4A">
              <w:rPr>
                <w:lang w:val="lv-LV"/>
              </w:rPr>
              <w:t>Projekta izpildē iesaistītās institūcijas</w:t>
            </w:r>
          </w:p>
        </w:tc>
        <w:tc>
          <w:tcPr>
            <w:tcW w:w="5353" w:type="dxa"/>
          </w:tcPr>
          <w:p w14:paraId="12212496" w14:textId="3F487907" w:rsidR="00D3577B" w:rsidRPr="009B0B4A" w:rsidRDefault="00796EF8" w:rsidP="00683BA6">
            <w:pPr>
              <w:pStyle w:val="naiskr"/>
              <w:tabs>
                <w:tab w:val="left" w:pos="2977"/>
              </w:tabs>
              <w:spacing w:before="40" w:after="40"/>
              <w:ind w:left="57" w:right="57" w:firstLine="284"/>
              <w:jc w:val="both"/>
            </w:pPr>
            <w:bookmarkStart w:id="16" w:name="p66"/>
            <w:bookmarkStart w:id="17" w:name="p67"/>
            <w:bookmarkStart w:id="18" w:name="p68"/>
            <w:bookmarkStart w:id="19" w:name="p69"/>
            <w:bookmarkEnd w:id="16"/>
            <w:bookmarkEnd w:id="17"/>
            <w:bookmarkEnd w:id="18"/>
            <w:bookmarkEnd w:id="19"/>
            <w:r w:rsidRPr="009B0B4A">
              <w:t>Atbildīgās iestādes funkcijas pilda Veselības ministrija, sadarbības iestādes funkcijas – Centrālā finanšu un līgumu aģentūra. Projekta iesniedzējs un finansējuma saņēmējs ir Veselības ministrija sadarbībā ar veselības nozares valsts pārvaldes iestādēm un atvasinātajām publiskajām personām, kas iesaistītas veselības veicināšanā un slimību profilaksē, kā arī ar juridiskajām personām, kam ir pilnvarojums veselības veicināšanas vai slimību profilakses politikas īstenošanai un koordinācijai, Nacionālā veselīgo pašvaldību tīkla pašvaldības un S</w:t>
            </w:r>
            <w:r w:rsidR="00FB72A4" w:rsidRPr="009B0B4A">
              <w:t xml:space="preserve">PKC </w:t>
            </w:r>
            <w:r w:rsidRPr="009B0B4A">
              <w:t>par pašvaldībām, kas nav Nacionālā veselīgo pašvaldību tīkla dalībnieces.</w:t>
            </w:r>
          </w:p>
        </w:tc>
      </w:tr>
      <w:tr w:rsidR="00464827" w:rsidRPr="009B0B4A" w14:paraId="2FA5F8A1" w14:textId="77777777" w:rsidTr="00D52DF7">
        <w:trPr>
          <w:trHeight w:val="463"/>
        </w:trPr>
        <w:tc>
          <w:tcPr>
            <w:tcW w:w="470" w:type="dxa"/>
          </w:tcPr>
          <w:p w14:paraId="410C8413" w14:textId="77777777" w:rsidR="00D3577B" w:rsidRPr="009B0B4A" w:rsidRDefault="00D3577B" w:rsidP="00683BA6">
            <w:pPr>
              <w:pStyle w:val="naisnod"/>
              <w:tabs>
                <w:tab w:val="left" w:pos="2977"/>
              </w:tabs>
              <w:spacing w:before="0" w:beforeAutospacing="0" w:after="0" w:afterAutospacing="0"/>
              <w:ind w:left="57" w:right="57"/>
              <w:jc w:val="both"/>
            </w:pPr>
            <w:r w:rsidRPr="009B0B4A">
              <w:lastRenderedPageBreak/>
              <w:t xml:space="preserve">2. </w:t>
            </w:r>
          </w:p>
        </w:tc>
        <w:tc>
          <w:tcPr>
            <w:tcW w:w="3249" w:type="dxa"/>
          </w:tcPr>
          <w:p w14:paraId="18339F1A" w14:textId="77777777" w:rsidR="00D3577B" w:rsidRPr="009B0B4A" w:rsidRDefault="00D3577B" w:rsidP="00683BA6">
            <w:pPr>
              <w:pStyle w:val="naisf"/>
              <w:tabs>
                <w:tab w:val="left" w:pos="2977"/>
              </w:tabs>
              <w:spacing w:before="0" w:beforeAutospacing="0" w:after="0" w:afterAutospacing="0"/>
              <w:ind w:left="57" w:right="57"/>
              <w:rPr>
                <w:lang w:val="lv-LV"/>
              </w:rPr>
            </w:pPr>
            <w:r w:rsidRPr="009B0B4A">
              <w:rPr>
                <w:lang w:val="lv-LV"/>
              </w:rPr>
              <w:t>Projekta izpildes ietekme uz pār</w:t>
            </w:r>
            <w:r w:rsidRPr="009B0B4A">
              <w:rPr>
                <w:lang w:val="lv-LV"/>
              </w:rPr>
              <w:softHyphen/>
              <w:t xml:space="preserve">valdes funkcijām un institucionālo struktūru. </w:t>
            </w:r>
          </w:p>
          <w:p w14:paraId="0F6B65E4" w14:textId="77777777" w:rsidR="00D3577B" w:rsidRPr="009B0B4A" w:rsidRDefault="00D3577B" w:rsidP="00683BA6">
            <w:pPr>
              <w:pStyle w:val="naisf"/>
              <w:tabs>
                <w:tab w:val="left" w:pos="2977"/>
              </w:tabs>
              <w:spacing w:before="0" w:beforeAutospacing="0" w:after="0" w:afterAutospacing="0"/>
              <w:ind w:left="57" w:right="57"/>
              <w:rPr>
                <w:lang w:val="lv-LV"/>
              </w:rPr>
            </w:pPr>
            <w:r w:rsidRPr="009B0B4A">
              <w:rPr>
                <w:lang w:val="lv-LV"/>
              </w:rPr>
              <w:t>Jaunu institūciju izveide, esošu institūciju likvidācija vai reorga</w:t>
            </w:r>
            <w:r w:rsidRPr="009B0B4A">
              <w:rPr>
                <w:lang w:val="lv-LV"/>
              </w:rPr>
              <w:softHyphen/>
              <w:t>nizācija, to ietekme uz institūcijas cilvēkresursiem</w:t>
            </w:r>
          </w:p>
        </w:tc>
        <w:tc>
          <w:tcPr>
            <w:tcW w:w="5353" w:type="dxa"/>
          </w:tcPr>
          <w:p w14:paraId="26308D35" w14:textId="4A0C3431" w:rsidR="00D3577B" w:rsidRPr="009B0B4A" w:rsidRDefault="00D3577B" w:rsidP="00683BA6">
            <w:pPr>
              <w:pStyle w:val="naiskr"/>
              <w:tabs>
                <w:tab w:val="left" w:pos="2977"/>
              </w:tabs>
              <w:spacing w:before="40" w:beforeAutospacing="0" w:after="40" w:afterAutospacing="0"/>
              <w:ind w:left="57" w:right="57" w:firstLine="284"/>
              <w:jc w:val="both"/>
            </w:pPr>
            <w:r w:rsidRPr="009B0B4A">
              <w:t>Ar MK noteikumu projektu noteiktie institūciju pienākumi tiks veikti esošo finanšu un darbinieku kapacitātes ietvaros, nepalielinot kopējās izmaksas.</w:t>
            </w:r>
          </w:p>
        </w:tc>
      </w:tr>
      <w:tr w:rsidR="00464827" w:rsidRPr="009B0B4A" w14:paraId="2B6296E9" w14:textId="77777777" w:rsidTr="00D52DF7">
        <w:trPr>
          <w:trHeight w:val="402"/>
        </w:trPr>
        <w:tc>
          <w:tcPr>
            <w:tcW w:w="470" w:type="dxa"/>
            <w:tcBorders>
              <w:top w:val="single" w:sz="4" w:space="0" w:color="auto"/>
              <w:left w:val="single" w:sz="4" w:space="0" w:color="auto"/>
              <w:bottom w:val="single" w:sz="4" w:space="0" w:color="auto"/>
              <w:right w:val="single" w:sz="4" w:space="0" w:color="auto"/>
            </w:tcBorders>
          </w:tcPr>
          <w:p w14:paraId="0D40122E" w14:textId="77777777" w:rsidR="003735C6" w:rsidRPr="009B0B4A" w:rsidRDefault="003735C6" w:rsidP="00683BA6">
            <w:pPr>
              <w:pStyle w:val="naisnod"/>
              <w:tabs>
                <w:tab w:val="left" w:pos="2977"/>
              </w:tabs>
              <w:spacing w:before="0" w:beforeAutospacing="0" w:after="0" w:afterAutospacing="0"/>
              <w:ind w:left="57" w:right="57"/>
              <w:jc w:val="both"/>
            </w:pPr>
            <w:r w:rsidRPr="009B0B4A">
              <w:t>3</w:t>
            </w:r>
            <w:r w:rsidR="00D46E0B" w:rsidRPr="009B0B4A">
              <w:t xml:space="preserve">. </w:t>
            </w:r>
          </w:p>
        </w:tc>
        <w:tc>
          <w:tcPr>
            <w:tcW w:w="3249" w:type="dxa"/>
            <w:tcBorders>
              <w:top w:val="single" w:sz="4" w:space="0" w:color="auto"/>
              <w:left w:val="single" w:sz="4" w:space="0" w:color="auto"/>
              <w:bottom w:val="single" w:sz="4" w:space="0" w:color="auto"/>
              <w:right w:val="single" w:sz="4" w:space="0" w:color="auto"/>
            </w:tcBorders>
          </w:tcPr>
          <w:p w14:paraId="6E063272" w14:textId="77777777" w:rsidR="003735C6" w:rsidRPr="009B0B4A" w:rsidRDefault="003735C6" w:rsidP="00683BA6">
            <w:pPr>
              <w:pStyle w:val="naisf"/>
              <w:tabs>
                <w:tab w:val="left" w:pos="2977"/>
              </w:tabs>
              <w:spacing w:before="0" w:beforeAutospacing="0" w:after="0" w:afterAutospacing="0"/>
              <w:ind w:left="57" w:right="57"/>
              <w:rPr>
                <w:lang w:val="lv-LV"/>
              </w:rPr>
            </w:pPr>
            <w:r w:rsidRPr="009B0B4A">
              <w:rPr>
                <w:lang w:val="lv-LV"/>
              </w:rPr>
              <w:t>Cita informācija</w:t>
            </w:r>
          </w:p>
        </w:tc>
        <w:tc>
          <w:tcPr>
            <w:tcW w:w="5353" w:type="dxa"/>
            <w:tcBorders>
              <w:top w:val="single" w:sz="4" w:space="0" w:color="auto"/>
              <w:left w:val="single" w:sz="4" w:space="0" w:color="auto"/>
              <w:bottom w:val="single" w:sz="4" w:space="0" w:color="auto"/>
              <w:right w:val="single" w:sz="4" w:space="0" w:color="auto"/>
            </w:tcBorders>
          </w:tcPr>
          <w:p w14:paraId="7ECA210B" w14:textId="77777777" w:rsidR="003735C6" w:rsidRPr="009B0B4A" w:rsidRDefault="003735C6" w:rsidP="00683BA6">
            <w:pPr>
              <w:pStyle w:val="naiskr"/>
              <w:tabs>
                <w:tab w:val="left" w:pos="2977"/>
              </w:tabs>
              <w:spacing w:before="40" w:beforeAutospacing="0" w:after="40" w:afterAutospacing="0"/>
              <w:ind w:left="57" w:right="57" w:firstLine="284"/>
              <w:jc w:val="both"/>
            </w:pPr>
            <w:r w:rsidRPr="009B0B4A">
              <w:t>Nav</w:t>
            </w:r>
            <w:r w:rsidR="00D46E0B" w:rsidRPr="009B0B4A">
              <w:t xml:space="preserve">. </w:t>
            </w:r>
          </w:p>
        </w:tc>
      </w:tr>
    </w:tbl>
    <w:p w14:paraId="0044427D" w14:textId="77777777" w:rsidR="00513043" w:rsidRPr="009B0B4A" w:rsidRDefault="00513043" w:rsidP="00683BA6">
      <w:pPr>
        <w:tabs>
          <w:tab w:val="left" w:pos="2977"/>
        </w:tabs>
      </w:pPr>
    </w:p>
    <w:p w14:paraId="29904561" w14:textId="77777777" w:rsidR="00941FAC" w:rsidRDefault="00941FAC" w:rsidP="00683BA6">
      <w:pPr>
        <w:tabs>
          <w:tab w:val="left" w:pos="2977"/>
          <w:tab w:val="right" w:pos="9356"/>
        </w:tabs>
        <w:ind w:right="49"/>
        <w:rPr>
          <w:rFonts w:eastAsia="Calibri"/>
          <w:sz w:val="28"/>
          <w:szCs w:val="28"/>
        </w:rPr>
      </w:pPr>
    </w:p>
    <w:p w14:paraId="70B1C9D0" w14:textId="06774B4C" w:rsidR="00D72261" w:rsidRPr="00257FFB" w:rsidRDefault="00D72261" w:rsidP="00683BA6">
      <w:pPr>
        <w:tabs>
          <w:tab w:val="left" w:pos="2977"/>
          <w:tab w:val="right" w:pos="9356"/>
        </w:tabs>
        <w:ind w:right="49"/>
        <w:rPr>
          <w:rFonts w:eastAsia="Calibri"/>
          <w:sz w:val="28"/>
        </w:rPr>
      </w:pPr>
      <w:r w:rsidRPr="00257FFB">
        <w:rPr>
          <w:rFonts w:eastAsia="Calibri"/>
          <w:sz w:val="28"/>
        </w:rPr>
        <w:t xml:space="preserve">Veselības ministre </w:t>
      </w:r>
      <w:r w:rsidRPr="00257FFB">
        <w:rPr>
          <w:rFonts w:eastAsia="Calibri"/>
          <w:sz w:val="28"/>
        </w:rPr>
        <w:tab/>
      </w:r>
      <w:r w:rsidR="007A0801" w:rsidRPr="00257FFB">
        <w:rPr>
          <w:rFonts w:eastAsia="Calibri"/>
          <w:sz w:val="28"/>
        </w:rPr>
        <w:tab/>
      </w:r>
      <w:r w:rsidRPr="00257FFB">
        <w:rPr>
          <w:rFonts w:eastAsia="Calibri"/>
          <w:sz w:val="28"/>
        </w:rPr>
        <w:t xml:space="preserve"> </w:t>
      </w:r>
      <w:proofErr w:type="spellStart"/>
      <w:r w:rsidRPr="00257FFB">
        <w:rPr>
          <w:sz w:val="28"/>
        </w:rPr>
        <w:t>I.Viņķele</w:t>
      </w:r>
      <w:proofErr w:type="spellEnd"/>
    </w:p>
    <w:p w14:paraId="391E48C8" w14:textId="77777777" w:rsidR="00D72261" w:rsidRPr="00257FFB" w:rsidRDefault="00D72261" w:rsidP="00683BA6">
      <w:pPr>
        <w:tabs>
          <w:tab w:val="left" w:pos="2977"/>
          <w:tab w:val="right" w:pos="9356"/>
        </w:tabs>
        <w:ind w:right="49"/>
        <w:rPr>
          <w:rFonts w:eastAsia="Calibri"/>
          <w:sz w:val="28"/>
        </w:rPr>
      </w:pPr>
    </w:p>
    <w:p w14:paraId="59DB0462" w14:textId="710734D2" w:rsidR="00D72261" w:rsidRPr="00257FFB" w:rsidRDefault="00D72261" w:rsidP="00683BA6">
      <w:pPr>
        <w:tabs>
          <w:tab w:val="left" w:pos="2977"/>
          <w:tab w:val="right" w:pos="9356"/>
        </w:tabs>
        <w:ind w:right="49"/>
        <w:rPr>
          <w:rFonts w:eastAsia="Calibri"/>
          <w:sz w:val="28"/>
        </w:rPr>
      </w:pPr>
      <w:r w:rsidRPr="00257FFB">
        <w:rPr>
          <w:rFonts w:eastAsia="Calibri"/>
          <w:sz w:val="28"/>
        </w:rPr>
        <w:t>Vīza: Valsts sekretāre</w:t>
      </w:r>
      <w:r w:rsidRPr="00257FFB">
        <w:rPr>
          <w:rFonts w:eastAsia="Calibri"/>
          <w:sz w:val="28"/>
        </w:rPr>
        <w:tab/>
      </w:r>
      <w:r w:rsidR="007A0801" w:rsidRPr="00257FFB">
        <w:rPr>
          <w:rFonts w:eastAsia="Calibri"/>
          <w:sz w:val="28"/>
        </w:rPr>
        <w:tab/>
      </w:r>
      <w:proofErr w:type="spellStart"/>
      <w:r w:rsidRPr="00257FFB">
        <w:rPr>
          <w:rFonts w:eastAsia="Calibri"/>
          <w:sz w:val="28"/>
        </w:rPr>
        <w:t>D.Mūrmane</w:t>
      </w:r>
      <w:proofErr w:type="spellEnd"/>
      <w:r w:rsidRPr="00257FFB">
        <w:rPr>
          <w:rFonts w:eastAsia="Calibri"/>
          <w:sz w:val="28"/>
        </w:rPr>
        <w:t xml:space="preserve"> - </w:t>
      </w:r>
      <w:proofErr w:type="spellStart"/>
      <w:r w:rsidRPr="00257FFB">
        <w:rPr>
          <w:rFonts w:eastAsia="Calibri"/>
          <w:sz w:val="28"/>
        </w:rPr>
        <w:t>Umbraško</w:t>
      </w:r>
      <w:proofErr w:type="spellEnd"/>
    </w:p>
    <w:p w14:paraId="7932F616" w14:textId="77777777" w:rsidR="00D72261" w:rsidRPr="009B0B4A" w:rsidRDefault="00D72261" w:rsidP="00257FFB">
      <w:pPr>
        <w:tabs>
          <w:tab w:val="left" w:pos="2977"/>
        </w:tabs>
        <w:jc w:val="both"/>
      </w:pPr>
    </w:p>
    <w:p w14:paraId="3317A03B" w14:textId="77777777" w:rsidR="00D72261" w:rsidRPr="009B0B4A" w:rsidRDefault="00D72261" w:rsidP="00683BA6">
      <w:pPr>
        <w:tabs>
          <w:tab w:val="left" w:pos="2977"/>
        </w:tabs>
        <w:jc w:val="both"/>
      </w:pPr>
    </w:p>
    <w:p w14:paraId="2C6AC330" w14:textId="5BCB14FA" w:rsidR="00D72261" w:rsidRPr="009B0B4A" w:rsidRDefault="00D72261" w:rsidP="00683BA6">
      <w:pPr>
        <w:tabs>
          <w:tab w:val="left" w:pos="2977"/>
        </w:tabs>
        <w:jc w:val="both"/>
      </w:pPr>
      <w:r w:rsidRPr="009B0B4A">
        <w:t>Tomsone 67876181</w:t>
      </w:r>
    </w:p>
    <w:p w14:paraId="16CED46B" w14:textId="77777777" w:rsidR="00D72261" w:rsidRPr="00464827" w:rsidRDefault="00D72261" w:rsidP="00683BA6">
      <w:pPr>
        <w:tabs>
          <w:tab w:val="left" w:pos="2977"/>
        </w:tabs>
        <w:jc w:val="both"/>
      </w:pPr>
      <w:r w:rsidRPr="009B0B4A">
        <w:t>Agnese.Tomsone@vm.gov.lv</w:t>
      </w:r>
    </w:p>
    <w:p w14:paraId="7060D877" w14:textId="398E2125" w:rsidR="00E516B6" w:rsidRPr="00464827" w:rsidRDefault="00E516B6" w:rsidP="00683BA6">
      <w:pPr>
        <w:tabs>
          <w:tab w:val="left" w:pos="2977"/>
          <w:tab w:val="right" w:pos="9072"/>
        </w:tabs>
        <w:ind w:right="-1"/>
      </w:pPr>
    </w:p>
    <w:sectPr w:rsidR="00E516B6" w:rsidRPr="00464827" w:rsidSect="00D224AF">
      <w:headerReference w:type="even" r:id="rId15"/>
      <w:headerReference w:type="default" r:id="rId16"/>
      <w:footerReference w:type="default" r:id="rId17"/>
      <w:footerReference w:type="first" r:id="rId18"/>
      <w:pgSz w:w="11906" w:h="16838" w:code="9"/>
      <w:pgMar w:top="1418" w:right="1134" w:bottom="851" w:left="1701" w:header="720"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391E2" w14:textId="77777777" w:rsidR="002D05A2" w:rsidRDefault="002D05A2">
      <w:r>
        <w:separator/>
      </w:r>
    </w:p>
  </w:endnote>
  <w:endnote w:type="continuationSeparator" w:id="0">
    <w:p w14:paraId="53E2040E" w14:textId="77777777" w:rsidR="002D05A2" w:rsidRDefault="002D05A2">
      <w:r>
        <w:continuationSeparator/>
      </w:r>
    </w:p>
  </w:endnote>
  <w:endnote w:type="continuationNotice" w:id="1">
    <w:p w14:paraId="5D85FD2C" w14:textId="77777777" w:rsidR="002D05A2" w:rsidRDefault="002D0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2EB2" w14:textId="71E98F42" w:rsidR="002D05A2" w:rsidRPr="0068261C" w:rsidRDefault="002D05A2" w:rsidP="0068261C">
    <w:pPr>
      <w:tabs>
        <w:tab w:val="center" w:pos="4153"/>
        <w:tab w:val="right" w:pos="8306"/>
      </w:tabs>
      <w:jc w:val="both"/>
      <w:rPr>
        <w:sz w:val="20"/>
        <w:szCs w:val="20"/>
        <w:lang w:eastAsia="lv-LV"/>
      </w:rPr>
    </w:pPr>
    <w:r w:rsidRPr="000F65F0">
      <w:rPr>
        <w:sz w:val="20"/>
        <w:szCs w:val="20"/>
        <w:lang w:eastAsia="lv-LV"/>
      </w:rPr>
      <w:t>VManot_</w:t>
    </w:r>
    <w:r w:rsidR="00FA32E6">
      <w:rPr>
        <w:sz w:val="20"/>
        <w:szCs w:val="20"/>
        <w:lang w:eastAsia="lv-LV"/>
      </w:rPr>
      <w:t>16</w:t>
    </w:r>
    <w:r w:rsidR="00C86086">
      <w:rPr>
        <w:sz w:val="20"/>
        <w:szCs w:val="20"/>
        <w:lang w:eastAsia="lv-LV"/>
      </w:rPr>
      <w:t>0320</w:t>
    </w:r>
    <w:r w:rsidRPr="000F65F0">
      <w:rPr>
        <w:sz w:val="20"/>
        <w:szCs w:val="20"/>
        <w:lang w:eastAsia="lv-LV"/>
      </w:rPr>
      <w:t>_SAM</w:t>
    </w:r>
    <w:r>
      <w:rPr>
        <w:sz w:val="20"/>
        <w:szCs w:val="20"/>
        <w:lang w:eastAsia="lv-LV"/>
      </w:rPr>
      <w:t>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3BFD" w14:textId="77777777" w:rsidR="002D05A2" w:rsidRPr="00A94F44" w:rsidRDefault="002D05A2" w:rsidP="00A94F44">
    <w:pPr>
      <w:tabs>
        <w:tab w:val="center" w:pos="4153"/>
        <w:tab w:val="right" w:pos="8306"/>
      </w:tabs>
      <w:jc w:val="both"/>
      <w:rPr>
        <w:sz w:val="20"/>
        <w:szCs w:val="20"/>
        <w:lang w:eastAsia="lv-LV"/>
      </w:rPr>
    </w:pPr>
    <w:r w:rsidRPr="005755A2">
      <w:rPr>
        <w:sz w:val="20"/>
        <w:szCs w:val="20"/>
        <w:lang w:eastAsia="lv-LV"/>
      </w:rPr>
      <w:t>VManot_</w:t>
    </w:r>
    <w:r>
      <w:rPr>
        <w:sz w:val="20"/>
        <w:szCs w:val="20"/>
        <w:lang w:eastAsia="lv-LV"/>
      </w:rPr>
      <w:t>251115_SAM924</w:t>
    </w:r>
    <w:r w:rsidRPr="005755A2">
      <w:rPr>
        <w:sz w:val="20"/>
        <w:szCs w:val="20"/>
        <w:lang w:eastAsia="lv-LV"/>
      </w:rPr>
      <w:t xml:space="preserve">; </w:t>
    </w:r>
    <w:r w:rsidRPr="007912F8">
      <w:rPr>
        <w:sz w:val="20"/>
        <w:szCs w:val="20"/>
        <w:lang w:eastAsia="lv-LV"/>
      </w:rPr>
      <w:t>Ministru kabineta noteikumu projekta „Darbības programmas "Izaugsme un nodarbinātība"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specifiskā atbalsta mērķa "Uzlabot pieejamību veselības veicināšanas un slimību profilakses pakalpojumiem, jo īpaši, nabadzības un sociālās atstumtības riskam pakļautajiem iedzīvotājiem"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1</w:t>
    </w:r>
    <w:r>
      <w:rPr>
        <w:sz w:val="20"/>
        <w:szCs w:val="20"/>
        <w:lang w:eastAsia="lv-LV"/>
      </w:rPr>
      <w:t xml:space="preserve">. </w:t>
    </w:r>
    <w:r w:rsidRPr="007912F8">
      <w:rPr>
        <w:sz w:val="20"/>
        <w:szCs w:val="20"/>
        <w:lang w:eastAsia="lv-LV"/>
      </w:rPr>
      <w:t>pasākuma „Kompleksi veselības veicināšanas un slimību profilakses pasākumi” un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pasākuma „Pasākumi vietējās sabiedrības veselības veicināšanai un slimību profilaksei” īstenošanas noteikumi”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6E14B" w14:textId="77777777" w:rsidR="002D05A2" w:rsidRDefault="002D05A2">
      <w:r>
        <w:separator/>
      </w:r>
    </w:p>
  </w:footnote>
  <w:footnote w:type="continuationSeparator" w:id="0">
    <w:p w14:paraId="0A00B6D2" w14:textId="77777777" w:rsidR="002D05A2" w:rsidRDefault="002D05A2">
      <w:r>
        <w:continuationSeparator/>
      </w:r>
    </w:p>
  </w:footnote>
  <w:footnote w:type="continuationNotice" w:id="1">
    <w:p w14:paraId="360A08D8" w14:textId="77777777" w:rsidR="002D05A2" w:rsidRDefault="002D05A2"/>
  </w:footnote>
  <w:footnote w:id="2">
    <w:p w14:paraId="17154FE1" w14:textId="702E191F" w:rsidR="002D05A2" w:rsidRPr="005C5F91" w:rsidRDefault="002D05A2" w:rsidP="00BB4497">
      <w:pPr>
        <w:pStyle w:val="FootnoteText"/>
        <w:jc w:val="both"/>
        <w:rPr>
          <w:sz w:val="18"/>
          <w:szCs w:val="18"/>
        </w:rPr>
      </w:pPr>
      <w:r w:rsidRPr="005C5F91">
        <w:rPr>
          <w:rStyle w:val="FootnoteReference"/>
          <w:sz w:val="18"/>
          <w:szCs w:val="18"/>
        </w:rPr>
        <w:footnoteRef/>
      </w:r>
      <w:r w:rsidRPr="005C5F91">
        <w:rPr>
          <w:sz w:val="18"/>
          <w:szCs w:val="18"/>
        </w:rPr>
        <w:t xml:space="preserve"> </w:t>
      </w:r>
      <w:r w:rsidRPr="00DF5929">
        <w:t>2018.gada 27.novembra Ministru kabineta noteikumu Nr.746</w:t>
      </w:r>
      <w:r>
        <w:t xml:space="preserve"> </w:t>
      </w:r>
      <w:r w:rsidRPr="00DF5929">
        <w:t>“Grozījumi Ministru kabineta 2005. gada 27. decembra noteikumos Nr. 1031 "</w:t>
      </w:r>
      <w:hyperlink r:id="rId1" w:tgtFrame="_blank" w:history="1">
        <w:r w:rsidRPr="00DF5929">
          <w:t>Noteikumi par budžetu izdevumu klasifikāciju atbilstoši ekonomiskajām kategorijām</w:t>
        </w:r>
      </w:hyperlink>
      <w:r w:rsidRPr="00DF5929">
        <w:t>"” 1.23.apakšpunkts  un 2.punkts.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70B4" w14:textId="77777777" w:rsidR="002D05A2" w:rsidRDefault="002D05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E924B" w14:textId="77777777" w:rsidR="002D05A2" w:rsidRDefault="002D0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4938" w14:textId="123F10D7" w:rsidR="002D05A2" w:rsidRDefault="002D05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01CD">
      <w:rPr>
        <w:rStyle w:val="PageNumber"/>
        <w:noProof/>
      </w:rPr>
      <w:t>26</w:t>
    </w:r>
    <w:r>
      <w:rPr>
        <w:rStyle w:val="PageNumber"/>
      </w:rPr>
      <w:fldChar w:fldCharType="end"/>
    </w:r>
  </w:p>
  <w:p w14:paraId="6747DC82" w14:textId="77777777" w:rsidR="002D05A2" w:rsidRDefault="002D0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79A1"/>
    <w:multiLevelType w:val="hybridMultilevel"/>
    <w:tmpl w:val="EAD8FE40"/>
    <w:lvl w:ilvl="0" w:tplc="0426000D">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15:restartNumberingAfterBreak="0">
    <w:nsid w:val="04E32A9B"/>
    <w:multiLevelType w:val="hybridMultilevel"/>
    <w:tmpl w:val="4B800560"/>
    <w:lvl w:ilvl="0" w:tplc="F9E4387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 w15:restartNumberingAfterBreak="0">
    <w:nsid w:val="06686451"/>
    <w:multiLevelType w:val="hybridMultilevel"/>
    <w:tmpl w:val="55B42CDC"/>
    <w:lvl w:ilvl="0" w:tplc="BB703ACC">
      <w:start w:val="2"/>
      <w:numFmt w:val="bullet"/>
      <w:lvlText w:val="-"/>
      <w:lvlJc w:val="left"/>
      <w:pPr>
        <w:ind w:left="1494" w:hanging="360"/>
      </w:pPr>
      <w:rPr>
        <w:rFonts w:ascii="Calibri" w:eastAsiaTheme="minorHAnsi" w:hAnsi="Calibri" w:cs="Calibri" w:hint="default"/>
      </w:rPr>
    </w:lvl>
    <w:lvl w:ilvl="1" w:tplc="354025AC">
      <w:start w:val="1"/>
      <w:numFmt w:val="bullet"/>
      <w:lvlText w:val="o"/>
      <w:lvlJc w:val="left"/>
      <w:pPr>
        <w:ind w:left="2214" w:hanging="360"/>
      </w:pPr>
      <w:rPr>
        <w:rFonts w:ascii="Courier New" w:hAnsi="Courier New" w:cs="Courier New" w:hint="default"/>
      </w:rPr>
    </w:lvl>
    <w:lvl w:ilvl="2" w:tplc="BF442DDE">
      <w:start w:val="1"/>
      <w:numFmt w:val="bullet"/>
      <w:lvlText w:val=""/>
      <w:lvlJc w:val="left"/>
      <w:pPr>
        <w:ind w:left="2934" w:hanging="360"/>
      </w:pPr>
      <w:rPr>
        <w:rFonts w:ascii="Wingdings" w:hAnsi="Wingdings" w:hint="default"/>
      </w:rPr>
    </w:lvl>
    <w:lvl w:ilvl="3" w:tplc="137CFF52">
      <w:start w:val="1"/>
      <w:numFmt w:val="bullet"/>
      <w:lvlText w:val=""/>
      <w:lvlJc w:val="left"/>
      <w:pPr>
        <w:ind w:left="3654" w:hanging="360"/>
      </w:pPr>
      <w:rPr>
        <w:rFonts w:ascii="Symbol" w:hAnsi="Symbol" w:hint="default"/>
      </w:rPr>
    </w:lvl>
    <w:lvl w:ilvl="4" w:tplc="A5D6A50A">
      <w:start w:val="1"/>
      <w:numFmt w:val="bullet"/>
      <w:lvlText w:val="o"/>
      <w:lvlJc w:val="left"/>
      <w:pPr>
        <w:ind w:left="4374" w:hanging="360"/>
      </w:pPr>
      <w:rPr>
        <w:rFonts w:ascii="Courier New" w:hAnsi="Courier New" w:cs="Courier New" w:hint="default"/>
      </w:rPr>
    </w:lvl>
    <w:lvl w:ilvl="5" w:tplc="F51CCC46">
      <w:start w:val="1"/>
      <w:numFmt w:val="bullet"/>
      <w:lvlText w:val=""/>
      <w:lvlJc w:val="left"/>
      <w:pPr>
        <w:ind w:left="5094" w:hanging="360"/>
      </w:pPr>
      <w:rPr>
        <w:rFonts w:ascii="Wingdings" w:hAnsi="Wingdings" w:hint="default"/>
      </w:rPr>
    </w:lvl>
    <w:lvl w:ilvl="6" w:tplc="486A6D30">
      <w:start w:val="1"/>
      <w:numFmt w:val="bullet"/>
      <w:lvlText w:val=""/>
      <w:lvlJc w:val="left"/>
      <w:pPr>
        <w:ind w:left="5814" w:hanging="360"/>
      </w:pPr>
      <w:rPr>
        <w:rFonts w:ascii="Symbol" w:hAnsi="Symbol" w:hint="default"/>
      </w:rPr>
    </w:lvl>
    <w:lvl w:ilvl="7" w:tplc="6314521A">
      <w:start w:val="1"/>
      <w:numFmt w:val="bullet"/>
      <w:lvlText w:val="o"/>
      <w:lvlJc w:val="left"/>
      <w:pPr>
        <w:ind w:left="6534" w:hanging="360"/>
      </w:pPr>
      <w:rPr>
        <w:rFonts w:ascii="Courier New" w:hAnsi="Courier New" w:cs="Courier New" w:hint="default"/>
      </w:rPr>
    </w:lvl>
    <w:lvl w:ilvl="8" w:tplc="0E983A38">
      <w:start w:val="1"/>
      <w:numFmt w:val="bullet"/>
      <w:lvlText w:val=""/>
      <w:lvlJc w:val="left"/>
      <w:pPr>
        <w:ind w:left="7254" w:hanging="360"/>
      </w:pPr>
      <w:rPr>
        <w:rFonts w:ascii="Wingdings" w:hAnsi="Wingdings" w:hint="default"/>
      </w:rPr>
    </w:lvl>
  </w:abstractNum>
  <w:abstractNum w:abstractNumId="3" w15:restartNumberingAfterBreak="0">
    <w:nsid w:val="06F6466A"/>
    <w:multiLevelType w:val="hybridMultilevel"/>
    <w:tmpl w:val="03E00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D10D1"/>
    <w:multiLevelType w:val="hybridMultilevel"/>
    <w:tmpl w:val="91CCC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C0C568B"/>
    <w:multiLevelType w:val="multilevel"/>
    <w:tmpl w:val="D17AF38E"/>
    <w:lvl w:ilvl="0">
      <w:start w:val="1"/>
      <w:numFmt w:val="decimal"/>
      <w:lvlText w:val="%1."/>
      <w:lvlJc w:val="left"/>
      <w:pPr>
        <w:ind w:left="360" w:hanging="360"/>
      </w:pPr>
      <w:rPr>
        <w:rFonts w:hint="default"/>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E16EE9"/>
    <w:multiLevelType w:val="hybridMultilevel"/>
    <w:tmpl w:val="DDB60F2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7EA1B8B"/>
    <w:multiLevelType w:val="hybridMultilevel"/>
    <w:tmpl w:val="D13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F3D1B"/>
    <w:multiLevelType w:val="hybridMultilevel"/>
    <w:tmpl w:val="F32462E0"/>
    <w:lvl w:ilvl="0" w:tplc="0426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2FAE70DB"/>
    <w:multiLevelType w:val="hybridMultilevel"/>
    <w:tmpl w:val="2B42FBF8"/>
    <w:lvl w:ilvl="0" w:tplc="ACC21C76">
      <w:start w:val="1"/>
      <w:numFmt w:val="decimal"/>
      <w:lvlText w:val="%1)"/>
      <w:lvlJc w:val="left"/>
      <w:pPr>
        <w:ind w:left="720" w:hanging="360"/>
      </w:pPr>
    </w:lvl>
    <w:lvl w:ilvl="1" w:tplc="20607F8C">
      <w:start w:val="1"/>
      <w:numFmt w:val="lowerLetter"/>
      <w:lvlText w:val="%2."/>
      <w:lvlJc w:val="left"/>
      <w:pPr>
        <w:ind w:left="1440" w:hanging="360"/>
      </w:pPr>
    </w:lvl>
    <w:lvl w:ilvl="2" w:tplc="9620E60A">
      <w:start w:val="1"/>
      <w:numFmt w:val="lowerRoman"/>
      <w:lvlText w:val="%3."/>
      <w:lvlJc w:val="right"/>
      <w:pPr>
        <w:ind w:left="2160" w:hanging="180"/>
      </w:pPr>
    </w:lvl>
    <w:lvl w:ilvl="3" w:tplc="98A696BE">
      <w:start w:val="1"/>
      <w:numFmt w:val="decimal"/>
      <w:lvlText w:val="%4."/>
      <w:lvlJc w:val="left"/>
      <w:pPr>
        <w:ind w:left="2880" w:hanging="360"/>
      </w:pPr>
    </w:lvl>
    <w:lvl w:ilvl="4" w:tplc="84CAC7B6">
      <w:start w:val="1"/>
      <w:numFmt w:val="lowerLetter"/>
      <w:lvlText w:val="%5."/>
      <w:lvlJc w:val="left"/>
      <w:pPr>
        <w:ind w:left="3600" w:hanging="360"/>
      </w:pPr>
    </w:lvl>
    <w:lvl w:ilvl="5" w:tplc="2F869F16">
      <w:start w:val="1"/>
      <w:numFmt w:val="lowerRoman"/>
      <w:lvlText w:val="%6."/>
      <w:lvlJc w:val="right"/>
      <w:pPr>
        <w:ind w:left="4320" w:hanging="180"/>
      </w:pPr>
    </w:lvl>
    <w:lvl w:ilvl="6" w:tplc="A56464C4">
      <w:start w:val="1"/>
      <w:numFmt w:val="decimal"/>
      <w:lvlText w:val="%7."/>
      <w:lvlJc w:val="left"/>
      <w:pPr>
        <w:ind w:left="5040" w:hanging="360"/>
      </w:pPr>
    </w:lvl>
    <w:lvl w:ilvl="7" w:tplc="418291D2">
      <w:start w:val="1"/>
      <w:numFmt w:val="lowerLetter"/>
      <w:lvlText w:val="%8."/>
      <w:lvlJc w:val="left"/>
      <w:pPr>
        <w:ind w:left="5760" w:hanging="360"/>
      </w:pPr>
    </w:lvl>
    <w:lvl w:ilvl="8" w:tplc="A6C0C04C">
      <w:start w:val="1"/>
      <w:numFmt w:val="lowerRoman"/>
      <w:lvlText w:val="%9."/>
      <w:lvlJc w:val="right"/>
      <w:pPr>
        <w:ind w:left="6480" w:hanging="180"/>
      </w:pPr>
    </w:lvl>
  </w:abstractNum>
  <w:abstractNum w:abstractNumId="10" w15:restartNumberingAfterBreak="0">
    <w:nsid w:val="39594493"/>
    <w:multiLevelType w:val="hybridMultilevel"/>
    <w:tmpl w:val="0292FB6A"/>
    <w:lvl w:ilvl="0" w:tplc="04090001">
      <w:start w:val="1"/>
      <w:numFmt w:val="bullet"/>
      <w:lvlText w:val=""/>
      <w:lvlJc w:val="left"/>
      <w:pPr>
        <w:ind w:left="1377" w:hanging="360"/>
      </w:pPr>
      <w:rPr>
        <w:rFonts w:ascii="Symbol" w:hAnsi="Symbol"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11" w15:restartNumberingAfterBreak="0">
    <w:nsid w:val="3B8C395D"/>
    <w:multiLevelType w:val="multilevel"/>
    <w:tmpl w:val="09DCBC5A"/>
    <w:lvl w:ilvl="0">
      <w:start w:val="1"/>
      <w:numFmt w:val="decimal"/>
      <w:lvlText w:val="%1."/>
      <w:lvlJc w:val="left"/>
      <w:pPr>
        <w:ind w:left="7023" w:hanging="360"/>
      </w:pPr>
    </w:lvl>
    <w:lvl w:ilvl="1">
      <w:start w:val="1"/>
      <w:numFmt w:val="decimal"/>
      <w:lvlText w:val="%1.%2."/>
      <w:lvlJc w:val="left"/>
      <w:pPr>
        <w:ind w:left="1425" w:hanging="432"/>
      </w:p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2A67ED"/>
    <w:multiLevelType w:val="multilevel"/>
    <w:tmpl w:val="9470F9E8"/>
    <w:lvl w:ilvl="0">
      <w:start w:val="1"/>
      <w:numFmt w:val="bullet"/>
      <w:lvlText w:val=""/>
      <w:lvlJc w:val="left"/>
      <w:pPr>
        <w:ind w:left="360" w:hanging="360"/>
      </w:pPr>
      <w:rPr>
        <w:rFonts w:ascii="Wingdings" w:hAnsi="Wingding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40127"/>
    <w:multiLevelType w:val="multilevel"/>
    <w:tmpl w:val="E2F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B1F0D"/>
    <w:multiLevelType w:val="hybridMultilevel"/>
    <w:tmpl w:val="C8C0F7C8"/>
    <w:lvl w:ilvl="0" w:tplc="C04231D2">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49C6A73"/>
    <w:multiLevelType w:val="hybridMultilevel"/>
    <w:tmpl w:val="4CF25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52706B"/>
    <w:multiLevelType w:val="hybridMultilevel"/>
    <w:tmpl w:val="03DC6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521A6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946C00"/>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8E1F82"/>
    <w:multiLevelType w:val="hybridMultilevel"/>
    <w:tmpl w:val="ED5E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11D66"/>
    <w:multiLevelType w:val="multilevel"/>
    <w:tmpl w:val="F2F6823E"/>
    <w:lvl w:ilvl="0">
      <w:start w:val="1"/>
      <w:numFmt w:val="decimal"/>
      <w:suff w:val="space"/>
      <w:lvlText w:val="%1."/>
      <w:lvlJc w:val="left"/>
      <w:pPr>
        <w:ind w:left="57" w:firstLine="652"/>
      </w:pPr>
    </w:lvl>
    <w:lvl w:ilvl="1">
      <w:start w:val="1"/>
      <w:numFmt w:val="decimal"/>
      <w:isLgl/>
      <w:lvlText w:val="%1.%2."/>
      <w:lvlJc w:val="left"/>
      <w:pPr>
        <w:ind w:left="57" w:firstLine="652"/>
      </w:pPr>
    </w:lvl>
    <w:lvl w:ilvl="2">
      <w:start w:val="1"/>
      <w:numFmt w:val="decimal"/>
      <w:isLgl/>
      <w:lvlText w:val="%1.%2.%3."/>
      <w:lvlJc w:val="left"/>
      <w:pPr>
        <w:ind w:left="57" w:firstLine="652"/>
      </w:pPr>
    </w:lvl>
    <w:lvl w:ilvl="3">
      <w:start w:val="1"/>
      <w:numFmt w:val="decimal"/>
      <w:isLgl/>
      <w:lvlText w:val="%1.%2.%3.%4."/>
      <w:lvlJc w:val="left"/>
      <w:pPr>
        <w:ind w:left="57" w:firstLine="652"/>
      </w:pPr>
    </w:lvl>
    <w:lvl w:ilvl="4">
      <w:start w:val="1"/>
      <w:numFmt w:val="decimal"/>
      <w:isLgl/>
      <w:lvlText w:val="%1.%2.%3.%4.%5."/>
      <w:lvlJc w:val="left"/>
      <w:pPr>
        <w:ind w:left="57" w:firstLine="652"/>
      </w:pPr>
    </w:lvl>
    <w:lvl w:ilvl="5">
      <w:start w:val="1"/>
      <w:numFmt w:val="decimal"/>
      <w:isLgl/>
      <w:lvlText w:val="%1.%2.%3.%4.%5.%6."/>
      <w:lvlJc w:val="left"/>
      <w:pPr>
        <w:ind w:left="57" w:firstLine="652"/>
      </w:pPr>
    </w:lvl>
    <w:lvl w:ilvl="6">
      <w:start w:val="1"/>
      <w:numFmt w:val="decimal"/>
      <w:isLgl/>
      <w:lvlText w:val="%1.%2.%3.%4.%5.%6.%7."/>
      <w:lvlJc w:val="left"/>
      <w:pPr>
        <w:ind w:left="57" w:firstLine="652"/>
      </w:pPr>
    </w:lvl>
    <w:lvl w:ilvl="7">
      <w:start w:val="1"/>
      <w:numFmt w:val="decimal"/>
      <w:isLgl/>
      <w:lvlText w:val="%1.%2.%3.%4.%5.%6.%7.%8."/>
      <w:lvlJc w:val="left"/>
      <w:pPr>
        <w:ind w:left="57" w:firstLine="652"/>
      </w:pPr>
    </w:lvl>
    <w:lvl w:ilvl="8">
      <w:start w:val="1"/>
      <w:numFmt w:val="decimal"/>
      <w:isLgl/>
      <w:lvlText w:val="%1.%2.%3.%4.%5.%6.%7.%8.%9."/>
      <w:lvlJc w:val="left"/>
      <w:pPr>
        <w:ind w:left="57" w:firstLine="652"/>
      </w:pPr>
    </w:lvl>
  </w:abstractNum>
  <w:abstractNum w:abstractNumId="21" w15:restartNumberingAfterBreak="0">
    <w:nsid w:val="654025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0A438E"/>
    <w:multiLevelType w:val="hybridMultilevel"/>
    <w:tmpl w:val="A1D4EFE0"/>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23" w15:restartNumberingAfterBreak="0">
    <w:nsid w:val="6B241ECB"/>
    <w:multiLevelType w:val="hybridMultilevel"/>
    <w:tmpl w:val="9AB471B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E3709AB"/>
    <w:multiLevelType w:val="hybridMultilevel"/>
    <w:tmpl w:val="1AF809B8"/>
    <w:lvl w:ilvl="0" w:tplc="04260001">
      <w:start w:val="1"/>
      <w:numFmt w:val="bullet"/>
      <w:lvlText w:val=""/>
      <w:lvlJc w:val="left"/>
      <w:pPr>
        <w:ind w:left="832" w:hanging="360"/>
      </w:pPr>
      <w:rPr>
        <w:rFonts w:ascii="Symbol" w:hAnsi="Symbol" w:hint="default"/>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25" w15:restartNumberingAfterBreak="0">
    <w:nsid w:val="6FD51879"/>
    <w:multiLevelType w:val="hybridMultilevel"/>
    <w:tmpl w:val="3940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A8162D"/>
    <w:multiLevelType w:val="hybridMultilevel"/>
    <w:tmpl w:val="BF08499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7" w15:restartNumberingAfterBreak="0">
    <w:nsid w:val="72ED3DFC"/>
    <w:multiLevelType w:val="hybridMultilevel"/>
    <w:tmpl w:val="633C4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4C1A82"/>
    <w:multiLevelType w:val="hybridMultilevel"/>
    <w:tmpl w:val="A9EEA394"/>
    <w:lvl w:ilvl="0" w:tplc="04260005">
      <w:start w:val="1"/>
      <w:numFmt w:val="bullet"/>
      <w:lvlText w:val=""/>
      <w:lvlJc w:val="left"/>
      <w:pPr>
        <w:ind w:left="1061" w:hanging="360"/>
      </w:pPr>
      <w:rPr>
        <w:rFonts w:ascii="Wingdings" w:hAnsi="Wingdings" w:hint="default"/>
      </w:rPr>
    </w:lvl>
    <w:lvl w:ilvl="1" w:tplc="04260005">
      <w:start w:val="1"/>
      <w:numFmt w:val="bullet"/>
      <w:lvlText w:val=""/>
      <w:lvlJc w:val="left"/>
      <w:pPr>
        <w:ind w:left="1781" w:hanging="360"/>
      </w:pPr>
      <w:rPr>
        <w:rFonts w:ascii="Wingdings" w:hAnsi="Wingdings" w:hint="default"/>
      </w:rPr>
    </w:lvl>
    <w:lvl w:ilvl="2" w:tplc="04260005" w:tentative="1">
      <w:start w:val="1"/>
      <w:numFmt w:val="bullet"/>
      <w:lvlText w:val=""/>
      <w:lvlJc w:val="left"/>
      <w:pPr>
        <w:ind w:left="2501" w:hanging="360"/>
      </w:pPr>
      <w:rPr>
        <w:rFonts w:ascii="Wingdings" w:hAnsi="Wingdings" w:hint="default"/>
      </w:rPr>
    </w:lvl>
    <w:lvl w:ilvl="3" w:tplc="04260001" w:tentative="1">
      <w:start w:val="1"/>
      <w:numFmt w:val="bullet"/>
      <w:lvlText w:val=""/>
      <w:lvlJc w:val="left"/>
      <w:pPr>
        <w:ind w:left="3221" w:hanging="360"/>
      </w:pPr>
      <w:rPr>
        <w:rFonts w:ascii="Symbol" w:hAnsi="Symbol" w:hint="default"/>
      </w:rPr>
    </w:lvl>
    <w:lvl w:ilvl="4" w:tplc="04260003" w:tentative="1">
      <w:start w:val="1"/>
      <w:numFmt w:val="bullet"/>
      <w:lvlText w:val="o"/>
      <w:lvlJc w:val="left"/>
      <w:pPr>
        <w:ind w:left="3941" w:hanging="360"/>
      </w:pPr>
      <w:rPr>
        <w:rFonts w:ascii="Courier New" w:hAnsi="Courier New" w:cs="Courier New" w:hint="default"/>
      </w:rPr>
    </w:lvl>
    <w:lvl w:ilvl="5" w:tplc="04260005" w:tentative="1">
      <w:start w:val="1"/>
      <w:numFmt w:val="bullet"/>
      <w:lvlText w:val=""/>
      <w:lvlJc w:val="left"/>
      <w:pPr>
        <w:ind w:left="4661" w:hanging="360"/>
      </w:pPr>
      <w:rPr>
        <w:rFonts w:ascii="Wingdings" w:hAnsi="Wingdings" w:hint="default"/>
      </w:rPr>
    </w:lvl>
    <w:lvl w:ilvl="6" w:tplc="04260001" w:tentative="1">
      <w:start w:val="1"/>
      <w:numFmt w:val="bullet"/>
      <w:lvlText w:val=""/>
      <w:lvlJc w:val="left"/>
      <w:pPr>
        <w:ind w:left="5381" w:hanging="360"/>
      </w:pPr>
      <w:rPr>
        <w:rFonts w:ascii="Symbol" w:hAnsi="Symbol" w:hint="default"/>
      </w:rPr>
    </w:lvl>
    <w:lvl w:ilvl="7" w:tplc="04260003" w:tentative="1">
      <w:start w:val="1"/>
      <w:numFmt w:val="bullet"/>
      <w:lvlText w:val="o"/>
      <w:lvlJc w:val="left"/>
      <w:pPr>
        <w:ind w:left="6101" w:hanging="360"/>
      </w:pPr>
      <w:rPr>
        <w:rFonts w:ascii="Courier New" w:hAnsi="Courier New" w:cs="Courier New" w:hint="default"/>
      </w:rPr>
    </w:lvl>
    <w:lvl w:ilvl="8" w:tplc="04260005" w:tentative="1">
      <w:start w:val="1"/>
      <w:numFmt w:val="bullet"/>
      <w:lvlText w:val=""/>
      <w:lvlJc w:val="left"/>
      <w:pPr>
        <w:ind w:left="6821" w:hanging="360"/>
      </w:pPr>
      <w:rPr>
        <w:rFonts w:ascii="Wingdings" w:hAnsi="Wingdings" w:hint="default"/>
      </w:rPr>
    </w:lvl>
  </w:abstractNum>
  <w:abstractNum w:abstractNumId="29" w15:restartNumberingAfterBreak="0">
    <w:nsid w:val="797670E9"/>
    <w:multiLevelType w:val="hybridMultilevel"/>
    <w:tmpl w:val="DCA417AE"/>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7C800BA9"/>
    <w:multiLevelType w:val="hybridMultilevel"/>
    <w:tmpl w:val="E49E2D1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1"/>
  </w:num>
  <w:num w:numId="2">
    <w:abstractNumId w:val="18"/>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6"/>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0"/>
  </w:num>
  <w:num w:numId="10">
    <w:abstractNumId w:val="10"/>
  </w:num>
  <w:num w:numId="11">
    <w:abstractNumId w:val="0"/>
  </w:num>
  <w:num w:numId="12">
    <w:abstractNumId w:val="26"/>
  </w:num>
  <w:num w:numId="13">
    <w:abstractNumId w:val="3"/>
  </w:num>
  <w:num w:numId="14">
    <w:abstractNumId w:val="5"/>
  </w:num>
  <w:num w:numId="15">
    <w:abstractNumId w:val="24"/>
  </w:num>
  <w:num w:numId="16">
    <w:abstractNumId w:val="2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9"/>
  </w:num>
  <w:num w:numId="22">
    <w:abstractNumId w:val="25"/>
  </w:num>
  <w:num w:numId="23">
    <w:abstractNumId w:val="12"/>
  </w:num>
  <w:num w:numId="24">
    <w:abstractNumId w:val="7"/>
  </w:num>
  <w:num w:numId="25">
    <w:abstractNumId w:val="14"/>
  </w:num>
  <w:num w:numId="26">
    <w:abstractNumId w:val="17"/>
  </w:num>
  <w:num w:numId="27">
    <w:abstractNumId w:val="6"/>
  </w:num>
  <w:num w:numId="28">
    <w:abstractNumId w:val="8"/>
  </w:num>
  <w:num w:numId="29">
    <w:abstractNumId w:val="23"/>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1C"/>
    <w:rsid w:val="0000004E"/>
    <w:rsid w:val="0000007F"/>
    <w:rsid w:val="000006CF"/>
    <w:rsid w:val="00000F26"/>
    <w:rsid w:val="00003A79"/>
    <w:rsid w:val="00006A21"/>
    <w:rsid w:val="00006BB2"/>
    <w:rsid w:val="00006CA3"/>
    <w:rsid w:val="000077CA"/>
    <w:rsid w:val="00010573"/>
    <w:rsid w:val="0001075C"/>
    <w:rsid w:val="00010AD6"/>
    <w:rsid w:val="00011564"/>
    <w:rsid w:val="00011C0A"/>
    <w:rsid w:val="00013B7C"/>
    <w:rsid w:val="000142AB"/>
    <w:rsid w:val="0001496E"/>
    <w:rsid w:val="00014D04"/>
    <w:rsid w:val="0001512A"/>
    <w:rsid w:val="00016BD9"/>
    <w:rsid w:val="000171D0"/>
    <w:rsid w:val="000177D7"/>
    <w:rsid w:val="000179A6"/>
    <w:rsid w:val="00017DF7"/>
    <w:rsid w:val="00020B3E"/>
    <w:rsid w:val="00022205"/>
    <w:rsid w:val="00022523"/>
    <w:rsid w:val="000229B1"/>
    <w:rsid w:val="00023A89"/>
    <w:rsid w:val="00023BA6"/>
    <w:rsid w:val="00023C42"/>
    <w:rsid w:val="00023EAD"/>
    <w:rsid w:val="0002480A"/>
    <w:rsid w:val="00024B73"/>
    <w:rsid w:val="000258B0"/>
    <w:rsid w:val="000276D0"/>
    <w:rsid w:val="00027C89"/>
    <w:rsid w:val="00030AEE"/>
    <w:rsid w:val="000311C0"/>
    <w:rsid w:val="00031A28"/>
    <w:rsid w:val="00031B47"/>
    <w:rsid w:val="00032890"/>
    <w:rsid w:val="00032A9F"/>
    <w:rsid w:val="00032D59"/>
    <w:rsid w:val="000331F5"/>
    <w:rsid w:val="000332FD"/>
    <w:rsid w:val="00033885"/>
    <w:rsid w:val="0003481E"/>
    <w:rsid w:val="000349F4"/>
    <w:rsid w:val="00034CD9"/>
    <w:rsid w:val="000350F7"/>
    <w:rsid w:val="00035304"/>
    <w:rsid w:val="00035436"/>
    <w:rsid w:val="000357D5"/>
    <w:rsid w:val="00035D5A"/>
    <w:rsid w:val="00036003"/>
    <w:rsid w:val="0003665B"/>
    <w:rsid w:val="000372A0"/>
    <w:rsid w:val="000379CD"/>
    <w:rsid w:val="000401EE"/>
    <w:rsid w:val="00040261"/>
    <w:rsid w:val="00040280"/>
    <w:rsid w:val="0004188B"/>
    <w:rsid w:val="000419AE"/>
    <w:rsid w:val="00041C95"/>
    <w:rsid w:val="0004272E"/>
    <w:rsid w:val="0004341C"/>
    <w:rsid w:val="00043510"/>
    <w:rsid w:val="00044751"/>
    <w:rsid w:val="00044811"/>
    <w:rsid w:val="000451EF"/>
    <w:rsid w:val="00045588"/>
    <w:rsid w:val="00046025"/>
    <w:rsid w:val="000461A6"/>
    <w:rsid w:val="000461D7"/>
    <w:rsid w:val="0004642F"/>
    <w:rsid w:val="00046C46"/>
    <w:rsid w:val="0004721A"/>
    <w:rsid w:val="00047D55"/>
    <w:rsid w:val="00047FB2"/>
    <w:rsid w:val="000508D7"/>
    <w:rsid w:val="00050FCB"/>
    <w:rsid w:val="0005100D"/>
    <w:rsid w:val="00051089"/>
    <w:rsid w:val="000511A7"/>
    <w:rsid w:val="00051273"/>
    <w:rsid w:val="000512DA"/>
    <w:rsid w:val="000518C5"/>
    <w:rsid w:val="00051A1C"/>
    <w:rsid w:val="00051D8A"/>
    <w:rsid w:val="00054302"/>
    <w:rsid w:val="00054E04"/>
    <w:rsid w:val="0005514A"/>
    <w:rsid w:val="0005536B"/>
    <w:rsid w:val="0005631C"/>
    <w:rsid w:val="0005680A"/>
    <w:rsid w:val="00056BDB"/>
    <w:rsid w:val="00057F15"/>
    <w:rsid w:val="00060143"/>
    <w:rsid w:val="000608AB"/>
    <w:rsid w:val="00060FDE"/>
    <w:rsid w:val="000611A9"/>
    <w:rsid w:val="0006144E"/>
    <w:rsid w:val="00061871"/>
    <w:rsid w:val="00062879"/>
    <w:rsid w:val="00062E81"/>
    <w:rsid w:val="0006341D"/>
    <w:rsid w:val="000637E3"/>
    <w:rsid w:val="00063FD8"/>
    <w:rsid w:val="00064018"/>
    <w:rsid w:val="0006457D"/>
    <w:rsid w:val="000648AB"/>
    <w:rsid w:val="00065BE4"/>
    <w:rsid w:val="00065DC8"/>
    <w:rsid w:val="00065DD9"/>
    <w:rsid w:val="00065F5A"/>
    <w:rsid w:val="00065FCA"/>
    <w:rsid w:val="0006629F"/>
    <w:rsid w:val="0006648A"/>
    <w:rsid w:val="00066554"/>
    <w:rsid w:val="00067341"/>
    <w:rsid w:val="00067464"/>
    <w:rsid w:val="000700EC"/>
    <w:rsid w:val="000703FA"/>
    <w:rsid w:val="000705DB"/>
    <w:rsid w:val="000710BE"/>
    <w:rsid w:val="00072639"/>
    <w:rsid w:val="00072647"/>
    <w:rsid w:val="00072AB5"/>
    <w:rsid w:val="00072FD1"/>
    <w:rsid w:val="0007350E"/>
    <w:rsid w:val="000737E1"/>
    <w:rsid w:val="000738A5"/>
    <w:rsid w:val="000746DD"/>
    <w:rsid w:val="000749D1"/>
    <w:rsid w:val="00074C50"/>
    <w:rsid w:val="00074D0B"/>
    <w:rsid w:val="00075C90"/>
    <w:rsid w:val="00075FD9"/>
    <w:rsid w:val="00075FE6"/>
    <w:rsid w:val="0007617E"/>
    <w:rsid w:val="00077350"/>
    <w:rsid w:val="000778C6"/>
    <w:rsid w:val="00077E43"/>
    <w:rsid w:val="00080F58"/>
    <w:rsid w:val="0008105E"/>
    <w:rsid w:val="0008118C"/>
    <w:rsid w:val="000818B4"/>
    <w:rsid w:val="00081E56"/>
    <w:rsid w:val="000820AE"/>
    <w:rsid w:val="00082220"/>
    <w:rsid w:val="0008397F"/>
    <w:rsid w:val="00084332"/>
    <w:rsid w:val="00084405"/>
    <w:rsid w:val="000848D2"/>
    <w:rsid w:val="00084A86"/>
    <w:rsid w:val="000854D2"/>
    <w:rsid w:val="00085578"/>
    <w:rsid w:val="00086AFA"/>
    <w:rsid w:val="00087449"/>
    <w:rsid w:val="000876AA"/>
    <w:rsid w:val="00087787"/>
    <w:rsid w:val="00087912"/>
    <w:rsid w:val="000879A1"/>
    <w:rsid w:val="00090EEE"/>
    <w:rsid w:val="0009177F"/>
    <w:rsid w:val="00091DDB"/>
    <w:rsid w:val="0009253D"/>
    <w:rsid w:val="00092C08"/>
    <w:rsid w:val="00092C69"/>
    <w:rsid w:val="000938BC"/>
    <w:rsid w:val="00093955"/>
    <w:rsid w:val="00093C1E"/>
    <w:rsid w:val="00093E32"/>
    <w:rsid w:val="00094453"/>
    <w:rsid w:val="00094A42"/>
    <w:rsid w:val="00094A86"/>
    <w:rsid w:val="00094D29"/>
    <w:rsid w:val="00094F8F"/>
    <w:rsid w:val="000955E3"/>
    <w:rsid w:val="00096071"/>
    <w:rsid w:val="000961D3"/>
    <w:rsid w:val="000967D6"/>
    <w:rsid w:val="000969F5"/>
    <w:rsid w:val="0009711C"/>
    <w:rsid w:val="0009765C"/>
    <w:rsid w:val="00097667"/>
    <w:rsid w:val="00097A8B"/>
    <w:rsid w:val="000A03DA"/>
    <w:rsid w:val="000A0B0B"/>
    <w:rsid w:val="000A0B51"/>
    <w:rsid w:val="000A1230"/>
    <w:rsid w:val="000A1507"/>
    <w:rsid w:val="000A1DF9"/>
    <w:rsid w:val="000A2285"/>
    <w:rsid w:val="000A249F"/>
    <w:rsid w:val="000A2F1C"/>
    <w:rsid w:val="000A3514"/>
    <w:rsid w:val="000A3A3B"/>
    <w:rsid w:val="000A3D7C"/>
    <w:rsid w:val="000A4F46"/>
    <w:rsid w:val="000A57E5"/>
    <w:rsid w:val="000A614E"/>
    <w:rsid w:val="000A632A"/>
    <w:rsid w:val="000A6387"/>
    <w:rsid w:val="000A6455"/>
    <w:rsid w:val="000A6A8E"/>
    <w:rsid w:val="000A6B0C"/>
    <w:rsid w:val="000A6B35"/>
    <w:rsid w:val="000A6D36"/>
    <w:rsid w:val="000A6EBB"/>
    <w:rsid w:val="000A7007"/>
    <w:rsid w:val="000A7B2A"/>
    <w:rsid w:val="000B021C"/>
    <w:rsid w:val="000B0A3D"/>
    <w:rsid w:val="000B0B77"/>
    <w:rsid w:val="000B136B"/>
    <w:rsid w:val="000B19B9"/>
    <w:rsid w:val="000B23AA"/>
    <w:rsid w:val="000B2A38"/>
    <w:rsid w:val="000B2ED3"/>
    <w:rsid w:val="000B333A"/>
    <w:rsid w:val="000B3411"/>
    <w:rsid w:val="000B3D38"/>
    <w:rsid w:val="000B492A"/>
    <w:rsid w:val="000B4B3C"/>
    <w:rsid w:val="000B5324"/>
    <w:rsid w:val="000B54AE"/>
    <w:rsid w:val="000B5BC8"/>
    <w:rsid w:val="000B5C3B"/>
    <w:rsid w:val="000B5E3A"/>
    <w:rsid w:val="000B6F32"/>
    <w:rsid w:val="000C0654"/>
    <w:rsid w:val="000C075A"/>
    <w:rsid w:val="000C0894"/>
    <w:rsid w:val="000C0BFF"/>
    <w:rsid w:val="000C11F7"/>
    <w:rsid w:val="000C1806"/>
    <w:rsid w:val="000C1E94"/>
    <w:rsid w:val="000C1ED2"/>
    <w:rsid w:val="000C228E"/>
    <w:rsid w:val="000C2DB8"/>
    <w:rsid w:val="000C326C"/>
    <w:rsid w:val="000C328B"/>
    <w:rsid w:val="000C3393"/>
    <w:rsid w:val="000C3992"/>
    <w:rsid w:val="000C467C"/>
    <w:rsid w:val="000C4D96"/>
    <w:rsid w:val="000C538E"/>
    <w:rsid w:val="000C5995"/>
    <w:rsid w:val="000C61CE"/>
    <w:rsid w:val="000C62B6"/>
    <w:rsid w:val="000C69A8"/>
    <w:rsid w:val="000C6C66"/>
    <w:rsid w:val="000C6E9B"/>
    <w:rsid w:val="000C7F03"/>
    <w:rsid w:val="000C7F3E"/>
    <w:rsid w:val="000D0F10"/>
    <w:rsid w:val="000D10A0"/>
    <w:rsid w:val="000D34FC"/>
    <w:rsid w:val="000D3507"/>
    <w:rsid w:val="000D3847"/>
    <w:rsid w:val="000D40AC"/>
    <w:rsid w:val="000D4B9D"/>
    <w:rsid w:val="000D4C80"/>
    <w:rsid w:val="000D4E82"/>
    <w:rsid w:val="000D507B"/>
    <w:rsid w:val="000D5A1E"/>
    <w:rsid w:val="000D63FE"/>
    <w:rsid w:val="000D7BFB"/>
    <w:rsid w:val="000D7C06"/>
    <w:rsid w:val="000D7EB0"/>
    <w:rsid w:val="000E0B74"/>
    <w:rsid w:val="000E0E18"/>
    <w:rsid w:val="000E176D"/>
    <w:rsid w:val="000E2002"/>
    <w:rsid w:val="000E24E4"/>
    <w:rsid w:val="000E2BA6"/>
    <w:rsid w:val="000E32B4"/>
    <w:rsid w:val="000E3406"/>
    <w:rsid w:val="000E345E"/>
    <w:rsid w:val="000E38F1"/>
    <w:rsid w:val="000E5431"/>
    <w:rsid w:val="000E5F1E"/>
    <w:rsid w:val="000E6C7B"/>
    <w:rsid w:val="000E6D22"/>
    <w:rsid w:val="000E6EF8"/>
    <w:rsid w:val="000E7EBD"/>
    <w:rsid w:val="000E7F58"/>
    <w:rsid w:val="000F079B"/>
    <w:rsid w:val="000F080D"/>
    <w:rsid w:val="000F099A"/>
    <w:rsid w:val="000F0B0D"/>
    <w:rsid w:val="000F1062"/>
    <w:rsid w:val="000F12E4"/>
    <w:rsid w:val="000F18D4"/>
    <w:rsid w:val="000F2595"/>
    <w:rsid w:val="000F25D2"/>
    <w:rsid w:val="000F2E5B"/>
    <w:rsid w:val="000F3B6F"/>
    <w:rsid w:val="000F42B4"/>
    <w:rsid w:val="000F5770"/>
    <w:rsid w:val="000F59BA"/>
    <w:rsid w:val="000F6127"/>
    <w:rsid w:val="000F65F0"/>
    <w:rsid w:val="000F6C48"/>
    <w:rsid w:val="000F6CA0"/>
    <w:rsid w:val="000F6F70"/>
    <w:rsid w:val="000F7117"/>
    <w:rsid w:val="000F7F56"/>
    <w:rsid w:val="00100196"/>
    <w:rsid w:val="00101339"/>
    <w:rsid w:val="001016A9"/>
    <w:rsid w:val="001022F4"/>
    <w:rsid w:val="001024E1"/>
    <w:rsid w:val="001026F6"/>
    <w:rsid w:val="00102B64"/>
    <w:rsid w:val="00102FEA"/>
    <w:rsid w:val="00103608"/>
    <w:rsid w:val="001039EE"/>
    <w:rsid w:val="00103B84"/>
    <w:rsid w:val="00103E48"/>
    <w:rsid w:val="00104459"/>
    <w:rsid w:val="00104722"/>
    <w:rsid w:val="00104BDE"/>
    <w:rsid w:val="00104C88"/>
    <w:rsid w:val="00105487"/>
    <w:rsid w:val="00106FF3"/>
    <w:rsid w:val="0011005B"/>
    <w:rsid w:val="00110788"/>
    <w:rsid w:val="001108E9"/>
    <w:rsid w:val="001109DA"/>
    <w:rsid w:val="00111190"/>
    <w:rsid w:val="0011122E"/>
    <w:rsid w:val="0011132A"/>
    <w:rsid w:val="00111C00"/>
    <w:rsid w:val="00111D17"/>
    <w:rsid w:val="0011391E"/>
    <w:rsid w:val="00113E50"/>
    <w:rsid w:val="00114608"/>
    <w:rsid w:val="00115124"/>
    <w:rsid w:val="001157B2"/>
    <w:rsid w:val="001158E6"/>
    <w:rsid w:val="00115996"/>
    <w:rsid w:val="00115C48"/>
    <w:rsid w:val="00117BB9"/>
    <w:rsid w:val="0012089E"/>
    <w:rsid w:val="00120CE6"/>
    <w:rsid w:val="00121058"/>
    <w:rsid w:val="00121170"/>
    <w:rsid w:val="00121300"/>
    <w:rsid w:val="00121708"/>
    <w:rsid w:val="001219BE"/>
    <w:rsid w:val="00121B9E"/>
    <w:rsid w:val="00122240"/>
    <w:rsid w:val="001222C7"/>
    <w:rsid w:val="001228BD"/>
    <w:rsid w:val="0012364D"/>
    <w:rsid w:val="00123DF1"/>
    <w:rsid w:val="00124003"/>
    <w:rsid w:val="00124896"/>
    <w:rsid w:val="00125CC0"/>
    <w:rsid w:val="001268E7"/>
    <w:rsid w:val="001271A7"/>
    <w:rsid w:val="0012744B"/>
    <w:rsid w:val="001301D8"/>
    <w:rsid w:val="00130286"/>
    <w:rsid w:val="0013067D"/>
    <w:rsid w:val="0013083A"/>
    <w:rsid w:val="00130B15"/>
    <w:rsid w:val="0013167A"/>
    <w:rsid w:val="00132010"/>
    <w:rsid w:val="00132477"/>
    <w:rsid w:val="00132673"/>
    <w:rsid w:val="0013287B"/>
    <w:rsid w:val="00132D78"/>
    <w:rsid w:val="001331BA"/>
    <w:rsid w:val="00133C26"/>
    <w:rsid w:val="00134086"/>
    <w:rsid w:val="001342F6"/>
    <w:rsid w:val="001343E2"/>
    <w:rsid w:val="0013473F"/>
    <w:rsid w:val="001349E0"/>
    <w:rsid w:val="00135104"/>
    <w:rsid w:val="0013565E"/>
    <w:rsid w:val="001357B2"/>
    <w:rsid w:val="00135A65"/>
    <w:rsid w:val="001364D4"/>
    <w:rsid w:val="001366D7"/>
    <w:rsid w:val="00136FE2"/>
    <w:rsid w:val="001372E9"/>
    <w:rsid w:val="00137679"/>
    <w:rsid w:val="00141485"/>
    <w:rsid w:val="00141DB6"/>
    <w:rsid w:val="00142047"/>
    <w:rsid w:val="00142096"/>
    <w:rsid w:val="001420EE"/>
    <w:rsid w:val="0014373C"/>
    <w:rsid w:val="001437BD"/>
    <w:rsid w:val="001437C1"/>
    <w:rsid w:val="0014459B"/>
    <w:rsid w:val="001445AA"/>
    <w:rsid w:val="00144673"/>
    <w:rsid w:val="001449CC"/>
    <w:rsid w:val="0014534A"/>
    <w:rsid w:val="0014543E"/>
    <w:rsid w:val="001461E0"/>
    <w:rsid w:val="0014669B"/>
    <w:rsid w:val="00146A34"/>
    <w:rsid w:val="001500D4"/>
    <w:rsid w:val="00150DA5"/>
    <w:rsid w:val="001515C4"/>
    <w:rsid w:val="0015195C"/>
    <w:rsid w:val="00151C63"/>
    <w:rsid w:val="00151E3F"/>
    <w:rsid w:val="001522AB"/>
    <w:rsid w:val="001526CD"/>
    <w:rsid w:val="00152866"/>
    <w:rsid w:val="00153395"/>
    <w:rsid w:val="00153C19"/>
    <w:rsid w:val="001542B3"/>
    <w:rsid w:val="00155B12"/>
    <w:rsid w:val="00156050"/>
    <w:rsid w:val="0015695F"/>
    <w:rsid w:val="00157FDE"/>
    <w:rsid w:val="00157FFA"/>
    <w:rsid w:val="00160F63"/>
    <w:rsid w:val="0016187F"/>
    <w:rsid w:val="0016188D"/>
    <w:rsid w:val="001627FF"/>
    <w:rsid w:val="00162A40"/>
    <w:rsid w:val="00162FD8"/>
    <w:rsid w:val="00164651"/>
    <w:rsid w:val="001647CA"/>
    <w:rsid w:val="00164C8C"/>
    <w:rsid w:val="00164EDE"/>
    <w:rsid w:val="00164FBA"/>
    <w:rsid w:val="001654DC"/>
    <w:rsid w:val="001671FC"/>
    <w:rsid w:val="0016725E"/>
    <w:rsid w:val="0016756C"/>
    <w:rsid w:val="00167576"/>
    <w:rsid w:val="00170014"/>
    <w:rsid w:val="0017094E"/>
    <w:rsid w:val="00170D17"/>
    <w:rsid w:val="00171237"/>
    <w:rsid w:val="00171E70"/>
    <w:rsid w:val="00172C6E"/>
    <w:rsid w:val="00172E1B"/>
    <w:rsid w:val="00173657"/>
    <w:rsid w:val="00173DB7"/>
    <w:rsid w:val="00174BEF"/>
    <w:rsid w:val="00174F93"/>
    <w:rsid w:val="0017582A"/>
    <w:rsid w:val="00175FE2"/>
    <w:rsid w:val="0017628A"/>
    <w:rsid w:val="00176498"/>
    <w:rsid w:val="0017663B"/>
    <w:rsid w:val="001767BB"/>
    <w:rsid w:val="001775A0"/>
    <w:rsid w:val="001777FC"/>
    <w:rsid w:val="001777FE"/>
    <w:rsid w:val="0018006E"/>
    <w:rsid w:val="00180ACF"/>
    <w:rsid w:val="00180D14"/>
    <w:rsid w:val="00181C02"/>
    <w:rsid w:val="00182AA3"/>
    <w:rsid w:val="00182C5D"/>
    <w:rsid w:val="001830CC"/>
    <w:rsid w:val="001838F3"/>
    <w:rsid w:val="00183B82"/>
    <w:rsid w:val="00184813"/>
    <w:rsid w:val="00184C32"/>
    <w:rsid w:val="00184F54"/>
    <w:rsid w:val="00185B8D"/>
    <w:rsid w:val="001860B1"/>
    <w:rsid w:val="001862A2"/>
    <w:rsid w:val="00186363"/>
    <w:rsid w:val="001866A5"/>
    <w:rsid w:val="00186FC6"/>
    <w:rsid w:val="00187801"/>
    <w:rsid w:val="00187BCA"/>
    <w:rsid w:val="00187E9E"/>
    <w:rsid w:val="00190113"/>
    <w:rsid w:val="00190284"/>
    <w:rsid w:val="0019043A"/>
    <w:rsid w:val="0019057E"/>
    <w:rsid w:val="001906D4"/>
    <w:rsid w:val="001908EB"/>
    <w:rsid w:val="00190946"/>
    <w:rsid w:val="001909F3"/>
    <w:rsid w:val="00190E51"/>
    <w:rsid w:val="001918A0"/>
    <w:rsid w:val="00191D21"/>
    <w:rsid w:val="0019214E"/>
    <w:rsid w:val="001928F8"/>
    <w:rsid w:val="00192C03"/>
    <w:rsid w:val="001932DB"/>
    <w:rsid w:val="00193692"/>
    <w:rsid w:val="001938CD"/>
    <w:rsid w:val="001942EB"/>
    <w:rsid w:val="001950BA"/>
    <w:rsid w:val="00195137"/>
    <w:rsid w:val="001953A5"/>
    <w:rsid w:val="00195AE2"/>
    <w:rsid w:val="00195FE5"/>
    <w:rsid w:val="001962C4"/>
    <w:rsid w:val="001962E3"/>
    <w:rsid w:val="00197678"/>
    <w:rsid w:val="00197C19"/>
    <w:rsid w:val="001A02FA"/>
    <w:rsid w:val="001A033A"/>
    <w:rsid w:val="001A0F15"/>
    <w:rsid w:val="001A14D7"/>
    <w:rsid w:val="001A1ED7"/>
    <w:rsid w:val="001A22CB"/>
    <w:rsid w:val="001A28C3"/>
    <w:rsid w:val="001A28D7"/>
    <w:rsid w:val="001A297F"/>
    <w:rsid w:val="001A3B62"/>
    <w:rsid w:val="001A425F"/>
    <w:rsid w:val="001A4EE7"/>
    <w:rsid w:val="001A5003"/>
    <w:rsid w:val="001A52A1"/>
    <w:rsid w:val="001A5B17"/>
    <w:rsid w:val="001A5F95"/>
    <w:rsid w:val="001A614E"/>
    <w:rsid w:val="001A6AEA"/>
    <w:rsid w:val="001A7120"/>
    <w:rsid w:val="001A778E"/>
    <w:rsid w:val="001A788A"/>
    <w:rsid w:val="001B02E4"/>
    <w:rsid w:val="001B0399"/>
    <w:rsid w:val="001B0C3C"/>
    <w:rsid w:val="001B0FB3"/>
    <w:rsid w:val="001B1BEB"/>
    <w:rsid w:val="001B1DEC"/>
    <w:rsid w:val="001B268D"/>
    <w:rsid w:val="001B2753"/>
    <w:rsid w:val="001B2D1D"/>
    <w:rsid w:val="001B315C"/>
    <w:rsid w:val="001B3F5E"/>
    <w:rsid w:val="001B5116"/>
    <w:rsid w:val="001B57B6"/>
    <w:rsid w:val="001B5D2A"/>
    <w:rsid w:val="001B7153"/>
    <w:rsid w:val="001B721B"/>
    <w:rsid w:val="001B7BBF"/>
    <w:rsid w:val="001B7EB8"/>
    <w:rsid w:val="001C02F2"/>
    <w:rsid w:val="001C038E"/>
    <w:rsid w:val="001C07E0"/>
    <w:rsid w:val="001C0980"/>
    <w:rsid w:val="001C11EA"/>
    <w:rsid w:val="001C1C9D"/>
    <w:rsid w:val="001C2383"/>
    <w:rsid w:val="001C2401"/>
    <w:rsid w:val="001C446A"/>
    <w:rsid w:val="001C457A"/>
    <w:rsid w:val="001C4854"/>
    <w:rsid w:val="001C493F"/>
    <w:rsid w:val="001C4D3E"/>
    <w:rsid w:val="001C5A51"/>
    <w:rsid w:val="001C5B58"/>
    <w:rsid w:val="001C5B9C"/>
    <w:rsid w:val="001C5E5F"/>
    <w:rsid w:val="001C5F71"/>
    <w:rsid w:val="001C673C"/>
    <w:rsid w:val="001C68E9"/>
    <w:rsid w:val="001C69DF"/>
    <w:rsid w:val="001C7C44"/>
    <w:rsid w:val="001D0025"/>
    <w:rsid w:val="001D0679"/>
    <w:rsid w:val="001D0F7E"/>
    <w:rsid w:val="001D1369"/>
    <w:rsid w:val="001D1622"/>
    <w:rsid w:val="001D193B"/>
    <w:rsid w:val="001D1BCA"/>
    <w:rsid w:val="001D2460"/>
    <w:rsid w:val="001D2625"/>
    <w:rsid w:val="001D2D91"/>
    <w:rsid w:val="001D2F3C"/>
    <w:rsid w:val="001D3051"/>
    <w:rsid w:val="001D3987"/>
    <w:rsid w:val="001D3AFD"/>
    <w:rsid w:val="001D3E56"/>
    <w:rsid w:val="001D4857"/>
    <w:rsid w:val="001D49E8"/>
    <w:rsid w:val="001D55DA"/>
    <w:rsid w:val="001D5957"/>
    <w:rsid w:val="001D6102"/>
    <w:rsid w:val="001D6611"/>
    <w:rsid w:val="001D6DB1"/>
    <w:rsid w:val="001D7238"/>
    <w:rsid w:val="001E0200"/>
    <w:rsid w:val="001E06CA"/>
    <w:rsid w:val="001E110C"/>
    <w:rsid w:val="001E155F"/>
    <w:rsid w:val="001E16BF"/>
    <w:rsid w:val="001E1C59"/>
    <w:rsid w:val="001E1EED"/>
    <w:rsid w:val="001E20B3"/>
    <w:rsid w:val="001E21A1"/>
    <w:rsid w:val="001E230C"/>
    <w:rsid w:val="001E2A2E"/>
    <w:rsid w:val="001E3003"/>
    <w:rsid w:val="001E32B2"/>
    <w:rsid w:val="001E33AB"/>
    <w:rsid w:val="001E3C43"/>
    <w:rsid w:val="001E4130"/>
    <w:rsid w:val="001E4513"/>
    <w:rsid w:val="001E48EA"/>
    <w:rsid w:val="001E5390"/>
    <w:rsid w:val="001E5EFC"/>
    <w:rsid w:val="001E6859"/>
    <w:rsid w:val="001E6AE6"/>
    <w:rsid w:val="001E6CEC"/>
    <w:rsid w:val="001E6D92"/>
    <w:rsid w:val="001E6E67"/>
    <w:rsid w:val="001E7198"/>
    <w:rsid w:val="001E753D"/>
    <w:rsid w:val="001E7771"/>
    <w:rsid w:val="001F04ED"/>
    <w:rsid w:val="001F1459"/>
    <w:rsid w:val="001F1DDC"/>
    <w:rsid w:val="001F1DDE"/>
    <w:rsid w:val="001F1FC5"/>
    <w:rsid w:val="001F2208"/>
    <w:rsid w:val="001F2B16"/>
    <w:rsid w:val="001F2C5E"/>
    <w:rsid w:val="001F2D21"/>
    <w:rsid w:val="001F2D96"/>
    <w:rsid w:val="001F2F1B"/>
    <w:rsid w:val="001F31EB"/>
    <w:rsid w:val="001F3706"/>
    <w:rsid w:val="001F39B6"/>
    <w:rsid w:val="001F3C3C"/>
    <w:rsid w:val="001F42A5"/>
    <w:rsid w:val="001F4A34"/>
    <w:rsid w:val="001F4C7B"/>
    <w:rsid w:val="001F4D60"/>
    <w:rsid w:val="001F58D4"/>
    <w:rsid w:val="001F5A02"/>
    <w:rsid w:val="001F6BC5"/>
    <w:rsid w:val="001F7223"/>
    <w:rsid w:val="001F76D3"/>
    <w:rsid w:val="001F7C19"/>
    <w:rsid w:val="001F7D40"/>
    <w:rsid w:val="00200DFE"/>
    <w:rsid w:val="00201314"/>
    <w:rsid w:val="00201531"/>
    <w:rsid w:val="0020206A"/>
    <w:rsid w:val="00202099"/>
    <w:rsid w:val="002030C8"/>
    <w:rsid w:val="0020355C"/>
    <w:rsid w:val="00204169"/>
    <w:rsid w:val="0020428A"/>
    <w:rsid w:val="002043A7"/>
    <w:rsid w:val="00204A88"/>
    <w:rsid w:val="00205006"/>
    <w:rsid w:val="0020527E"/>
    <w:rsid w:val="0020696D"/>
    <w:rsid w:val="00206AB9"/>
    <w:rsid w:val="00206E10"/>
    <w:rsid w:val="00206F22"/>
    <w:rsid w:val="00206FE7"/>
    <w:rsid w:val="00207053"/>
    <w:rsid w:val="002070E9"/>
    <w:rsid w:val="002078B8"/>
    <w:rsid w:val="00207ED4"/>
    <w:rsid w:val="002105B1"/>
    <w:rsid w:val="002106BC"/>
    <w:rsid w:val="00210B37"/>
    <w:rsid w:val="00210C61"/>
    <w:rsid w:val="00210FCF"/>
    <w:rsid w:val="0021148A"/>
    <w:rsid w:val="00212558"/>
    <w:rsid w:val="00212868"/>
    <w:rsid w:val="002130F9"/>
    <w:rsid w:val="002131A0"/>
    <w:rsid w:val="00214083"/>
    <w:rsid w:val="00214555"/>
    <w:rsid w:val="00214A11"/>
    <w:rsid w:val="00214B20"/>
    <w:rsid w:val="00214BC6"/>
    <w:rsid w:val="00214EE0"/>
    <w:rsid w:val="0021632A"/>
    <w:rsid w:val="00216724"/>
    <w:rsid w:val="002169BD"/>
    <w:rsid w:val="00217705"/>
    <w:rsid w:val="0021798C"/>
    <w:rsid w:val="00217BB5"/>
    <w:rsid w:val="002209CB"/>
    <w:rsid w:val="00220C2A"/>
    <w:rsid w:val="002211D7"/>
    <w:rsid w:val="00221434"/>
    <w:rsid w:val="00221576"/>
    <w:rsid w:val="0022195A"/>
    <w:rsid w:val="00221ABB"/>
    <w:rsid w:val="0022291B"/>
    <w:rsid w:val="00223255"/>
    <w:rsid w:val="00223471"/>
    <w:rsid w:val="00223560"/>
    <w:rsid w:val="002239E1"/>
    <w:rsid w:val="002248AA"/>
    <w:rsid w:val="00225401"/>
    <w:rsid w:val="00225831"/>
    <w:rsid w:val="0022598A"/>
    <w:rsid w:val="0022598E"/>
    <w:rsid w:val="00226A38"/>
    <w:rsid w:val="00226A91"/>
    <w:rsid w:val="00226F77"/>
    <w:rsid w:val="00226FC1"/>
    <w:rsid w:val="0022729A"/>
    <w:rsid w:val="00227E32"/>
    <w:rsid w:val="00230B1A"/>
    <w:rsid w:val="00231010"/>
    <w:rsid w:val="00231B6A"/>
    <w:rsid w:val="00231C91"/>
    <w:rsid w:val="00231D61"/>
    <w:rsid w:val="00231F4B"/>
    <w:rsid w:val="00232CEC"/>
    <w:rsid w:val="00232EB5"/>
    <w:rsid w:val="00233132"/>
    <w:rsid w:val="00233516"/>
    <w:rsid w:val="00233D20"/>
    <w:rsid w:val="00233DFD"/>
    <w:rsid w:val="00233ED5"/>
    <w:rsid w:val="0023455C"/>
    <w:rsid w:val="00234B35"/>
    <w:rsid w:val="002352C7"/>
    <w:rsid w:val="00235360"/>
    <w:rsid w:val="00235765"/>
    <w:rsid w:val="00235FE2"/>
    <w:rsid w:val="0023643A"/>
    <w:rsid w:val="00236498"/>
    <w:rsid w:val="00236630"/>
    <w:rsid w:val="002367AA"/>
    <w:rsid w:val="00236E9B"/>
    <w:rsid w:val="00236F7C"/>
    <w:rsid w:val="00237416"/>
    <w:rsid w:val="00237AA7"/>
    <w:rsid w:val="00240676"/>
    <w:rsid w:val="00240BB9"/>
    <w:rsid w:val="00240C71"/>
    <w:rsid w:val="00241994"/>
    <w:rsid w:val="00241D26"/>
    <w:rsid w:val="00241E1A"/>
    <w:rsid w:val="00241EAF"/>
    <w:rsid w:val="00242173"/>
    <w:rsid w:val="00242480"/>
    <w:rsid w:val="00242680"/>
    <w:rsid w:val="00243493"/>
    <w:rsid w:val="00243772"/>
    <w:rsid w:val="002446B4"/>
    <w:rsid w:val="0024551A"/>
    <w:rsid w:val="00245D6D"/>
    <w:rsid w:val="00245E4D"/>
    <w:rsid w:val="00245E57"/>
    <w:rsid w:val="0024602F"/>
    <w:rsid w:val="0024688C"/>
    <w:rsid w:val="00246F20"/>
    <w:rsid w:val="00247493"/>
    <w:rsid w:val="002474A1"/>
    <w:rsid w:val="002479D6"/>
    <w:rsid w:val="00247A5C"/>
    <w:rsid w:val="002501CD"/>
    <w:rsid w:val="0025036D"/>
    <w:rsid w:val="00250392"/>
    <w:rsid w:val="00250C15"/>
    <w:rsid w:val="00250E14"/>
    <w:rsid w:val="00251191"/>
    <w:rsid w:val="00252469"/>
    <w:rsid w:val="00252AE0"/>
    <w:rsid w:val="00252F83"/>
    <w:rsid w:val="00253085"/>
    <w:rsid w:val="002536B9"/>
    <w:rsid w:val="00253E28"/>
    <w:rsid w:val="002546E8"/>
    <w:rsid w:val="00256835"/>
    <w:rsid w:val="00256864"/>
    <w:rsid w:val="00257B17"/>
    <w:rsid w:val="00257FFB"/>
    <w:rsid w:val="002601B9"/>
    <w:rsid w:val="002603E9"/>
    <w:rsid w:val="00260BFA"/>
    <w:rsid w:val="00260CF2"/>
    <w:rsid w:val="00260F8B"/>
    <w:rsid w:val="00261745"/>
    <w:rsid w:val="002629D3"/>
    <w:rsid w:val="00262B6A"/>
    <w:rsid w:val="00264230"/>
    <w:rsid w:val="0026440F"/>
    <w:rsid w:val="002644C1"/>
    <w:rsid w:val="00265AC5"/>
    <w:rsid w:val="00265FF6"/>
    <w:rsid w:val="002668EC"/>
    <w:rsid w:val="00266AD1"/>
    <w:rsid w:val="00266DAD"/>
    <w:rsid w:val="0026728B"/>
    <w:rsid w:val="0027053B"/>
    <w:rsid w:val="00270829"/>
    <w:rsid w:val="00270B32"/>
    <w:rsid w:val="00270B5B"/>
    <w:rsid w:val="00272DE6"/>
    <w:rsid w:val="00273157"/>
    <w:rsid w:val="00273278"/>
    <w:rsid w:val="002742A1"/>
    <w:rsid w:val="002745DA"/>
    <w:rsid w:val="00275599"/>
    <w:rsid w:val="00276190"/>
    <w:rsid w:val="00276BD7"/>
    <w:rsid w:val="002775DA"/>
    <w:rsid w:val="00277830"/>
    <w:rsid w:val="002779D8"/>
    <w:rsid w:val="00277DFA"/>
    <w:rsid w:val="0028123E"/>
    <w:rsid w:val="00281321"/>
    <w:rsid w:val="00281CD3"/>
    <w:rsid w:val="002821D4"/>
    <w:rsid w:val="00282642"/>
    <w:rsid w:val="0028281D"/>
    <w:rsid w:val="00282881"/>
    <w:rsid w:val="00283496"/>
    <w:rsid w:val="002841F7"/>
    <w:rsid w:val="002845C6"/>
    <w:rsid w:val="00284C3F"/>
    <w:rsid w:val="002851B7"/>
    <w:rsid w:val="0028551C"/>
    <w:rsid w:val="00285C1F"/>
    <w:rsid w:val="0028615F"/>
    <w:rsid w:val="00286487"/>
    <w:rsid w:val="0028669B"/>
    <w:rsid w:val="00286F76"/>
    <w:rsid w:val="00290C29"/>
    <w:rsid w:val="00291870"/>
    <w:rsid w:val="0029194F"/>
    <w:rsid w:val="00291DAD"/>
    <w:rsid w:val="00291E72"/>
    <w:rsid w:val="00293371"/>
    <w:rsid w:val="0029403B"/>
    <w:rsid w:val="0029406B"/>
    <w:rsid w:val="00295466"/>
    <w:rsid w:val="00295AF7"/>
    <w:rsid w:val="00296833"/>
    <w:rsid w:val="00297077"/>
    <w:rsid w:val="002970B5"/>
    <w:rsid w:val="00297DDD"/>
    <w:rsid w:val="002A0184"/>
    <w:rsid w:val="002A1432"/>
    <w:rsid w:val="002A150E"/>
    <w:rsid w:val="002A2DE1"/>
    <w:rsid w:val="002A46CA"/>
    <w:rsid w:val="002A4800"/>
    <w:rsid w:val="002A4811"/>
    <w:rsid w:val="002A49D0"/>
    <w:rsid w:val="002A51D1"/>
    <w:rsid w:val="002A568E"/>
    <w:rsid w:val="002A6714"/>
    <w:rsid w:val="002A725C"/>
    <w:rsid w:val="002A7525"/>
    <w:rsid w:val="002B0032"/>
    <w:rsid w:val="002B1758"/>
    <w:rsid w:val="002B20CA"/>
    <w:rsid w:val="002B2135"/>
    <w:rsid w:val="002B2650"/>
    <w:rsid w:val="002B29C1"/>
    <w:rsid w:val="002B2A0D"/>
    <w:rsid w:val="002B335F"/>
    <w:rsid w:val="002B3DFA"/>
    <w:rsid w:val="002B3E70"/>
    <w:rsid w:val="002B40D0"/>
    <w:rsid w:val="002B455C"/>
    <w:rsid w:val="002B5A80"/>
    <w:rsid w:val="002B5D9A"/>
    <w:rsid w:val="002B5E6A"/>
    <w:rsid w:val="002B5E8D"/>
    <w:rsid w:val="002B646B"/>
    <w:rsid w:val="002B64BB"/>
    <w:rsid w:val="002B64F8"/>
    <w:rsid w:val="002B6C72"/>
    <w:rsid w:val="002B759A"/>
    <w:rsid w:val="002B7E51"/>
    <w:rsid w:val="002C0F0C"/>
    <w:rsid w:val="002C1041"/>
    <w:rsid w:val="002C11D6"/>
    <w:rsid w:val="002C13CF"/>
    <w:rsid w:val="002C1C61"/>
    <w:rsid w:val="002C1E53"/>
    <w:rsid w:val="002C2A84"/>
    <w:rsid w:val="002C3857"/>
    <w:rsid w:val="002C3A44"/>
    <w:rsid w:val="002C3F14"/>
    <w:rsid w:val="002C41F0"/>
    <w:rsid w:val="002C5612"/>
    <w:rsid w:val="002C58CF"/>
    <w:rsid w:val="002C5D12"/>
    <w:rsid w:val="002C5F79"/>
    <w:rsid w:val="002C605B"/>
    <w:rsid w:val="002C6AD5"/>
    <w:rsid w:val="002C6B64"/>
    <w:rsid w:val="002C6CFF"/>
    <w:rsid w:val="002C7028"/>
    <w:rsid w:val="002C7BF6"/>
    <w:rsid w:val="002C7E70"/>
    <w:rsid w:val="002D0144"/>
    <w:rsid w:val="002D05A2"/>
    <w:rsid w:val="002D0DEF"/>
    <w:rsid w:val="002D0EC7"/>
    <w:rsid w:val="002D1803"/>
    <w:rsid w:val="002D2859"/>
    <w:rsid w:val="002D2960"/>
    <w:rsid w:val="002D307D"/>
    <w:rsid w:val="002D33E0"/>
    <w:rsid w:val="002D3C85"/>
    <w:rsid w:val="002D3F36"/>
    <w:rsid w:val="002D48B0"/>
    <w:rsid w:val="002D5934"/>
    <w:rsid w:val="002D599A"/>
    <w:rsid w:val="002D5F26"/>
    <w:rsid w:val="002D66C3"/>
    <w:rsid w:val="002D75D5"/>
    <w:rsid w:val="002D771B"/>
    <w:rsid w:val="002D7F59"/>
    <w:rsid w:val="002E089B"/>
    <w:rsid w:val="002E0E0E"/>
    <w:rsid w:val="002E1C0E"/>
    <w:rsid w:val="002E21E3"/>
    <w:rsid w:val="002E29E7"/>
    <w:rsid w:val="002E2AB6"/>
    <w:rsid w:val="002E38B5"/>
    <w:rsid w:val="002E444E"/>
    <w:rsid w:val="002E477D"/>
    <w:rsid w:val="002E4977"/>
    <w:rsid w:val="002E4DFE"/>
    <w:rsid w:val="002E4FD0"/>
    <w:rsid w:val="002E64EC"/>
    <w:rsid w:val="002E6680"/>
    <w:rsid w:val="002E70B4"/>
    <w:rsid w:val="002E78ED"/>
    <w:rsid w:val="002F046B"/>
    <w:rsid w:val="002F06CD"/>
    <w:rsid w:val="002F0E45"/>
    <w:rsid w:val="002F1089"/>
    <w:rsid w:val="002F1C53"/>
    <w:rsid w:val="002F25D5"/>
    <w:rsid w:val="002F25F5"/>
    <w:rsid w:val="002F292E"/>
    <w:rsid w:val="002F2990"/>
    <w:rsid w:val="002F2ACD"/>
    <w:rsid w:val="002F2C30"/>
    <w:rsid w:val="002F30DA"/>
    <w:rsid w:val="002F35E2"/>
    <w:rsid w:val="002F3C9C"/>
    <w:rsid w:val="002F3CAE"/>
    <w:rsid w:val="002F3DAD"/>
    <w:rsid w:val="002F3FEE"/>
    <w:rsid w:val="002F4AA1"/>
    <w:rsid w:val="002F55B9"/>
    <w:rsid w:val="002F5C8A"/>
    <w:rsid w:val="002F63D0"/>
    <w:rsid w:val="002F65B6"/>
    <w:rsid w:val="002F6C5D"/>
    <w:rsid w:val="002F6DDC"/>
    <w:rsid w:val="002F7D03"/>
    <w:rsid w:val="0030103F"/>
    <w:rsid w:val="00301BEE"/>
    <w:rsid w:val="00302E22"/>
    <w:rsid w:val="00303BAC"/>
    <w:rsid w:val="00303CEB"/>
    <w:rsid w:val="00303ECC"/>
    <w:rsid w:val="0030406D"/>
    <w:rsid w:val="003040AC"/>
    <w:rsid w:val="00304659"/>
    <w:rsid w:val="003049B9"/>
    <w:rsid w:val="00304CAD"/>
    <w:rsid w:val="00304FB3"/>
    <w:rsid w:val="003053E2"/>
    <w:rsid w:val="00305C7A"/>
    <w:rsid w:val="0030772A"/>
    <w:rsid w:val="00310F9F"/>
    <w:rsid w:val="00312F4F"/>
    <w:rsid w:val="003148E2"/>
    <w:rsid w:val="003155DF"/>
    <w:rsid w:val="00315984"/>
    <w:rsid w:val="00316052"/>
    <w:rsid w:val="00316276"/>
    <w:rsid w:val="00316EC1"/>
    <w:rsid w:val="003171D8"/>
    <w:rsid w:val="00317C42"/>
    <w:rsid w:val="00321081"/>
    <w:rsid w:val="0032112F"/>
    <w:rsid w:val="0032178A"/>
    <w:rsid w:val="0032206B"/>
    <w:rsid w:val="00322138"/>
    <w:rsid w:val="003225AA"/>
    <w:rsid w:val="003225F6"/>
    <w:rsid w:val="003233AF"/>
    <w:rsid w:val="00323DD9"/>
    <w:rsid w:val="00323E40"/>
    <w:rsid w:val="00323F11"/>
    <w:rsid w:val="00325C93"/>
    <w:rsid w:val="00326D94"/>
    <w:rsid w:val="003270A8"/>
    <w:rsid w:val="003278BE"/>
    <w:rsid w:val="00327AE4"/>
    <w:rsid w:val="00327F2F"/>
    <w:rsid w:val="003304BB"/>
    <w:rsid w:val="003312B4"/>
    <w:rsid w:val="003316C8"/>
    <w:rsid w:val="00332010"/>
    <w:rsid w:val="00332500"/>
    <w:rsid w:val="003345AC"/>
    <w:rsid w:val="00334B87"/>
    <w:rsid w:val="0033534F"/>
    <w:rsid w:val="0033566F"/>
    <w:rsid w:val="00335E2F"/>
    <w:rsid w:val="0033709E"/>
    <w:rsid w:val="003375BA"/>
    <w:rsid w:val="00337671"/>
    <w:rsid w:val="00337682"/>
    <w:rsid w:val="003404B8"/>
    <w:rsid w:val="003405B9"/>
    <w:rsid w:val="00340B9C"/>
    <w:rsid w:val="003411FF"/>
    <w:rsid w:val="00341808"/>
    <w:rsid w:val="0034346D"/>
    <w:rsid w:val="00343540"/>
    <w:rsid w:val="00343908"/>
    <w:rsid w:val="00343B44"/>
    <w:rsid w:val="003443E6"/>
    <w:rsid w:val="00344652"/>
    <w:rsid w:val="0034510E"/>
    <w:rsid w:val="0034660F"/>
    <w:rsid w:val="00346B0B"/>
    <w:rsid w:val="00346F2F"/>
    <w:rsid w:val="003472C1"/>
    <w:rsid w:val="003502A0"/>
    <w:rsid w:val="00350BD6"/>
    <w:rsid w:val="00351794"/>
    <w:rsid w:val="003519D9"/>
    <w:rsid w:val="0035355E"/>
    <w:rsid w:val="003536A6"/>
    <w:rsid w:val="003536D5"/>
    <w:rsid w:val="003541D1"/>
    <w:rsid w:val="003542B0"/>
    <w:rsid w:val="0035501A"/>
    <w:rsid w:val="003558E3"/>
    <w:rsid w:val="00356259"/>
    <w:rsid w:val="00356CD5"/>
    <w:rsid w:val="00356F91"/>
    <w:rsid w:val="0035715B"/>
    <w:rsid w:val="003579AB"/>
    <w:rsid w:val="00357A42"/>
    <w:rsid w:val="0036029D"/>
    <w:rsid w:val="00360528"/>
    <w:rsid w:val="00360890"/>
    <w:rsid w:val="00360B91"/>
    <w:rsid w:val="003612A4"/>
    <w:rsid w:val="003615C2"/>
    <w:rsid w:val="0036166B"/>
    <w:rsid w:val="00361E0D"/>
    <w:rsid w:val="00362105"/>
    <w:rsid w:val="00362314"/>
    <w:rsid w:val="00362829"/>
    <w:rsid w:val="003629D1"/>
    <w:rsid w:val="00362F7E"/>
    <w:rsid w:val="0036307A"/>
    <w:rsid w:val="0036313C"/>
    <w:rsid w:val="00363DC2"/>
    <w:rsid w:val="00364EAF"/>
    <w:rsid w:val="00365321"/>
    <w:rsid w:val="00365A5C"/>
    <w:rsid w:val="00365F3F"/>
    <w:rsid w:val="003669C2"/>
    <w:rsid w:val="003677E4"/>
    <w:rsid w:val="00367A86"/>
    <w:rsid w:val="00370604"/>
    <w:rsid w:val="00370EA2"/>
    <w:rsid w:val="00371CAB"/>
    <w:rsid w:val="003720ED"/>
    <w:rsid w:val="00372200"/>
    <w:rsid w:val="003735C6"/>
    <w:rsid w:val="003736CE"/>
    <w:rsid w:val="00373EA4"/>
    <w:rsid w:val="00374407"/>
    <w:rsid w:val="00374914"/>
    <w:rsid w:val="00374B1F"/>
    <w:rsid w:val="00374D59"/>
    <w:rsid w:val="00374DC6"/>
    <w:rsid w:val="00374E68"/>
    <w:rsid w:val="003750C3"/>
    <w:rsid w:val="00375726"/>
    <w:rsid w:val="0037576B"/>
    <w:rsid w:val="00376618"/>
    <w:rsid w:val="00376CD4"/>
    <w:rsid w:val="00377438"/>
    <w:rsid w:val="00380FE4"/>
    <w:rsid w:val="003820EE"/>
    <w:rsid w:val="0038256D"/>
    <w:rsid w:val="00383602"/>
    <w:rsid w:val="00383C70"/>
    <w:rsid w:val="00384797"/>
    <w:rsid w:val="003849EB"/>
    <w:rsid w:val="00384D18"/>
    <w:rsid w:val="0038533F"/>
    <w:rsid w:val="00386E5C"/>
    <w:rsid w:val="0038720A"/>
    <w:rsid w:val="00387602"/>
    <w:rsid w:val="00387A6A"/>
    <w:rsid w:val="00391A0D"/>
    <w:rsid w:val="00391DD4"/>
    <w:rsid w:val="003923A2"/>
    <w:rsid w:val="00392AD8"/>
    <w:rsid w:val="00394632"/>
    <w:rsid w:val="003947C1"/>
    <w:rsid w:val="00394AC9"/>
    <w:rsid w:val="00395167"/>
    <w:rsid w:val="0039548A"/>
    <w:rsid w:val="00396C3C"/>
    <w:rsid w:val="00397320"/>
    <w:rsid w:val="003979EF"/>
    <w:rsid w:val="00397A86"/>
    <w:rsid w:val="00397E92"/>
    <w:rsid w:val="003A0162"/>
    <w:rsid w:val="003A06DF"/>
    <w:rsid w:val="003A099B"/>
    <w:rsid w:val="003A0CFF"/>
    <w:rsid w:val="003A0D9D"/>
    <w:rsid w:val="003A0E8B"/>
    <w:rsid w:val="003A1BB5"/>
    <w:rsid w:val="003A1D5A"/>
    <w:rsid w:val="003A23E9"/>
    <w:rsid w:val="003A251E"/>
    <w:rsid w:val="003A2B7B"/>
    <w:rsid w:val="003A33E3"/>
    <w:rsid w:val="003A33E9"/>
    <w:rsid w:val="003A35CE"/>
    <w:rsid w:val="003A35F9"/>
    <w:rsid w:val="003A4057"/>
    <w:rsid w:val="003A4FD6"/>
    <w:rsid w:val="003A5810"/>
    <w:rsid w:val="003A58AA"/>
    <w:rsid w:val="003A601B"/>
    <w:rsid w:val="003A6675"/>
    <w:rsid w:val="003A66E5"/>
    <w:rsid w:val="003A6ED8"/>
    <w:rsid w:val="003A71D9"/>
    <w:rsid w:val="003A743D"/>
    <w:rsid w:val="003A7567"/>
    <w:rsid w:val="003A7C39"/>
    <w:rsid w:val="003B2028"/>
    <w:rsid w:val="003B21AF"/>
    <w:rsid w:val="003B27A7"/>
    <w:rsid w:val="003B2A27"/>
    <w:rsid w:val="003B2F70"/>
    <w:rsid w:val="003B3542"/>
    <w:rsid w:val="003B35F5"/>
    <w:rsid w:val="003B440E"/>
    <w:rsid w:val="003B5988"/>
    <w:rsid w:val="003B5B47"/>
    <w:rsid w:val="003B6A1B"/>
    <w:rsid w:val="003B744C"/>
    <w:rsid w:val="003B7ED4"/>
    <w:rsid w:val="003B7F45"/>
    <w:rsid w:val="003C0045"/>
    <w:rsid w:val="003C0241"/>
    <w:rsid w:val="003C0938"/>
    <w:rsid w:val="003C1177"/>
    <w:rsid w:val="003C1A61"/>
    <w:rsid w:val="003C1A7F"/>
    <w:rsid w:val="003C1D9F"/>
    <w:rsid w:val="003C2016"/>
    <w:rsid w:val="003C2746"/>
    <w:rsid w:val="003C27F9"/>
    <w:rsid w:val="003C365D"/>
    <w:rsid w:val="003C3911"/>
    <w:rsid w:val="003C509F"/>
    <w:rsid w:val="003C5804"/>
    <w:rsid w:val="003C6583"/>
    <w:rsid w:val="003C6E25"/>
    <w:rsid w:val="003C71C8"/>
    <w:rsid w:val="003D019E"/>
    <w:rsid w:val="003D1747"/>
    <w:rsid w:val="003D19D5"/>
    <w:rsid w:val="003D2966"/>
    <w:rsid w:val="003D2D26"/>
    <w:rsid w:val="003D2D27"/>
    <w:rsid w:val="003D3941"/>
    <w:rsid w:val="003D41F3"/>
    <w:rsid w:val="003D46E5"/>
    <w:rsid w:val="003D48D4"/>
    <w:rsid w:val="003D55EC"/>
    <w:rsid w:val="003D5665"/>
    <w:rsid w:val="003D6FF6"/>
    <w:rsid w:val="003D7101"/>
    <w:rsid w:val="003D77A2"/>
    <w:rsid w:val="003D7B7E"/>
    <w:rsid w:val="003D7E84"/>
    <w:rsid w:val="003E07CF"/>
    <w:rsid w:val="003E093F"/>
    <w:rsid w:val="003E16A9"/>
    <w:rsid w:val="003E1C44"/>
    <w:rsid w:val="003E2BBE"/>
    <w:rsid w:val="003E2CE5"/>
    <w:rsid w:val="003E3935"/>
    <w:rsid w:val="003E4352"/>
    <w:rsid w:val="003E44BE"/>
    <w:rsid w:val="003E4D08"/>
    <w:rsid w:val="003E552E"/>
    <w:rsid w:val="003E5FE9"/>
    <w:rsid w:val="003E65C9"/>
    <w:rsid w:val="003E68F0"/>
    <w:rsid w:val="003E6BA0"/>
    <w:rsid w:val="003E7513"/>
    <w:rsid w:val="003E7680"/>
    <w:rsid w:val="003F02B2"/>
    <w:rsid w:val="003F1D51"/>
    <w:rsid w:val="003F256B"/>
    <w:rsid w:val="003F27AD"/>
    <w:rsid w:val="003F2C9C"/>
    <w:rsid w:val="003F401C"/>
    <w:rsid w:val="003F45C7"/>
    <w:rsid w:val="003F4890"/>
    <w:rsid w:val="003F4BE1"/>
    <w:rsid w:val="003F5584"/>
    <w:rsid w:val="003F64ED"/>
    <w:rsid w:val="003F6979"/>
    <w:rsid w:val="003F6C29"/>
    <w:rsid w:val="003F6E3D"/>
    <w:rsid w:val="003F7881"/>
    <w:rsid w:val="003F7B8E"/>
    <w:rsid w:val="0040042A"/>
    <w:rsid w:val="00400656"/>
    <w:rsid w:val="0040092E"/>
    <w:rsid w:val="00400954"/>
    <w:rsid w:val="00400EAA"/>
    <w:rsid w:val="00401EA2"/>
    <w:rsid w:val="00401EDF"/>
    <w:rsid w:val="00402582"/>
    <w:rsid w:val="004027D4"/>
    <w:rsid w:val="00402AEB"/>
    <w:rsid w:val="00403525"/>
    <w:rsid w:val="004039F0"/>
    <w:rsid w:val="00403CC0"/>
    <w:rsid w:val="0040415B"/>
    <w:rsid w:val="00404336"/>
    <w:rsid w:val="00404EB6"/>
    <w:rsid w:val="00406460"/>
    <w:rsid w:val="00406A38"/>
    <w:rsid w:val="00406F0A"/>
    <w:rsid w:val="00407067"/>
    <w:rsid w:val="0040760F"/>
    <w:rsid w:val="00407AD9"/>
    <w:rsid w:val="0041065C"/>
    <w:rsid w:val="004106D1"/>
    <w:rsid w:val="00410D83"/>
    <w:rsid w:val="00410E2B"/>
    <w:rsid w:val="00411683"/>
    <w:rsid w:val="00411F3B"/>
    <w:rsid w:val="00411FCD"/>
    <w:rsid w:val="004123E7"/>
    <w:rsid w:val="00412639"/>
    <w:rsid w:val="004127CC"/>
    <w:rsid w:val="004139A7"/>
    <w:rsid w:val="00413FE9"/>
    <w:rsid w:val="00414859"/>
    <w:rsid w:val="00415074"/>
    <w:rsid w:val="00415285"/>
    <w:rsid w:val="004163B4"/>
    <w:rsid w:val="0041736D"/>
    <w:rsid w:val="00417592"/>
    <w:rsid w:val="004176B8"/>
    <w:rsid w:val="00417AAF"/>
    <w:rsid w:val="0042003A"/>
    <w:rsid w:val="0042127A"/>
    <w:rsid w:val="00421283"/>
    <w:rsid w:val="004216A9"/>
    <w:rsid w:val="00422021"/>
    <w:rsid w:val="0042211C"/>
    <w:rsid w:val="00422153"/>
    <w:rsid w:val="004225CE"/>
    <w:rsid w:val="00423EDA"/>
    <w:rsid w:val="00424278"/>
    <w:rsid w:val="00424362"/>
    <w:rsid w:val="0042495A"/>
    <w:rsid w:val="00424AD4"/>
    <w:rsid w:val="00424E0C"/>
    <w:rsid w:val="004251A9"/>
    <w:rsid w:val="00425BA8"/>
    <w:rsid w:val="00425F1A"/>
    <w:rsid w:val="00425FA9"/>
    <w:rsid w:val="0042622D"/>
    <w:rsid w:val="00426EF4"/>
    <w:rsid w:val="00427E7B"/>
    <w:rsid w:val="004304EA"/>
    <w:rsid w:val="00430E95"/>
    <w:rsid w:val="00432C91"/>
    <w:rsid w:val="0043426C"/>
    <w:rsid w:val="00434456"/>
    <w:rsid w:val="00435509"/>
    <w:rsid w:val="00436025"/>
    <w:rsid w:val="00436C63"/>
    <w:rsid w:val="00437493"/>
    <w:rsid w:val="00437540"/>
    <w:rsid w:val="0043756A"/>
    <w:rsid w:val="004375F7"/>
    <w:rsid w:val="00437975"/>
    <w:rsid w:val="00437B7B"/>
    <w:rsid w:val="00437E4E"/>
    <w:rsid w:val="004405FF"/>
    <w:rsid w:val="00440839"/>
    <w:rsid w:val="004408EA"/>
    <w:rsid w:val="0044099E"/>
    <w:rsid w:val="00440A58"/>
    <w:rsid w:val="00440EC2"/>
    <w:rsid w:val="00440FB6"/>
    <w:rsid w:val="00441DB9"/>
    <w:rsid w:val="00442078"/>
    <w:rsid w:val="00442323"/>
    <w:rsid w:val="004428D8"/>
    <w:rsid w:val="00442BE7"/>
    <w:rsid w:val="004432C6"/>
    <w:rsid w:val="00443810"/>
    <w:rsid w:val="00443ABE"/>
    <w:rsid w:val="00443CA4"/>
    <w:rsid w:val="0044469A"/>
    <w:rsid w:val="00444DC2"/>
    <w:rsid w:val="00445515"/>
    <w:rsid w:val="00445817"/>
    <w:rsid w:val="00445E18"/>
    <w:rsid w:val="00445EF6"/>
    <w:rsid w:val="004463E4"/>
    <w:rsid w:val="004464FA"/>
    <w:rsid w:val="00446989"/>
    <w:rsid w:val="00447335"/>
    <w:rsid w:val="00447358"/>
    <w:rsid w:val="004473C8"/>
    <w:rsid w:val="00447642"/>
    <w:rsid w:val="004477F4"/>
    <w:rsid w:val="00447BCE"/>
    <w:rsid w:val="00447E21"/>
    <w:rsid w:val="00450EA5"/>
    <w:rsid w:val="00450F89"/>
    <w:rsid w:val="00451B4F"/>
    <w:rsid w:val="00451DF3"/>
    <w:rsid w:val="00452170"/>
    <w:rsid w:val="0045270C"/>
    <w:rsid w:val="00452AA8"/>
    <w:rsid w:val="00452DC4"/>
    <w:rsid w:val="0045306C"/>
    <w:rsid w:val="00453806"/>
    <w:rsid w:val="00453834"/>
    <w:rsid w:val="0045383D"/>
    <w:rsid w:val="00453A60"/>
    <w:rsid w:val="0045425B"/>
    <w:rsid w:val="004543BF"/>
    <w:rsid w:val="004543CC"/>
    <w:rsid w:val="0045495E"/>
    <w:rsid w:val="00455035"/>
    <w:rsid w:val="004556DF"/>
    <w:rsid w:val="0045617D"/>
    <w:rsid w:val="004561BE"/>
    <w:rsid w:val="0045670D"/>
    <w:rsid w:val="00456C63"/>
    <w:rsid w:val="00457472"/>
    <w:rsid w:val="00460D39"/>
    <w:rsid w:val="00460ED6"/>
    <w:rsid w:val="00460FE0"/>
    <w:rsid w:val="004612BD"/>
    <w:rsid w:val="004614BE"/>
    <w:rsid w:val="00461752"/>
    <w:rsid w:val="00461FC1"/>
    <w:rsid w:val="0046222A"/>
    <w:rsid w:val="004632E6"/>
    <w:rsid w:val="0046332B"/>
    <w:rsid w:val="00463530"/>
    <w:rsid w:val="00463BCC"/>
    <w:rsid w:val="00463E49"/>
    <w:rsid w:val="00463F25"/>
    <w:rsid w:val="0046458D"/>
    <w:rsid w:val="00464827"/>
    <w:rsid w:val="00465A6A"/>
    <w:rsid w:val="00465D15"/>
    <w:rsid w:val="00466278"/>
    <w:rsid w:val="00466F89"/>
    <w:rsid w:val="00467253"/>
    <w:rsid w:val="0047035C"/>
    <w:rsid w:val="0047129B"/>
    <w:rsid w:val="004721EF"/>
    <w:rsid w:val="00472279"/>
    <w:rsid w:val="004726C3"/>
    <w:rsid w:val="0047285A"/>
    <w:rsid w:val="004728EC"/>
    <w:rsid w:val="00472AC0"/>
    <w:rsid w:val="004733BB"/>
    <w:rsid w:val="00473A57"/>
    <w:rsid w:val="004756C9"/>
    <w:rsid w:val="00475F31"/>
    <w:rsid w:val="0047643F"/>
    <w:rsid w:val="00476A6E"/>
    <w:rsid w:val="004777AE"/>
    <w:rsid w:val="004779B5"/>
    <w:rsid w:val="00477BD6"/>
    <w:rsid w:val="004802AB"/>
    <w:rsid w:val="00480AFD"/>
    <w:rsid w:val="004823BF"/>
    <w:rsid w:val="004825C6"/>
    <w:rsid w:val="0048261D"/>
    <w:rsid w:val="004832CE"/>
    <w:rsid w:val="004837AB"/>
    <w:rsid w:val="00483B09"/>
    <w:rsid w:val="00483C82"/>
    <w:rsid w:val="00483F8A"/>
    <w:rsid w:val="00484D4E"/>
    <w:rsid w:val="0048532F"/>
    <w:rsid w:val="004855AC"/>
    <w:rsid w:val="00485E89"/>
    <w:rsid w:val="00487725"/>
    <w:rsid w:val="00487AEB"/>
    <w:rsid w:val="00487DBC"/>
    <w:rsid w:val="00491387"/>
    <w:rsid w:val="004922B6"/>
    <w:rsid w:val="0049409F"/>
    <w:rsid w:val="004949B2"/>
    <w:rsid w:val="0049553E"/>
    <w:rsid w:val="00495DED"/>
    <w:rsid w:val="004962D8"/>
    <w:rsid w:val="00496650"/>
    <w:rsid w:val="00496A04"/>
    <w:rsid w:val="00496BE8"/>
    <w:rsid w:val="00497B9B"/>
    <w:rsid w:val="00497BD1"/>
    <w:rsid w:val="00497CBE"/>
    <w:rsid w:val="00497D7B"/>
    <w:rsid w:val="004A006B"/>
    <w:rsid w:val="004A085E"/>
    <w:rsid w:val="004A1732"/>
    <w:rsid w:val="004A1920"/>
    <w:rsid w:val="004A2055"/>
    <w:rsid w:val="004A289F"/>
    <w:rsid w:val="004A303C"/>
    <w:rsid w:val="004A3942"/>
    <w:rsid w:val="004A41D5"/>
    <w:rsid w:val="004A455D"/>
    <w:rsid w:val="004A4E6C"/>
    <w:rsid w:val="004A5AC1"/>
    <w:rsid w:val="004A5D27"/>
    <w:rsid w:val="004A60A4"/>
    <w:rsid w:val="004A60DF"/>
    <w:rsid w:val="004A68D0"/>
    <w:rsid w:val="004A7394"/>
    <w:rsid w:val="004B0DBD"/>
    <w:rsid w:val="004B1FE9"/>
    <w:rsid w:val="004B232E"/>
    <w:rsid w:val="004B2405"/>
    <w:rsid w:val="004B2D65"/>
    <w:rsid w:val="004B3521"/>
    <w:rsid w:val="004B3557"/>
    <w:rsid w:val="004B385F"/>
    <w:rsid w:val="004B4C51"/>
    <w:rsid w:val="004B4E58"/>
    <w:rsid w:val="004B4ED5"/>
    <w:rsid w:val="004B5FCF"/>
    <w:rsid w:val="004B6222"/>
    <w:rsid w:val="004B6226"/>
    <w:rsid w:val="004B7C54"/>
    <w:rsid w:val="004C057D"/>
    <w:rsid w:val="004C0A2D"/>
    <w:rsid w:val="004C0B9C"/>
    <w:rsid w:val="004C14EB"/>
    <w:rsid w:val="004C18A6"/>
    <w:rsid w:val="004C242C"/>
    <w:rsid w:val="004C2881"/>
    <w:rsid w:val="004C2A4E"/>
    <w:rsid w:val="004C2C1C"/>
    <w:rsid w:val="004C3F69"/>
    <w:rsid w:val="004C43EB"/>
    <w:rsid w:val="004C465E"/>
    <w:rsid w:val="004C4A5A"/>
    <w:rsid w:val="004C4AFE"/>
    <w:rsid w:val="004C5595"/>
    <w:rsid w:val="004C6180"/>
    <w:rsid w:val="004C6D39"/>
    <w:rsid w:val="004D014F"/>
    <w:rsid w:val="004D07DB"/>
    <w:rsid w:val="004D0D3F"/>
    <w:rsid w:val="004D1F78"/>
    <w:rsid w:val="004D26F2"/>
    <w:rsid w:val="004D2CB9"/>
    <w:rsid w:val="004D5B1B"/>
    <w:rsid w:val="004D6813"/>
    <w:rsid w:val="004D6AB2"/>
    <w:rsid w:val="004D7597"/>
    <w:rsid w:val="004D7867"/>
    <w:rsid w:val="004D7897"/>
    <w:rsid w:val="004E00AB"/>
    <w:rsid w:val="004E1594"/>
    <w:rsid w:val="004E1AD5"/>
    <w:rsid w:val="004E1B75"/>
    <w:rsid w:val="004E3019"/>
    <w:rsid w:val="004E37D6"/>
    <w:rsid w:val="004E37E9"/>
    <w:rsid w:val="004E4ABB"/>
    <w:rsid w:val="004E4CD7"/>
    <w:rsid w:val="004E5738"/>
    <w:rsid w:val="004E6D56"/>
    <w:rsid w:val="004E7530"/>
    <w:rsid w:val="004E7640"/>
    <w:rsid w:val="004E79CD"/>
    <w:rsid w:val="004E7C20"/>
    <w:rsid w:val="004F0EAB"/>
    <w:rsid w:val="004F112A"/>
    <w:rsid w:val="004F1237"/>
    <w:rsid w:val="004F12B0"/>
    <w:rsid w:val="004F2B51"/>
    <w:rsid w:val="004F3397"/>
    <w:rsid w:val="004F3D53"/>
    <w:rsid w:val="004F3F9F"/>
    <w:rsid w:val="004F4692"/>
    <w:rsid w:val="004F59D2"/>
    <w:rsid w:val="004F5F76"/>
    <w:rsid w:val="004F6013"/>
    <w:rsid w:val="004F68A9"/>
    <w:rsid w:val="005008C8"/>
    <w:rsid w:val="00500AC8"/>
    <w:rsid w:val="00500CEF"/>
    <w:rsid w:val="00500D8F"/>
    <w:rsid w:val="00502C2B"/>
    <w:rsid w:val="00503B34"/>
    <w:rsid w:val="00504667"/>
    <w:rsid w:val="00504F64"/>
    <w:rsid w:val="00505E68"/>
    <w:rsid w:val="00506028"/>
    <w:rsid w:val="00506220"/>
    <w:rsid w:val="00507B6B"/>
    <w:rsid w:val="00510B1E"/>
    <w:rsid w:val="00511BCC"/>
    <w:rsid w:val="00511C3F"/>
    <w:rsid w:val="00511CEB"/>
    <w:rsid w:val="005124A7"/>
    <w:rsid w:val="0051270C"/>
    <w:rsid w:val="00513043"/>
    <w:rsid w:val="005137D4"/>
    <w:rsid w:val="005141CD"/>
    <w:rsid w:val="00514519"/>
    <w:rsid w:val="0051459B"/>
    <w:rsid w:val="005147E2"/>
    <w:rsid w:val="00514DD7"/>
    <w:rsid w:val="005154D7"/>
    <w:rsid w:val="00515706"/>
    <w:rsid w:val="00515C04"/>
    <w:rsid w:val="00516063"/>
    <w:rsid w:val="00516D95"/>
    <w:rsid w:val="00517FBB"/>
    <w:rsid w:val="0052055D"/>
    <w:rsid w:val="0052058E"/>
    <w:rsid w:val="00520A61"/>
    <w:rsid w:val="00520E71"/>
    <w:rsid w:val="005212B1"/>
    <w:rsid w:val="00521331"/>
    <w:rsid w:val="00521850"/>
    <w:rsid w:val="005218B7"/>
    <w:rsid w:val="005219C2"/>
    <w:rsid w:val="00522AB3"/>
    <w:rsid w:val="005234E4"/>
    <w:rsid w:val="00523654"/>
    <w:rsid w:val="00523695"/>
    <w:rsid w:val="00524751"/>
    <w:rsid w:val="00525855"/>
    <w:rsid w:val="00525A67"/>
    <w:rsid w:val="00527A13"/>
    <w:rsid w:val="00530D0A"/>
    <w:rsid w:val="0053112A"/>
    <w:rsid w:val="00531C98"/>
    <w:rsid w:val="005322E1"/>
    <w:rsid w:val="00533845"/>
    <w:rsid w:val="0053396F"/>
    <w:rsid w:val="00534EF5"/>
    <w:rsid w:val="00536990"/>
    <w:rsid w:val="00536F46"/>
    <w:rsid w:val="00537D74"/>
    <w:rsid w:val="00540CFD"/>
    <w:rsid w:val="00540ED9"/>
    <w:rsid w:val="0054114B"/>
    <w:rsid w:val="00541630"/>
    <w:rsid w:val="005421B6"/>
    <w:rsid w:val="005421B9"/>
    <w:rsid w:val="0054229B"/>
    <w:rsid w:val="00542457"/>
    <w:rsid w:val="0054254F"/>
    <w:rsid w:val="00543098"/>
    <w:rsid w:val="0054323E"/>
    <w:rsid w:val="00543600"/>
    <w:rsid w:val="0054383D"/>
    <w:rsid w:val="005456A4"/>
    <w:rsid w:val="00545862"/>
    <w:rsid w:val="005458B0"/>
    <w:rsid w:val="00545916"/>
    <w:rsid w:val="00545EF6"/>
    <w:rsid w:val="0054632E"/>
    <w:rsid w:val="0054675A"/>
    <w:rsid w:val="00546F5B"/>
    <w:rsid w:val="005473E7"/>
    <w:rsid w:val="00550437"/>
    <w:rsid w:val="005504FA"/>
    <w:rsid w:val="00551721"/>
    <w:rsid w:val="00551D96"/>
    <w:rsid w:val="00553314"/>
    <w:rsid w:val="005540B9"/>
    <w:rsid w:val="005548BD"/>
    <w:rsid w:val="00554E84"/>
    <w:rsid w:val="00555582"/>
    <w:rsid w:val="00555707"/>
    <w:rsid w:val="005557A1"/>
    <w:rsid w:val="00556789"/>
    <w:rsid w:val="005568EE"/>
    <w:rsid w:val="00556A19"/>
    <w:rsid w:val="00556FA6"/>
    <w:rsid w:val="005574A6"/>
    <w:rsid w:val="00557784"/>
    <w:rsid w:val="00557888"/>
    <w:rsid w:val="005604B7"/>
    <w:rsid w:val="00560744"/>
    <w:rsid w:val="00560C9E"/>
    <w:rsid w:val="0056168A"/>
    <w:rsid w:val="005619A3"/>
    <w:rsid w:val="00562116"/>
    <w:rsid w:val="00562CAB"/>
    <w:rsid w:val="0056303D"/>
    <w:rsid w:val="005632C4"/>
    <w:rsid w:val="00564B00"/>
    <w:rsid w:val="00564FCF"/>
    <w:rsid w:val="00565755"/>
    <w:rsid w:val="00565786"/>
    <w:rsid w:val="00565F33"/>
    <w:rsid w:val="0056678A"/>
    <w:rsid w:val="0056698F"/>
    <w:rsid w:val="00566B43"/>
    <w:rsid w:val="00567885"/>
    <w:rsid w:val="005705B2"/>
    <w:rsid w:val="00570845"/>
    <w:rsid w:val="00570F82"/>
    <w:rsid w:val="005715E6"/>
    <w:rsid w:val="00571DBF"/>
    <w:rsid w:val="00572022"/>
    <w:rsid w:val="0057205D"/>
    <w:rsid w:val="00572258"/>
    <w:rsid w:val="005723EE"/>
    <w:rsid w:val="005727D4"/>
    <w:rsid w:val="00572AEC"/>
    <w:rsid w:val="00572B25"/>
    <w:rsid w:val="00572B38"/>
    <w:rsid w:val="005730EE"/>
    <w:rsid w:val="005734B7"/>
    <w:rsid w:val="005746A0"/>
    <w:rsid w:val="00574786"/>
    <w:rsid w:val="005749A7"/>
    <w:rsid w:val="00574B33"/>
    <w:rsid w:val="00574C62"/>
    <w:rsid w:val="00574FA8"/>
    <w:rsid w:val="0057502B"/>
    <w:rsid w:val="005755A2"/>
    <w:rsid w:val="005756BD"/>
    <w:rsid w:val="005759D8"/>
    <w:rsid w:val="00577799"/>
    <w:rsid w:val="00580437"/>
    <w:rsid w:val="00580558"/>
    <w:rsid w:val="00581162"/>
    <w:rsid w:val="00581270"/>
    <w:rsid w:val="005817ED"/>
    <w:rsid w:val="00582808"/>
    <w:rsid w:val="00582DC0"/>
    <w:rsid w:val="005835C3"/>
    <w:rsid w:val="0058375A"/>
    <w:rsid w:val="00584D91"/>
    <w:rsid w:val="0058596B"/>
    <w:rsid w:val="00585BDB"/>
    <w:rsid w:val="00585F96"/>
    <w:rsid w:val="00586566"/>
    <w:rsid w:val="00586E36"/>
    <w:rsid w:val="00586FFC"/>
    <w:rsid w:val="005876A0"/>
    <w:rsid w:val="005901AE"/>
    <w:rsid w:val="0059023B"/>
    <w:rsid w:val="00590345"/>
    <w:rsid w:val="00590A30"/>
    <w:rsid w:val="00592472"/>
    <w:rsid w:val="00592742"/>
    <w:rsid w:val="00592B8E"/>
    <w:rsid w:val="005935D4"/>
    <w:rsid w:val="00593E48"/>
    <w:rsid w:val="00594960"/>
    <w:rsid w:val="0059541B"/>
    <w:rsid w:val="00595890"/>
    <w:rsid w:val="00595DFB"/>
    <w:rsid w:val="005968B7"/>
    <w:rsid w:val="005975CC"/>
    <w:rsid w:val="005976C1"/>
    <w:rsid w:val="005A0203"/>
    <w:rsid w:val="005A0358"/>
    <w:rsid w:val="005A1203"/>
    <w:rsid w:val="005A14A0"/>
    <w:rsid w:val="005A456B"/>
    <w:rsid w:val="005A490D"/>
    <w:rsid w:val="005A4B47"/>
    <w:rsid w:val="005A5899"/>
    <w:rsid w:val="005A5968"/>
    <w:rsid w:val="005A60D8"/>
    <w:rsid w:val="005A64CD"/>
    <w:rsid w:val="005A6ABF"/>
    <w:rsid w:val="005A6E26"/>
    <w:rsid w:val="005A6FE2"/>
    <w:rsid w:val="005A7100"/>
    <w:rsid w:val="005A7683"/>
    <w:rsid w:val="005A79CC"/>
    <w:rsid w:val="005B073D"/>
    <w:rsid w:val="005B0A6B"/>
    <w:rsid w:val="005B0C40"/>
    <w:rsid w:val="005B121C"/>
    <w:rsid w:val="005B143B"/>
    <w:rsid w:val="005B1580"/>
    <w:rsid w:val="005B1B69"/>
    <w:rsid w:val="005B1F50"/>
    <w:rsid w:val="005B2AF4"/>
    <w:rsid w:val="005B2CE0"/>
    <w:rsid w:val="005B2F32"/>
    <w:rsid w:val="005B4A53"/>
    <w:rsid w:val="005B4AA4"/>
    <w:rsid w:val="005B6123"/>
    <w:rsid w:val="005B6ADF"/>
    <w:rsid w:val="005B7698"/>
    <w:rsid w:val="005B7AA5"/>
    <w:rsid w:val="005C0F88"/>
    <w:rsid w:val="005C2152"/>
    <w:rsid w:val="005C23C5"/>
    <w:rsid w:val="005C4E2D"/>
    <w:rsid w:val="005C5317"/>
    <w:rsid w:val="005C544F"/>
    <w:rsid w:val="005C58BA"/>
    <w:rsid w:val="005C5BCD"/>
    <w:rsid w:val="005C68D5"/>
    <w:rsid w:val="005C78B3"/>
    <w:rsid w:val="005D0F99"/>
    <w:rsid w:val="005D106F"/>
    <w:rsid w:val="005D18B6"/>
    <w:rsid w:val="005D1C88"/>
    <w:rsid w:val="005D244C"/>
    <w:rsid w:val="005D2CAC"/>
    <w:rsid w:val="005D3DEE"/>
    <w:rsid w:val="005D3EE2"/>
    <w:rsid w:val="005D4183"/>
    <w:rsid w:val="005D4977"/>
    <w:rsid w:val="005D4D8A"/>
    <w:rsid w:val="005D5777"/>
    <w:rsid w:val="005D611E"/>
    <w:rsid w:val="005D69C3"/>
    <w:rsid w:val="005D6A75"/>
    <w:rsid w:val="005D6D4C"/>
    <w:rsid w:val="005D7578"/>
    <w:rsid w:val="005D7C86"/>
    <w:rsid w:val="005E0160"/>
    <w:rsid w:val="005E083D"/>
    <w:rsid w:val="005E0FE9"/>
    <w:rsid w:val="005E1011"/>
    <w:rsid w:val="005E1132"/>
    <w:rsid w:val="005E173B"/>
    <w:rsid w:val="005E1C86"/>
    <w:rsid w:val="005E2D46"/>
    <w:rsid w:val="005E2FA8"/>
    <w:rsid w:val="005E3D98"/>
    <w:rsid w:val="005E4042"/>
    <w:rsid w:val="005E627E"/>
    <w:rsid w:val="005E6734"/>
    <w:rsid w:val="005E685D"/>
    <w:rsid w:val="005E6A79"/>
    <w:rsid w:val="005E7287"/>
    <w:rsid w:val="005E747A"/>
    <w:rsid w:val="005E74E7"/>
    <w:rsid w:val="005E79A1"/>
    <w:rsid w:val="005F08FA"/>
    <w:rsid w:val="005F10B8"/>
    <w:rsid w:val="005F1430"/>
    <w:rsid w:val="005F2C82"/>
    <w:rsid w:val="005F383A"/>
    <w:rsid w:val="005F3954"/>
    <w:rsid w:val="005F512B"/>
    <w:rsid w:val="005F5594"/>
    <w:rsid w:val="005F5711"/>
    <w:rsid w:val="005F608E"/>
    <w:rsid w:val="005F60CB"/>
    <w:rsid w:val="00600132"/>
    <w:rsid w:val="0060056E"/>
    <w:rsid w:val="006007D6"/>
    <w:rsid w:val="00601201"/>
    <w:rsid w:val="0060137D"/>
    <w:rsid w:val="006017BB"/>
    <w:rsid w:val="00602F2F"/>
    <w:rsid w:val="00603A61"/>
    <w:rsid w:val="00603B17"/>
    <w:rsid w:val="006045C5"/>
    <w:rsid w:val="00605141"/>
    <w:rsid w:val="006051AF"/>
    <w:rsid w:val="006056AC"/>
    <w:rsid w:val="00605C51"/>
    <w:rsid w:val="00606D6E"/>
    <w:rsid w:val="0061025C"/>
    <w:rsid w:val="0061055D"/>
    <w:rsid w:val="00611B0E"/>
    <w:rsid w:val="00612914"/>
    <w:rsid w:val="00612FE3"/>
    <w:rsid w:val="006132B5"/>
    <w:rsid w:val="00613EF1"/>
    <w:rsid w:val="00614948"/>
    <w:rsid w:val="00614DEA"/>
    <w:rsid w:val="0061544F"/>
    <w:rsid w:val="00617813"/>
    <w:rsid w:val="00617EAE"/>
    <w:rsid w:val="006200EC"/>
    <w:rsid w:val="0062035B"/>
    <w:rsid w:val="00620E4A"/>
    <w:rsid w:val="00621791"/>
    <w:rsid w:val="00621CE5"/>
    <w:rsid w:val="00622ACC"/>
    <w:rsid w:val="00622D42"/>
    <w:rsid w:val="00623154"/>
    <w:rsid w:val="006234E7"/>
    <w:rsid w:val="0062371F"/>
    <w:rsid w:val="00623AE2"/>
    <w:rsid w:val="00623C31"/>
    <w:rsid w:val="00624C32"/>
    <w:rsid w:val="00624CDA"/>
    <w:rsid w:val="00624CE3"/>
    <w:rsid w:val="006251DF"/>
    <w:rsid w:val="006251EF"/>
    <w:rsid w:val="0062576E"/>
    <w:rsid w:val="00625FC5"/>
    <w:rsid w:val="006268EA"/>
    <w:rsid w:val="006269FB"/>
    <w:rsid w:val="006269FF"/>
    <w:rsid w:val="00626EFE"/>
    <w:rsid w:val="00627AE1"/>
    <w:rsid w:val="006303F8"/>
    <w:rsid w:val="006305F5"/>
    <w:rsid w:val="00630A55"/>
    <w:rsid w:val="00630E62"/>
    <w:rsid w:val="00631007"/>
    <w:rsid w:val="0063122B"/>
    <w:rsid w:val="00631DAF"/>
    <w:rsid w:val="00633324"/>
    <w:rsid w:val="00633A90"/>
    <w:rsid w:val="00633FB3"/>
    <w:rsid w:val="0063402C"/>
    <w:rsid w:val="0063422A"/>
    <w:rsid w:val="00634A76"/>
    <w:rsid w:val="00635F13"/>
    <w:rsid w:val="006364A4"/>
    <w:rsid w:val="00636C40"/>
    <w:rsid w:val="00636F5B"/>
    <w:rsid w:val="0063757E"/>
    <w:rsid w:val="00637C7B"/>
    <w:rsid w:val="0064013D"/>
    <w:rsid w:val="00640263"/>
    <w:rsid w:val="00640B54"/>
    <w:rsid w:val="00640C8B"/>
    <w:rsid w:val="00640EE7"/>
    <w:rsid w:val="00641585"/>
    <w:rsid w:val="0064167F"/>
    <w:rsid w:val="006419FF"/>
    <w:rsid w:val="00642357"/>
    <w:rsid w:val="006427FC"/>
    <w:rsid w:val="0064310B"/>
    <w:rsid w:val="0064331E"/>
    <w:rsid w:val="00643D50"/>
    <w:rsid w:val="00643EA4"/>
    <w:rsid w:val="006440A2"/>
    <w:rsid w:val="006446A6"/>
    <w:rsid w:val="006450C2"/>
    <w:rsid w:val="00645213"/>
    <w:rsid w:val="0064550E"/>
    <w:rsid w:val="00645C03"/>
    <w:rsid w:val="00646421"/>
    <w:rsid w:val="00646424"/>
    <w:rsid w:val="0064658E"/>
    <w:rsid w:val="00646938"/>
    <w:rsid w:val="00646DED"/>
    <w:rsid w:val="00650C8D"/>
    <w:rsid w:val="0065156F"/>
    <w:rsid w:val="00652215"/>
    <w:rsid w:val="006526A1"/>
    <w:rsid w:val="00653354"/>
    <w:rsid w:val="00653419"/>
    <w:rsid w:val="00653845"/>
    <w:rsid w:val="00653E6A"/>
    <w:rsid w:val="00653E91"/>
    <w:rsid w:val="00653EC5"/>
    <w:rsid w:val="006559AC"/>
    <w:rsid w:val="00655F2D"/>
    <w:rsid w:val="00656B85"/>
    <w:rsid w:val="00656CBC"/>
    <w:rsid w:val="00656EA7"/>
    <w:rsid w:val="0065733C"/>
    <w:rsid w:val="00657610"/>
    <w:rsid w:val="00657C1F"/>
    <w:rsid w:val="006605C7"/>
    <w:rsid w:val="00660EFB"/>
    <w:rsid w:val="0066117F"/>
    <w:rsid w:val="00661695"/>
    <w:rsid w:val="00662DF2"/>
    <w:rsid w:val="00664844"/>
    <w:rsid w:val="00664DD3"/>
    <w:rsid w:val="00665CEB"/>
    <w:rsid w:val="00665F03"/>
    <w:rsid w:val="00666384"/>
    <w:rsid w:val="00666709"/>
    <w:rsid w:val="00666E06"/>
    <w:rsid w:val="00666F89"/>
    <w:rsid w:val="00670776"/>
    <w:rsid w:val="00670D7F"/>
    <w:rsid w:val="00672058"/>
    <w:rsid w:val="006721D7"/>
    <w:rsid w:val="006722DB"/>
    <w:rsid w:val="006726FB"/>
    <w:rsid w:val="00672CFC"/>
    <w:rsid w:val="00673220"/>
    <w:rsid w:val="0067359C"/>
    <w:rsid w:val="00673B41"/>
    <w:rsid w:val="00673D11"/>
    <w:rsid w:val="00673E88"/>
    <w:rsid w:val="00673F52"/>
    <w:rsid w:val="00674E83"/>
    <w:rsid w:val="00675F2D"/>
    <w:rsid w:val="006763C5"/>
    <w:rsid w:val="0067660E"/>
    <w:rsid w:val="00676A76"/>
    <w:rsid w:val="00676BDE"/>
    <w:rsid w:val="006771FC"/>
    <w:rsid w:val="0067773F"/>
    <w:rsid w:val="00677ABD"/>
    <w:rsid w:val="00677BB8"/>
    <w:rsid w:val="00677FDC"/>
    <w:rsid w:val="00680B0D"/>
    <w:rsid w:val="00680CD5"/>
    <w:rsid w:val="00681332"/>
    <w:rsid w:val="00681E0E"/>
    <w:rsid w:val="0068261C"/>
    <w:rsid w:val="00682A99"/>
    <w:rsid w:val="00682BCF"/>
    <w:rsid w:val="00683226"/>
    <w:rsid w:val="006839DF"/>
    <w:rsid w:val="00683AEF"/>
    <w:rsid w:val="00683BA6"/>
    <w:rsid w:val="0068418D"/>
    <w:rsid w:val="0068450E"/>
    <w:rsid w:val="00684A4E"/>
    <w:rsid w:val="00685F16"/>
    <w:rsid w:val="00686007"/>
    <w:rsid w:val="0068626A"/>
    <w:rsid w:val="006862B9"/>
    <w:rsid w:val="006862FE"/>
    <w:rsid w:val="006865A9"/>
    <w:rsid w:val="0068678B"/>
    <w:rsid w:val="00686D7C"/>
    <w:rsid w:val="0068746E"/>
    <w:rsid w:val="00687949"/>
    <w:rsid w:val="00687FC1"/>
    <w:rsid w:val="00690AB6"/>
    <w:rsid w:val="006914FB"/>
    <w:rsid w:val="00692632"/>
    <w:rsid w:val="00693223"/>
    <w:rsid w:val="0069413C"/>
    <w:rsid w:val="00694C8F"/>
    <w:rsid w:val="00694FF8"/>
    <w:rsid w:val="00695DB2"/>
    <w:rsid w:val="00695FD6"/>
    <w:rsid w:val="006964FF"/>
    <w:rsid w:val="0069680F"/>
    <w:rsid w:val="006969CA"/>
    <w:rsid w:val="00696C09"/>
    <w:rsid w:val="00696DA6"/>
    <w:rsid w:val="00696EFF"/>
    <w:rsid w:val="0069702A"/>
    <w:rsid w:val="00697672"/>
    <w:rsid w:val="006A0071"/>
    <w:rsid w:val="006A06A0"/>
    <w:rsid w:val="006A14BD"/>
    <w:rsid w:val="006A179C"/>
    <w:rsid w:val="006A2044"/>
    <w:rsid w:val="006A214E"/>
    <w:rsid w:val="006A35B8"/>
    <w:rsid w:val="006A415D"/>
    <w:rsid w:val="006A4472"/>
    <w:rsid w:val="006A47F2"/>
    <w:rsid w:val="006A4C2C"/>
    <w:rsid w:val="006A4F15"/>
    <w:rsid w:val="006A5026"/>
    <w:rsid w:val="006A5088"/>
    <w:rsid w:val="006A5138"/>
    <w:rsid w:val="006A53EF"/>
    <w:rsid w:val="006A5705"/>
    <w:rsid w:val="006A5E10"/>
    <w:rsid w:val="006A60F3"/>
    <w:rsid w:val="006A64E5"/>
    <w:rsid w:val="006A67E6"/>
    <w:rsid w:val="006A739A"/>
    <w:rsid w:val="006A76E2"/>
    <w:rsid w:val="006A78B3"/>
    <w:rsid w:val="006B01B9"/>
    <w:rsid w:val="006B0D61"/>
    <w:rsid w:val="006B1174"/>
    <w:rsid w:val="006B1587"/>
    <w:rsid w:val="006B1E1F"/>
    <w:rsid w:val="006B2120"/>
    <w:rsid w:val="006B2276"/>
    <w:rsid w:val="006B2CDB"/>
    <w:rsid w:val="006B2FB5"/>
    <w:rsid w:val="006B395E"/>
    <w:rsid w:val="006B3C1B"/>
    <w:rsid w:val="006B3CA6"/>
    <w:rsid w:val="006B3DE2"/>
    <w:rsid w:val="006B3EFF"/>
    <w:rsid w:val="006B3FEE"/>
    <w:rsid w:val="006B4328"/>
    <w:rsid w:val="006B452C"/>
    <w:rsid w:val="006B5492"/>
    <w:rsid w:val="006B5CEB"/>
    <w:rsid w:val="006B5FBD"/>
    <w:rsid w:val="006B669A"/>
    <w:rsid w:val="006B6A44"/>
    <w:rsid w:val="006B7013"/>
    <w:rsid w:val="006B7639"/>
    <w:rsid w:val="006C0069"/>
    <w:rsid w:val="006C0373"/>
    <w:rsid w:val="006C160D"/>
    <w:rsid w:val="006C19B4"/>
    <w:rsid w:val="006C1F7B"/>
    <w:rsid w:val="006C21D2"/>
    <w:rsid w:val="006C2585"/>
    <w:rsid w:val="006C2A49"/>
    <w:rsid w:val="006C3339"/>
    <w:rsid w:val="006C41F2"/>
    <w:rsid w:val="006C45DA"/>
    <w:rsid w:val="006C50D0"/>
    <w:rsid w:val="006C5DDC"/>
    <w:rsid w:val="006C6CD3"/>
    <w:rsid w:val="006C706B"/>
    <w:rsid w:val="006C7BBD"/>
    <w:rsid w:val="006C7DDE"/>
    <w:rsid w:val="006D0547"/>
    <w:rsid w:val="006D1555"/>
    <w:rsid w:val="006D1702"/>
    <w:rsid w:val="006D1A86"/>
    <w:rsid w:val="006D233C"/>
    <w:rsid w:val="006D25AB"/>
    <w:rsid w:val="006D27D8"/>
    <w:rsid w:val="006D29DE"/>
    <w:rsid w:val="006D2A7F"/>
    <w:rsid w:val="006D2DAA"/>
    <w:rsid w:val="006D3103"/>
    <w:rsid w:val="006D3298"/>
    <w:rsid w:val="006D336B"/>
    <w:rsid w:val="006D3A6C"/>
    <w:rsid w:val="006D3EC5"/>
    <w:rsid w:val="006D45E1"/>
    <w:rsid w:val="006D4755"/>
    <w:rsid w:val="006D5D9A"/>
    <w:rsid w:val="006D6230"/>
    <w:rsid w:val="006D63E1"/>
    <w:rsid w:val="006D7A15"/>
    <w:rsid w:val="006E0234"/>
    <w:rsid w:val="006E03BE"/>
    <w:rsid w:val="006E0628"/>
    <w:rsid w:val="006E0D6B"/>
    <w:rsid w:val="006E20EE"/>
    <w:rsid w:val="006E333F"/>
    <w:rsid w:val="006E337B"/>
    <w:rsid w:val="006E417D"/>
    <w:rsid w:val="006E41DD"/>
    <w:rsid w:val="006E5250"/>
    <w:rsid w:val="006E52DA"/>
    <w:rsid w:val="006E6892"/>
    <w:rsid w:val="006E6F24"/>
    <w:rsid w:val="006E719B"/>
    <w:rsid w:val="006E7387"/>
    <w:rsid w:val="006E7A83"/>
    <w:rsid w:val="006E7D2D"/>
    <w:rsid w:val="006F13BE"/>
    <w:rsid w:val="006F19AE"/>
    <w:rsid w:val="006F291D"/>
    <w:rsid w:val="006F45D6"/>
    <w:rsid w:val="006F4801"/>
    <w:rsid w:val="006F507E"/>
    <w:rsid w:val="006F535A"/>
    <w:rsid w:val="006F55BB"/>
    <w:rsid w:val="006F5C76"/>
    <w:rsid w:val="006F5E00"/>
    <w:rsid w:val="006F75C1"/>
    <w:rsid w:val="00700CA2"/>
    <w:rsid w:val="007017A7"/>
    <w:rsid w:val="00701C89"/>
    <w:rsid w:val="00701E2C"/>
    <w:rsid w:val="0070230F"/>
    <w:rsid w:val="00702DFD"/>
    <w:rsid w:val="007044A4"/>
    <w:rsid w:val="007044DA"/>
    <w:rsid w:val="00704AD9"/>
    <w:rsid w:val="00704D5E"/>
    <w:rsid w:val="00704FE9"/>
    <w:rsid w:val="0070523D"/>
    <w:rsid w:val="00705713"/>
    <w:rsid w:val="0070591B"/>
    <w:rsid w:val="00706882"/>
    <w:rsid w:val="00707771"/>
    <w:rsid w:val="00707BDE"/>
    <w:rsid w:val="00707DCB"/>
    <w:rsid w:val="00710358"/>
    <w:rsid w:val="00710816"/>
    <w:rsid w:val="00710891"/>
    <w:rsid w:val="007109EB"/>
    <w:rsid w:val="00710CB2"/>
    <w:rsid w:val="00710E8D"/>
    <w:rsid w:val="0071114E"/>
    <w:rsid w:val="00711521"/>
    <w:rsid w:val="007115AD"/>
    <w:rsid w:val="00711ACA"/>
    <w:rsid w:val="00712928"/>
    <w:rsid w:val="00712DA1"/>
    <w:rsid w:val="007134A4"/>
    <w:rsid w:val="007137F3"/>
    <w:rsid w:val="00713B2C"/>
    <w:rsid w:val="00713DE8"/>
    <w:rsid w:val="00713FE4"/>
    <w:rsid w:val="007145F2"/>
    <w:rsid w:val="00714795"/>
    <w:rsid w:val="00715B84"/>
    <w:rsid w:val="00715FAC"/>
    <w:rsid w:val="0071603D"/>
    <w:rsid w:val="007165B0"/>
    <w:rsid w:val="00717131"/>
    <w:rsid w:val="00717D11"/>
    <w:rsid w:val="00720097"/>
    <w:rsid w:val="007204AE"/>
    <w:rsid w:val="00721C3B"/>
    <w:rsid w:val="00721F2B"/>
    <w:rsid w:val="00722800"/>
    <w:rsid w:val="00722A98"/>
    <w:rsid w:val="0072355F"/>
    <w:rsid w:val="0072357C"/>
    <w:rsid w:val="00723861"/>
    <w:rsid w:val="00723AD0"/>
    <w:rsid w:val="00723EC6"/>
    <w:rsid w:val="0072435E"/>
    <w:rsid w:val="00724756"/>
    <w:rsid w:val="007247F1"/>
    <w:rsid w:val="00724E7D"/>
    <w:rsid w:val="00726525"/>
    <w:rsid w:val="00726B7C"/>
    <w:rsid w:val="00727B39"/>
    <w:rsid w:val="00730442"/>
    <w:rsid w:val="00730693"/>
    <w:rsid w:val="007319AA"/>
    <w:rsid w:val="00731C86"/>
    <w:rsid w:val="00732296"/>
    <w:rsid w:val="00732646"/>
    <w:rsid w:val="00732F6F"/>
    <w:rsid w:val="00733524"/>
    <w:rsid w:val="007335F1"/>
    <w:rsid w:val="00733C28"/>
    <w:rsid w:val="00734663"/>
    <w:rsid w:val="00734F11"/>
    <w:rsid w:val="0073560E"/>
    <w:rsid w:val="007357B6"/>
    <w:rsid w:val="0073585F"/>
    <w:rsid w:val="00735911"/>
    <w:rsid w:val="00735F67"/>
    <w:rsid w:val="007364C7"/>
    <w:rsid w:val="007379D6"/>
    <w:rsid w:val="00737C3F"/>
    <w:rsid w:val="00737E8D"/>
    <w:rsid w:val="00740E9D"/>
    <w:rsid w:val="00740F76"/>
    <w:rsid w:val="00742C51"/>
    <w:rsid w:val="00742FDD"/>
    <w:rsid w:val="00743D5B"/>
    <w:rsid w:val="00744650"/>
    <w:rsid w:val="00744AC1"/>
    <w:rsid w:val="007454B7"/>
    <w:rsid w:val="0074626D"/>
    <w:rsid w:val="00746D44"/>
    <w:rsid w:val="00747535"/>
    <w:rsid w:val="00747B46"/>
    <w:rsid w:val="0075020C"/>
    <w:rsid w:val="007506D3"/>
    <w:rsid w:val="00751B66"/>
    <w:rsid w:val="00752044"/>
    <w:rsid w:val="00752565"/>
    <w:rsid w:val="00752662"/>
    <w:rsid w:val="00752B35"/>
    <w:rsid w:val="0075389C"/>
    <w:rsid w:val="007545DD"/>
    <w:rsid w:val="007554AF"/>
    <w:rsid w:val="007560F0"/>
    <w:rsid w:val="0075610E"/>
    <w:rsid w:val="007565BC"/>
    <w:rsid w:val="007565E0"/>
    <w:rsid w:val="00756B2D"/>
    <w:rsid w:val="00756F4D"/>
    <w:rsid w:val="00757AB1"/>
    <w:rsid w:val="00757C4D"/>
    <w:rsid w:val="00757E17"/>
    <w:rsid w:val="00760D71"/>
    <w:rsid w:val="00760F9F"/>
    <w:rsid w:val="007611AF"/>
    <w:rsid w:val="00761BCE"/>
    <w:rsid w:val="00762069"/>
    <w:rsid w:val="00763141"/>
    <w:rsid w:val="00763903"/>
    <w:rsid w:val="00763AF5"/>
    <w:rsid w:val="007648BF"/>
    <w:rsid w:val="007652CA"/>
    <w:rsid w:val="00765528"/>
    <w:rsid w:val="007656DE"/>
    <w:rsid w:val="00765726"/>
    <w:rsid w:val="007663DB"/>
    <w:rsid w:val="007667EC"/>
    <w:rsid w:val="00766FF7"/>
    <w:rsid w:val="00770756"/>
    <w:rsid w:val="007713D1"/>
    <w:rsid w:val="00771460"/>
    <w:rsid w:val="0077192A"/>
    <w:rsid w:val="00771DF1"/>
    <w:rsid w:val="0077212E"/>
    <w:rsid w:val="00773135"/>
    <w:rsid w:val="0077373B"/>
    <w:rsid w:val="00773B7A"/>
    <w:rsid w:val="00774C15"/>
    <w:rsid w:val="0077537E"/>
    <w:rsid w:val="0077566B"/>
    <w:rsid w:val="0077582E"/>
    <w:rsid w:val="00775DA1"/>
    <w:rsid w:val="00775E17"/>
    <w:rsid w:val="00775F43"/>
    <w:rsid w:val="0077672B"/>
    <w:rsid w:val="00776B8F"/>
    <w:rsid w:val="00776EED"/>
    <w:rsid w:val="0077788C"/>
    <w:rsid w:val="007778D7"/>
    <w:rsid w:val="007808DA"/>
    <w:rsid w:val="007812D1"/>
    <w:rsid w:val="00781671"/>
    <w:rsid w:val="007817EB"/>
    <w:rsid w:val="00781D2C"/>
    <w:rsid w:val="00781F9D"/>
    <w:rsid w:val="00782A2F"/>
    <w:rsid w:val="00782B61"/>
    <w:rsid w:val="00784059"/>
    <w:rsid w:val="0078572B"/>
    <w:rsid w:val="00785DCD"/>
    <w:rsid w:val="0078645E"/>
    <w:rsid w:val="00786B3F"/>
    <w:rsid w:val="007875BB"/>
    <w:rsid w:val="00787B77"/>
    <w:rsid w:val="00787D01"/>
    <w:rsid w:val="0079058D"/>
    <w:rsid w:val="0079099F"/>
    <w:rsid w:val="00790A31"/>
    <w:rsid w:val="00791163"/>
    <w:rsid w:val="007912F8"/>
    <w:rsid w:val="00791AC3"/>
    <w:rsid w:val="0079215A"/>
    <w:rsid w:val="00792662"/>
    <w:rsid w:val="00792A12"/>
    <w:rsid w:val="00792BFC"/>
    <w:rsid w:val="00792C43"/>
    <w:rsid w:val="007952DD"/>
    <w:rsid w:val="00795456"/>
    <w:rsid w:val="00796883"/>
    <w:rsid w:val="00796EF8"/>
    <w:rsid w:val="00797404"/>
    <w:rsid w:val="00797791"/>
    <w:rsid w:val="00797847"/>
    <w:rsid w:val="00797FFD"/>
    <w:rsid w:val="007A01EB"/>
    <w:rsid w:val="007A0784"/>
    <w:rsid w:val="007A0801"/>
    <w:rsid w:val="007A122F"/>
    <w:rsid w:val="007A1387"/>
    <w:rsid w:val="007A1919"/>
    <w:rsid w:val="007A21B4"/>
    <w:rsid w:val="007A2DEF"/>
    <w:rsid w:val="007A441C"/>
    <w:rsid w:val="007A4C93"/>
    <w:rsid w:val="007A5FB2"/>
    <w:rsid w:val="007A6598"/>
    <w:rsid w:val="007A7C8B"/>
    <w:rsid w:val="007B09D3"/>
    <w:rsid w:val="007B1ADB"/>
    <w:rsid w:val="007B1E02"/>
    <w:rsid w:val="007B2107"/>
    <w:rsid w:val="007B2A22"/>
    <w:rsid w:val="007B2A5C"/>
    <w:rsid w:val="007B2BF0"/>
    <w:rsid w:val="007B2C3C"/>
    <w:rsid w:val="007B304F"/>
    <w:rsid w:val="007B5209"/>
    <w:rsid w:val="007B5931"/>
    <w:rsid w:val="007B5C03"/>
    <w:rsid w:val="007B5F28"/>
    <w:rsid w:val="007B6C21"/>
    <w:rsid w:val="007B7452"/>
    <w:rsid w:val="007B7E46"/>
    <w:rsid w:val="007C06D9"/>
    <w:rsid w:val="007C0858"/>
    <w:rsid w:val="007C0E17"/>
    <w:rsid w:val="007C0F62"/>
    <w:rsid w:val="007C2DBF"/>
    <w:rsid w:val="007C304E"/>
    <w:rsid w:val="007C3168"/>
    <w:rsid w:val="007C316D"/>
    <w:rsid w:val="007C32E7"/>
    <w:rsid w:val="007C4095"/>
    <w:rsid w:val="007C4099"/>
    <w:rsid w:val="007C4A52"/>
    <w:rsid w:val="007C4F20"/>
    <w:rsid w:val="007C57CD"/>
    <w:rsid w:val="007C6D07"/>
    <w:rsid w:val="007C782F"/>
    <w:rsid w:val="007D01EF"/>
    <w:rsid w:val="007D021B"/>
    <w:rsid w:val="007D03DA"/>
    <w:rsid w:val="007D132E"/>
    <w:rsid w:val="007D1496"/>
    <w:rsid w:val="007D1DEB"/>
    <w:rsid w:val="007D28CF"/>
    <w:rsid w:val="007D28F1"/>
    <w:rsid w:val="007D318B"/>
    <w:rsid w:val="007D34C6"/>
    <w:rsid w:val="007D3BCC"/>
    <w:rsid w:val="007D45A9"/>
    <w:rsid w:val="007D4607"/>
    <w:rsid w:val="007D4B95"/>
    <w:rsid w:val="007D4C79"/>
    <w:rsid w:val="007D4F4F"/>
    <w:rsid w:val="007D5722"/>
    <w:rsid w:val="007D656B"/>
    <w:rsid w:val="007D703B"/>
    <w:rsid w:val="007D7963"/>
    <w:rsid w:val="007D7B79"/>
    <w:rsid w:val="007E096D"/>
    <w:rsid w:val="007E0B71"/>
    <w:rsid w:val="007E1121"/>
    <w:rsid w:val="007E21C1"/>
    <w:rsid w:val="007E21EC"/>
    <w:rsid w:val="007E263B"/>
    <w:rsid w:val="007E2AE3"/>
    <w:rsid w:val="007E2BDE"/>
    <w:rsid w:val="007E32B0"/>
    <w:rsid w:val="007E4827"/>
    <w:rsid w:val="007E492B"/>
    <w:rsid w:val="007E5047"/>
    <w:rsid w:val="007E63FA"/>
    <w:rsid w:val="007E6822"/>
    <w:rsid w:val="007E6DB6"/>
    <w:rsid w:val="007E7540"/>
    <w:rsid w:val="007F08D4"/>
    <w:rsid w:val="007F0B51"/>
    <w:rsid w:val="007F1156"/>
    <w:rsid w:val="007F2A84"/>
    <w:rsid w:val="007F2B5D"/>
    <w:rsid w:val="007F313D"/>
    <w:rsid w:val="007F3581"/>
    <w:rsid w:val="007F3A28"/>
    <w:rsid w:val="007F3BF6"/>
    <w:rsid w:val="007F4032"/>
    <w:rsid w:val="007F4090"/>
    <w:rsid w:val="007F594C"/>
    <w:rsid w:val="007F6644"/>
    <w:rsid w:val="007F6950"/>
    <w:rsid w:val="007F72A8"/>
    <w:rsid w:val="007F779E"/>
    <w:rsid w:val="007F7C4B"/>
    <w:rsid w:val="00800017"/>
    <w:rsid w:val="00800050"/>
    <w:rsid w:val="0080048D"/>
    <w:rsid w:val="0080180A"/>
    <w:rsid w:val="00801900"/>
    <w:rsid w:val="00801DF0"/>
    <w:rsid w:val="00801E7A"/>
    <w:rsid w:val="00801EA3"/>
    <w:rsid w:val="00802B33"/>
    <w:rsid w:val="00802FC2"/>
    <w:rsid w:val="0080447C"/>
    <w:rsid w:val="0080482E"/>
    <w:rsid w:val="00804872"/>
    <w:rsid w:val="00804E4E"/>
    <w:rsid w:val="00805AF2"/>
    <w:rsid w:val="008061A5"/>
    <w:rsid w:val="0080681A"/>
    <w:rsid w:val="00806BF8"/>
    <w:rsid w:val="00807358"/>
    <w:rsid w:val="0080789A"/>
    <w:rsid w:val="00807B26"/>
    <w:rsid w:val="00807F06"/>
    <w:rsid w:val="008100A7"/>
    <w:rsid w:val="0081042F"/>
    <w:rsid w:val="0081067C"/>
    <w:rsid w:val="00810B42"/>
    <w:rsid w:val="00810E47"/>
    <w:rsid w:val="00811921"/>
    <w:rsid w:val="00811A9E"/>
    <w:rsid w:val="00811E7B"/>
    <w:rsid w:val="0081283E"/>
    <w:rsid w:val="00812B26"/>
    <w:rsid w:val="008134E4"/>
    <w:rsid w:val="0081374A"/>
    <w:rsid w:val="00813C83"/>
    <w:rsid w:val="00814750"/>
    <w:rsid w:val="00814E8F"/>
    <w:rsid w:val="008151A4"/>
    <w:rsid w:val="00815555"/>
    <w:rsid w:val="008156F7"/>
    <w:rsid w:val="008162F1"/>
    <w:rsid w:val="008164E0"/>
    <w:rsid w:val="00816C1E"/>
    <w:rsid w:val="00817C9E"/>
    <w:rsid w:val="00817F1B"/>
    <w:rsid w:val="00820CDF"/>
    <w:rsid w:val="008214AB"/>
    <w:rsid w:val="0082170C"/>
    <w:rsid w:val="0082258B"/>
    <w:rsid w:val="00822D82"/>
    <w:rsid w:val="0082323A"/>
    <w:rsid w:val="0082335B"/>
    <w:rsid w:val="00823656"/>
    <w:rsid w:val="00823B5C"/>
    <w:rsid w:val="00823BFB"/>
    <w:rsid w:val="00823DA8"/>
    <w:rsid w:val="00825205"/>
    <w:rsid w:val="00825B27"/>
    <w:rsid w:val="00825EF0"/>
    <w:rsid w:val="00826192"/>
    <w:rsid w:val="008267C6"/>
    <w:rsid w:val="00826CA8"/>
    <w:rsid w:val="00831564"/>
    <w:rsid w:val="00831928"/>
    <w:rsid w:val="00832C90"/>
    <w:rsid w:val="00832F8E"/>
    <w:rsid w:val="00833A28"/>
    <w:rsid w:val="00833D31"/>
    <w:rsid w:val="00833E27"/>
    <w:rsid w:val="00834382"/>
    <w:rsid w:val="00834C16"/>
    <w:rsid w:val="00835419"/>
    <w:rsid w:val="008354F8"/>
    <w:rsid w:val="00835B35"/>
    <w:rsid w:val="00835E58"/>
    <w:rsid w:val="008361C3"/>
    <w:rsid w:val="00837801"/>
    <w:rsid w:val="00837E60"/>
    <w:rsid w:val="0084007F"/>
    <w:rsid w:val="00841D0C"/>
    <w:rsid w:val="00841E0F"/>
    <w:rsid w:val="008422CD"/>
    <w:rsid w:val="00842411"/>
    <w:rsid w:val="00842F1F"/>
    <w:rsid w:val="00843A14"/>
    <w:rsid w:val="00843CC2"/>
    <w:rsid w:val="00844472"/>
    <w:rsid w:val="00844751"/>
    <w:rsid w:val="008447F2"/>
    <w:rsid w:val="00845448"/>
    <w:rsid w:val="0084592A"/>
    <w:rsid w:val="00845972"/>
    <w:rsid w:val="00845AE9"/>
    <w:rsid w:val="00846370"/>
    <w:rsid w:val="00846410"/>
    <w:rsid w:val="00847124"/>
    <w:rsid w:val="008472A8"/>
    <w:rsid w:val="008509D2"/>
    <w:rsid w:val="00850CA6"/>
    <w:rsid w:val="00850CDB"/>
    <w:rsid w:val="00850D9A"/>
    <w:rsid w:val="00851089"/>
    <w:rsid w:val="00851140"/>
    <w:rsid w:val="00851193"/>
    <w:rsid w:val="00851718"/>
    <w:rsid w:val="008530B9"/>
    <w:rsid w:val="008532AC"/>
    <w:rsid w:val="00854D50"/>
    <w:rsid w:val="00854DEE"/>
    <w:rsid w:val="00855289"/>
    <w:rsid w:val="0085795F"/>
    <w:rsid w:val="00860888"/>
    <w:rsid w:val="0086170A"/>
    <w:rsid w:val="00861B14"/>
    <w:rsid w:val="00862178"/>
    <w:rsid w:val="00862C86"/>
    <w:rsid w:val="0086303F"/>
    <w:rsid w:val="0086372D"/>
    <w:rsid w:val="00863B70"/>
    <w:rsid w:val="0086466C"/>
    <w:rsid w:val="00864A75"/>
    <w:rsid w:val="00864C89"/>
    <w:rsid w:val="008651D5"/>
    <w:rsid w:val="00865AC1"/>
    <w:rsid w:val="0086681C"/>
    <w:rsid w:val="00866E47"/>
    <w:rsid w:val="00867D21"/>
    <w:rsid w:val="00867DAF"/>
    <w:rsid w:val="00870D44"/>
    <w:rsid w:val="008710BB"/>
    <w:rsid w:val="0087122C"/>
    <w:rsid w:val="00871FDE"/>
    <w:rsid w:val="00872490"/>
    <w:rsid w:val="0087292C"/>
    <w:rsid w:val="0087453A"/>
    <w:rsid w:val="00874B9F"/>
    <w:rsid w:val="00874EED"/>
    <w:rsid w:val="0087514B"/>
    <w:rsid w:val="008751D7"/>
    <w:rsid w:val="00875A1F"/>
    <w:rsid w:val="00875A46"/>
    <w:rsid w:val="00875B68"/>
    <w:rsid w:val="00875DE7"/>
    <w:rsid w:val="008764D5"/>
    <w:rsid w:val="00876DDE"/>
    <w:rsid w:val="00877171"/>
    <w:rsid w:val="00877E4A"/>
    <w:rsid w:val="00880074"/>
    <w:rsid w:val="0088112E"/>
    <w:rsid w:val="0088195F"/>
    <w:rsid w:val="00881DDE"/>
    <w:rsid w:val="00882244"/>
    <w:rsid w:val="00882FD3"/>
    <w:rsid w:val="0088309F"/>
    <w:rsid w:val="008832A4"/>
    <w:rsid w:val="008832C4"/>
    <w:rsid w:val="00883458"/>
    <w:rsid w:val="008839C9"/>
    <w:rsid w:val="00883CA7"/>
    <w:rsid w:val="00884187"/>
    <w:rsid w:val="00885423"/>
    <w:rsid w:val="00885691"/>
    <w:rsid w:val="00885CB9"/>
    <w:rsid w:val="00886307"/>
    <w:rsid w:val="0088649A"/>
    <w:rsid w:val="00886754"/>
    <w:rsid w:val="00886EA7"/>
    <w:rsid w:val="00890451"/>
    <w:rsid w:val="00890606"/>
    <w:rsid w:val="00890A41"/>
    <w:rsid w:val="00892186"/>
    <w:rsid w:val="00892E13"/>
    <w:rsid w:val="0089320C"/>
    <w:rsid w:val="00894028"/>
    <w:rsid w:val="00895AAA"/>
    <w:rsid w:val="00896E66"/>
    <w:rsid w:val="00897113"/>
    <w:rsid w:val="008974D5"/>
    <w:rsid w:val="00897FD3"/>
    <w:rsid w:val="008A04C6"/>
    <w:rsid w:val="008A0BA1"/>
    <w:rsid w:val="008A1044"/>
    <w:rsid w:val="008A12DE"/>
    <w:rsid w:val="008A18C8"/>
    <w:rsid w:val="008A2394"/>
    <w:rsid w:val="008A264A"/>
    <w:rsid w:val="008A2E52"/>
    <w:rsid w:val="008A3670"/>
    <w:rsid w:val="008A3D92"/>
    <w:rsid w:val="008A4E49"/>
    <w:rsid w:val="008A4E9F"/>
    <w:rsid w:val="008A4F6C"/>
    <w:rsid w:val="008A5924"/>
    <w:rsid w:val="008A652A"/>
    <w:rsid w:val="008A6795"/>
    <w:rsid w:val="008A6BF2"/>
    <w:rsid w:val="008A6D53"/>
    <w:rsid w:val="008A6F7A"/>
    <w:rsid w:val="008A7545"/>
    <w:rsid w:val="008A762B"/>
    <w:rsid w:val="008A77D4"/>
    <w:rsid w:val="008B0916"/>
    <w:rsid w:val="008B0AA4"/>
    <w:rsid w:val="008B1824"/>
    <w:rsid w:val="008B1D95"/>
    <w:rsid w:val="008B1DDD"/>
    <w:rsid w:val="008B27B1"/>
    <w:rsid w:val="008B294D"/>
    <w:rsid w:val="008B2B87"/>
    <w:rsid w:val="008B2F47"/>
    <w:rsid w:val="008B3998"/>
    <w:rsid w:val="008B477D"/>
    <w:rsid w:val="008B5597"/>
    <w:rsid w:val="008B5A2B"/>
    <w:rsid w:val="008B67B3"/>
    <w:rsid w:val="008B7445"/>
    <w:rsid w:val="008B75DB"/>
    <w:rsid w:val="008C0058"/>
    <w:rsid w:val="008C0C96"/>
    <w:rsid w:val="008C10FA"/>
    <w:rsid w:val="008C16D9"/>
    <w:rsid w:val="008C1926"/>
    <w:rsid w:val="008C2C5E"/>
    <w:rsid w:val="008C3050"/>
    <w:rsid w:val="008C432F"/>
    <w:rsid w:val="008C433E"/>
    <w:rsid w:val="008C4AF9"/>
    <w:rsid w:val="008C5493"/>
    <w:rsid w:val="008C59F5"/>
    <w:rsid w:val="008C5A12"/>
    <w:rsid w:val="008C5A8B"/>
    <w:rsid w:val="008C5DA9"/>
    <w:rsid w:val="008C5F0D"/>
    <w:rsid w:val="008C62DA"/>
    <w:rsid w:val="008C662B"/>
    <w:rsid w:val="008C69AA"/>
    <w:rsid w:val="008C79D1"/>
    <w:rsid w:val="008C7BB9"/>
    <w:rsid w:val="008D1BF1"/>
    <w:rsid w:val="008D228A"/>
    <w:rsid w:val="008D2ECD"/>
    <w:rsid w:val="008D35AB"/>
    <w:rsid w:val="008D3870"/>
    <w:rsid w:val="008D5242"/>
    <w:rsid w:val="008D5674"/>
    <w:rsid w:val="008D632D"/>
    <w:rsid w:val="008D635F"/>
    <w:rsid w:val="008D69E8"/>
    <w:rsid w:val="008D6B09"/>
    <w:rsid w:val="008D7F14"/>
    <w:rsid w:val="008E007A"/>
    <w:rsid w:val="008E0428"/>
    <w:rsid w:val="008E0DAE"/>
    <w:rsid w:val="008E1297"/>
    <w:rsid w:val="008E181F"/>
    <w:rsid w:val="008E2128"/>
    <w:rsid w:val="008E23E9"/>
    <w:rsid w:val="008E2960"/>
    <w:rsid w:val="008E2D79"/>
    <w:rsid w:val="008E31E6"/>
    <w:rsid w:val="008E33A9"/>
    <w:rsid w:val="008E3447"/>
    <w:rsid w:val="008E380D"/>
    <w:rsid w:val="008E3D00"/>
    <w:rsid w:val="008E4E6D"/>
    <w:rsid w:val="008E4EA7"/>
    <w:rsid w:val="008E4ED4"/>
    <w:rsid w:val="008E51A7"/>
    <w:rsid w:val="008E593B"/>
    <w:rsid w:val="008E5A3F"/>
    <w:rsid w:val="008E60A1"/>
    <w:rsid w:val="008E61D0"/>
    <w:rsid w:val="008E6721"/>
    <w:rsid w:val="008E6C07"/>
    <w:rsid w:val="008E70DB"/>
    <w:rsid w:val="008E77DD"/>
    <w:rsid w:val="008F1146"/>
    <w:rsid w:val="008F1C5C"/>
    <w:rsid w:val="008F2058"/>
    <w:rsid w:val="008F2B3E"/>
    <w:rsid w:val="008F32EF"/>
    <w:rsid w:val="008F3F39"/>
    <w:rsid w:val="008F413E"/>
    <w:rsid w:val="008F4E95"/>
    <w:rsid w:val="008F6177"/>
    <w:rsid w:val="008F70B4"/>
    <w:rsid w:val="008F738A"/>
    <w:rsid w:val="008F7EE4"/>
    <w:rsid w:val="00900230"/>
    <w:rsid w:val="009006B1"/>
    <w:rsid w:val="0090079D"/>
    <w:rsid w:val="00900BF5"/>
    <w:rsid w:val="0090131E"/>
    <w:rsid w:val="00902D04"/>
    <w:rsid w:val="009031F6"/>
    <w:rsid w:val="0090369A"/>
    <w:rsid w:val="00903AF4"/>
    <w:rsid w:val="009045B4"/>
    <w:rsid w:val="009048CA"/>
    <w:rsid w:val="0090571A"/>
    <w:rsid w:val="00905EA5"/>
    <w:rsid w:val="009063E7"/>
    <w:rsid w:val="00906472"/>
    <w:rsid w:val="009069DF"/>
    <w:rsid w:val="009072E8"/>
    <w:rsid w:val="00907682"/>
    <w:rsid w:val="00907E54"/>
    <w:rsid w:val="00907FB0"/>
    <w:rsid w:val="00907FDA"/>
    <w:rsid w:val="00910DFC"/>
    <w:rsid w:val="00911B98"/>
    <w:rsid w:val="00911EC3"/>
    <w:rsid w:val="00911F86"/>
    <w:rsid w:val="00912071"/>
    <w:rsid w:val="0091213A"/>
    <w:rsid w:val="009123EF"/>
    <w:rsid w:val="0091243B"/>
    <w:rsid w:val="009125C8"/>
    <w:rsid w:val="009126B4"/>
    <w:rsid w:val="00912883"/>
    <w:rsid w:val="00912CDC"/>
    <w:rsid w:val="00912D24"/>
    <w:rsid w:val="00913537"/>
    <w:rsid w:val="00914901"/>
    <w:rsid w:val="00914B80"/>
    <w:rsid w:val="00915966"/>
    <w:rsid w:val="00916875"/>
    <w:rsid w:val="00916CCF"/>
    <w:rsid w:val="00916CEF"/>
    <w:rsid w:val="00916F0F"/>
    <w:rsid w:val="00917530"/>
    <w:rsid w:val="00921A8D"/>
    <w:rsid w:val="009223B7"/>
    <w:rsid w:val="00922DF3"/>
    <w:rsid w:val="009239C5"/>
    <w:rsid w:val="00925634"/>
    <w:rsid w:val="009257DB"/>
    <w:rsid w:val="00926110"/>
    <w:rsid w:val="00926137"/>
    <w:rsid w:val="00926B95"/>
    <w:rsid w:val="0092732D"/>
    <w:rsid w:val="00927769"/>
    <w:rsid w:val="0092787E"/>
    <w:rsid w:val="00927B54"/>
    <w:rsid w:val="00927D31"/>
    <w:rsid w:val="00931F5D"/>
    <w:rsid w:val="009324B9"/>
    <w:rsid w:val="00933DA6"/>
    <w:rsid w:val="00933F41"/>
    <w:rsid w:val="0093413B"/>
    <w:rsid w:val="00934179"/>
    <w:rsid w:val="009341C5"/>
    <w:rsid w:val="00934387"/>
    <w:rsid w:val="00934CE1"/>
    <w:rsid w:val="00935C3B"/>
    <w:rsid w:val="00936687"/>
    <w:rsid w:val="009367A1"/>
    <w:rsid w:val="00937B91"/>
    <w:rsid w:val="00937CE5"/>
    <w:rsid w:val="009402B1"/>
    <w:rsid w:val="009414D8"/>
    <w:rsid w:val="00941D36"/>
    <w:rsid w:val="00941FAC"/>
    <w:rsid w:val="00942202"/>
    <w:rsid w:val="0094229E"/>
    <w:rsid w:val="009422B9"/>
    <w:rsid w:val="0094336C"/>
    <w:rsid w:val="00943BA7"/>
    <w:rsid w:val="00943D11"/>
    <w:rsid w:val="00944623"/>
    <w:rsid w:val="00944A80"/>
    <w:rsid w:val="00944BBF"/>
    <w:rsid w:val="00944F7A"/>
    <w:rsid w:val="00945366"/>
    <w:rsid w:val="009476BE"/>
    <w:rsid w:val="00947AAF"/>
    <w:rsid w:val="00947C31"/>
    <w:rsid w:val="009506EC"/>
    <w:rsid w:val="009516E5"/>
    <w:rsid w:val="00951E0D"/>
    <w:rsid w:val="00951F80"/>
    <w:rsid w:val="00952C19"/>
    <w:rsid w:val="00952ECC"/>
    <w:rsid w:val="00952F6D"/>
    <w:rsid w:val="009531CC"/>
    <w:rsid w:val="0095449B"/>
    <w:rsid w:val="00954E9D"/>
    <w:rsid w:val="00955292"/>
    <w:rsid w:val="00955488"/>
    <w:rsid w:val="009561E1"/>
    <w:rsid w:val="00956648"/>
    <w:rsid w:val="009566DF"/>
    <w:rsid w:val="00956BE0"/>
    <w:rsid w:val="00957066"/>
    <w:rsid w:val="009578F6"/>
    <w:rsid w:val="009607D7"/>
    <w:rsid w:val="0096126B"/>
    <w:rsid w:val="00962047"/>
    <w:rsid w:val="00962866"/>
    <w:rsid w:val="009629AF"/>
    <w:rsid w:val="00963C1F"/>
    <w:rsid w:val="00965014"/>
    <w:rsid w:val="009651E9"/>
    <w:rsid w:val="00965A66"/>
    <w:rsid w:val="00966443"/>
    <w:rsid w:val="009669AC"/>
    <w:rsid w:val="0096765E"/>
    <w:rsid w:val="00967E2E"/>
    <w:rsid w:val="00970398"/>
    <w:rsid w:val="00970B9B"/>
    <w:rsid w:val="00971CF8"/>
    <w:rsid w:val="009725B4"/>
    <w:rsid w:val="0097404B"/>
    <w:rsid w:val="0097520E"/>
    <w:rsid w:val="00975792"/>
    <w:rsid w:val="00975DF5"/>
    <w:rsid w:val="00976E74"/>
    <w:rsid w:val="0097712B"/>
    <w:rsid w:val="00977BED"/>
    <w:rsid w:val="00977C9D"/>
    <w:rsid w:val="009801C2"/>
    <w:rsid w:val="00981A02"/>
    <w:rsid w:val="00982293"/>
    <w:rsid w:val="0098251C"/>
    <w:rsid w:val="00982AB3"/>
    <w:rsid w:val="00982BCB"/>
    <w:rsid w:val="009842B9"/>
    <w:rsid w:val="0098468C"/>
    <w:rsid w:val="009848F8"/>
    <w:rsid w:val="00984D40"/>
    <w:rsid w:val="00985226"/>
    <w:rsid w:val="0098570E"/>
    <w:rsid w:val="009858E4"/>
    <w:rsid w:val="00985CB6"/>
    <w:rsid w:val="009863B1"/>
    <w:rsid w:val="00986ED1"/>
    <w:rsid w:val="00987030"/>
    <w:rsid w:val="00987488"/>
    <w:rsid w:val="009877E8"/>
    <w:rsid w:val="00987B37"/>
    <w:rsid w:val="009904EA"/>
    <w:rsid w:val="009905AB"/>
    <w:rsid w:val="009906A4"/>
    <w:rsid w:val="009913FF"/>
    <w:rsid w:val="00991D8E"/>
    <w:rsid w:val="00992136"/>
    <w:rsid w:val="00992B2B"/>
    <w:rsid w:val="009953E1"/>
    <w:rsid w:val="00995A27"/>
    <w:rsid w:val="0099765A"/>
    <w:rsid w:val="00997B36"/>
    <w:rsid w:val="00997B37"/>
    <w:rsid w:val="009A04A8"/>
    <w:rsid w:val="009A0E6B"/>
    <w:rsid w:val="009A1AD8"/>
    <w:rsid w:val="009A1E74"/>
    <w:rsid w:val="009A219C"/>
    <w:rsid w:val="009A2E6C"/>
    <w:rsid w:val="009A3A46"/>
    <w:rsid w:val="009A3B53"/>
    <w:rsid w:val="009A3D1E"/>
    <w:rsid w:val="009A4137"/>
    <w:rsid w:val="009A4D88"/>
    <w:rsid w:val="009A527D"/>
    <w:rsid w:val="009A5B6B"/>
    <w:rsid w:val="009A690C"/>
    <w:rsid w:val="009A6BF6"/>
    <w:rsid w:val="009A7369"/>
    <w:rsid w:val="009B080A"/>
    <w:rsid w:val="009B0A7B"/>
    <w:rsid w:val="009B0ADB"/>
    <w:rsid w:val="009B0B4A"/>
    <w:rsid w:val="009B2734"/>
    <w:rsid w:val="009B3E22"/>
    <w:rsid w:val="009B3EF7"/>
    <w:rsid w:val="009B42AA"/>
    <w:rsid w:val="009B4456"/>
    <w:rsid w:val="009B4D86"/>
    <w:rsid w:val="009B5142"/>
    <w:rsid w:val="009B5305"/>
    <w:rsid w:val="009B609A"/>
    <w:rsid w:val="009B7177"/>
    <w:rsid w:val="009B7188"/>
    <w:rsid w:val="009B78CA"/>
    <w:rsid w:val="009C0532"/>
    <w:rsid w:val="009C25C5"/>
    <w:rsid w:val="009C29D8"/>
    <w:rsid w:val="009C2F7E"/>
    <w:rsid w:val="009C3139"/>
    <w:rsid w:val="009C36CF"/>
    <w:rsid w:val="009C410A"/>
    <w:rsid w:val="009C449D"/>
    <w:rsid w:val="009C49B9"/>
    <w:rsid w:val="009C4B63"/>
    <w:rsid w:val="009C4D45"/>
    <w:rsid w:val="009C4F84"/>
    <w:rsid w:val="009C70D7"/>
    <w:rsid w:val="009C7409"/>
    <w:rsid w:val="009C7705"/>
    <w:rsid w:val="009C7AD2"/>
    <w:rsid w:val="009C7DED"/>
    <w:rsid w:val="009C7F06"/>
    <w:rsid w:val="009D02B6"/>
    <w:rsid w:val="009D07C5"/>
    <w:rsid w:val="009D0F62"/>
    <w:rsid w:val="009D1CF3"/>
    <w:rsid w:val="009D2615"/>
    <w:rsid w:val="009D2633"/>
    <w:rsid w:val="009D2993"/>
    <w:rsid w:val="009D2CB6"/>
    <w:rsid w:val="009D36EF"/>
    <w:rsid w:val="009D4015"/>
    <w:rsid w:val="009D4640"/>
    <w:rsid w:val="009D4889"/>
    <w:rsid w:val="009D65C0"/>
    <w:rsid w:val="009D6632"/>
    <w:rsid w:val="009D6D8F"/>
    <w:rsid w:val="009D75F6"/>
    <w:rsid w:val="009E025B"/>
    <w:rsid w:val="009E0463"/>
    <w:rsid w:val="009E053A"/>
    <w:rsid w:val="009E1073"/>
    <w:rsid w:val="009E2F70"/>
    <w:rsid w:val="009E3028"/>
    <w:rsid w:val="009E3625"/>
    <w:rsid w:val="009E3A47"/>
    <w:rsid w:val="009E3B48"/>
    <w:rsid w:val="009E3BF3"/>
    <w:rsid w:val="009E4020"/>
    <w:rsid w:val="009E46FC"/>
    <w:rsid w:val="009E588D"/>
    <w:rsid w:val="009E58C7"/>
    <w:rsid w:val="009E6922"/>
    <w:rsid w:val="009E7D7D"/>
    <w:rsid w:val="009F0333"/>
    <w:rsid w:val="009F1B0A"/>
    <w:rsid w:val="009F1D45"/>
    <w:rsid w:val="009F1EF0"/>
    <w:rsid w:val="009F2063"/>
    <w:rsid w:val="009F20EB"/>
    <w:rsid w:val="009F2230"/>
    <w:rsid w:val="009F297E"/>
    <w:rsid w:val="009F2CF6"/>
    <w:rsid w:val="009F2D95"/>
    <w:rsid w:val="009F3DDB"/>
    <w:rsid w:val="009F411E"/>
    <w:rsid w:val="009F4D5C"/>
    <w:rsid w:val="009F4F93"/>
    <w:rsid w:val="009F51A5"/>
    <w:rsid w:val="009F52EB"/>
    <w:rsid w:val="009F5349"/>
    <w:rsid w:val="009F681B"/>
    <w:rsid w:val="009F68D4"/>
    <w:rsid w:val="009F6950"/>
    <w:rsid w:val="009F697B"/>
    <w:rsid w:val="009F6FFC"/>
    <w:rsid w:val="009F7206"/>
    <w:rsid w:val="009F74E6"/>
    <w:rsid w:val="00A0078A"/>
    <w:rsid w:val="00A00A84"/>
    <w:rsid w:val="00A00C4F"/>
    <w:rsid w:val="00A0103E"/>
    <w:rsid w:val="00A019D5"/>
    <w:rsid w:val="00A03770"/>
    <w:rsid w:val="00A03CF4"/>
    <w:rsid w:val="00A05BF6"/>
    <w:rsid w:val="00A05C48"/>
    <w:rsid w:val="00A05CFE"/>
    <w:rsid w:val="00A05EBB"/>
    <w:rsid w:val="00A06121"/>
    <w:rsid w:val="00A06CE8"/>
    <w:rsid w:val="00A0723C"/>
    <w:rsid w:val="00A0772D"/>
    <w:rsid w:val="00A07B3B"/>
    <w:rsid w:val="00A107FA"/>
    <w:rsid w:val="00A11400"/>
    <w:rsid w:val="00A11B1F"/>
    <w:rsid w:val="00A11C7F"/>
    <w:rsid w:val="00A11DF0"/>
    <w:rsid w:val="00A12104"/>
    <w:rsid w:val="00A12602"/>
    <w:rsid w:val="00A12CFF"/>
    <w:rsid w:val="00A1405D"/>
    <w:rsid w:val="00A14175"/>
    <w:rsid w:val="00A14F28"/>
    <w:rsid w:val="00A15840"/>
    <w:rsid w:val="00A1662D"/>
    <w:rsid w:val="00A175EA"/>
    <w:rsid w:val="00A2076A"/>
    <w:rsid w:val="00A20B68"/>
    <w:rsid w:val="00A23309"/>
    <w:rsid w:val="00A237C6"/>
    <w:rsid w:val="00A23D0B"/>
    <w:rsid w:val="00A24190"/>
    <w:rsid w:val="00A25691"/>
    <w:rsid w:val="00A259C5"/>
    <w:rsid w:val="00A25F91"/>
    <w:rsid w:val="00A262A5"/>
    <w:rsid w:val="00A2778F"/>
    <w:rsid w:val="00A27C51"/>
    <w:rsid w:val="00A27F18"/>
    <w:rsid w:val="00A307EB"/>
    <w:rsid w:val="00A3086C"/>
    <w:rsid w:val="00A308E2"/>
    <w:rsid w:val="00A30FDA"/>
    <w:rsid w:val="00A315D3"/>
    <w:rsid w:val="00A31604"/>
    <w:rsid w:val="00A31701"/>
    <w:rsid w:val="00A31E05"/>
    <w:rsid w:val="00A31FF0"/>
    <w:rsid w:val="00A342DB"/>
    <w:rsid w:val="00A3480D"/>
    <w:rsid w:val="00A34B3F"/>
    <w:rsid w:val="00A35A5F"/>
    <w:rsid w:val="00A35D22"/>
    <w:rsid w:val="00A36037"/>
    <w:rsid w:val="00A3749F"/>
    <w:rsid w:val="00A374FB"/>
    <w:rsid w:val="00A4000E"/>
    <w:rsid w:val="00A40C22"/>
    <w:rsid w:val="00A41548"/>
    <w:rsid w:val="00A41BF1"/>
    <w:rsid w:val="00A41E91"/>
    <w:rsid w:val="00A42DE4"/>
    <w:rsid w:val="00A43D16"/>
    <w:rsid w:val="00A43E90"/>
    <w:rsid w:val="00A43F13"/>
    <w:rsid w:val="00A44A39"/>
    <w:rsid w:val="00A45172"/>
    <w:rsid w:val="00A456AA"/>
    <w:rsid w:val="00A45ACA"/>
    <w:rsid w:val="00A461F4"/>
    <w:rsid w:val="00A463C0"/>
    <w:rsid w:val="00A46437"/>
    <w:rsid w:val="00A467DF"/>
    <w:rsid w:val="00A478CF"/>
    <w:rsid w:val="00A47ABD"/>
    <w:rsid w:val="00A47FC5"/>
    <w:rsid w:val="00A5211E"/>
    <w:rsid w:val="00A52390"/>
    <w:rsid w:val="00A52B18"/>
    <w:rsid w:val="00A52F6A"/>
    <w:rsid w:val="00A53705"/>
    <w:rsid w:val="00A537D7"/>
    <w:rsid w:val="00A53A4E"/>
    <w:rsid w:val="00A53E1A"/>
    <w:rsid w:val="00A5455C"/>
    <w:rsid w:val="00A551E3"/>
    <w:rsid w:val="00A5596B"/>
    <w:rsid w:val="00A55FB0"/>
    <w:rsid w:val="00A56076"/>
    <w:rsid w:val="00A56161"/>
    <w:rsid w:val="00A57070"/>
    <w:rsid w:val="00A573C2"/>
    <w:rsid w:val="00A5789D"/>
    <w:rsid w:val="00A6034A"/>
    <w:rsid w:val="00A60B81"/>
    <w:rsid w:val="00A60BA3"/>
    <w:rsid w:val="00A6116B"/>
    <w:rsid w:val="00A61668"/>
    <w:rsid w:val="00A62790"/>
    <w:rsid w:val="00A63134"/>
    <w:rsid w:val="00A64374"/>
    <w:rsid w:val="00A64419"/>
    <w:rsid w:val="00A652F8"/>
    <w:rsid w:val="00A657BE"/>
    <w:rsid w:val="00A65C1E"/>
    <w:rsid w:val="00A661D6"/>
    <w:rsid w:val="00A666EA"/>
    <w:rsid w:val="00A677FC"/>
    <w:rsid w:val="00A678BC"/>
    <w:rsid w:val="00A67BC9"/>
    <w:rsid w:val="00A703EA"/>
    <w:rsid w:val="00A71123"/>
    <w:rsid w:val="00A71A9E"/>
    <w:rsid w:val="00A723F7"/>
    <w:rsid w:val="00A72415"/>
    <w:rsid w:val="00A726B7"/>
    <w:rsid w:val="00A73D10"/>
    <w:rsid w:val="00A7421E"/>
    <w:rsid w:val="00A745BF"/>
    <w:rsid w:val="00A7474F"/>
    <w:rsid w:val="00A74F92"/>
    <w:rsid w:val="00A7585E"/>
    <w:rsid w:val="00A75BFC"/>
    <w:rsid w:val="00A75DBC"/>
    <w:rsid w:val="00A75FE0"/>
    <w:rsid w:val="00A76668"/>
    <w:rsid w:val="00A76A4B"/>
    <w:rsid w:val="00A80CEA"/>
    <w:rsid w:val="00A810D9"/>
    <w:rsid w:val="00A81CC2"/>
    <w:rsid w:val="00A82B3C"/>
    <w:rsid w:val="00A839C1"/>
    <w:rsid w:val="00A83A8C"/>
    <w:rsid w:val="00A8448C"/>
    <w:rsid w:val="00A848F6"/>
    <w:rsid w:val="00A84E68"/>
    <w:rsid w:val="00A86DA7"/>
    <w:rsid w:val="00A86F66"/>
    <w:rsid w:val="00A87779"/>
    <w:rsid w:val="00A90124"/>
    <w:rsid w:val="00A905E0"/>
    <w:rsid w:val="00A90B88"/>
    <w:rsid w:val="00A90BCD"/>
    <w:rsid w:val="00A91BF3"/>
    <w:rsid w:val="00A92121"/>
    <w:rsid w:val="00A9277C"/>
    <w:rsid w:val="00A92AF5"/>
    <w:rsid w:val="00A92EF1"/>
    <w:rsid w:val="00A9309C"/>
    <w:rsid w:val="00A94638"/>
    <w:rsid w:val="00A94F44"/>
    <w:rsid w:val="00A95059"/>
    <w:rsid w:val="00A95CF7"/>
    <w:rsid w:val="00A968DE"/>
    <w:rsid w:val="00A96F65"/>
    <w:rsid w:val="00A97069"/>
    <w:rsid w:val="00A9738B"/>
    <w:rsid w:val="00A9791B"/>
    <w:rsid w:val="00A9794B"/>
    <w:rsid w:val="00A97D45"/>
    <w:rsid w:val="00AA014A"/>
    <w:rsid w:val="00AA06F1"/>
    <w:rsid w:val="00AA07E2"/>
    <w:rsid w:val="00AA0D41"/>
    <w:rsid w:val="00AA135F"/>
    <w:rsid w:val="00AA1869"/>
    <w:rsid w:val="00AA186D"/>
    <w:rsid w:val="00AA1928"/>
    <w:rsid w:val="00AA1BE5"/>
    <w:rsid w:val="00AA328F"/>
    <w:rsid w:val="00AA35B4"/>
    <w:rsid w:val="00AA36D9"/>
    <w:rsid w:val="00AA37CA"/>
    <w:rsid w:val="00AA3995"/>
    <w:rsid w:val="00AA46F7"/>
    <w:rsid w:val="00AA484D"/>
    <w:rsid w:val="00AA4987"/>
    <w:rsid w:val="00AA5C0A"/>
    <w:rsid w:val="00AA62D1"/>
    <w:rsid w:val="00AA66C9"/>
    <w:rsid w:val="00AA7901"/>
    <w:rsid w:val="00AA7968"/>
    <w:rsid w:val="00AA7A23"/>
    <w:rsid w:val="00AB0C3D"/>
    <w:rsid w:val="00AB2A1F"/>
    <w:rsid w:val="00AB2AB3"/>
    <w:rsid w:val="00AB2FEB"/>
    <w:rsid w:val="00AB335D"/>
    <w:rsid w:val="00AB380B"/>
    <w:rsid w:val="00AB433B"/>
    <w:rsid w:val="00AB4AEC"/>
    <w:rsid w:val="00AB4BCB"/>
    <w:rsid w:val="00AB51FD"/>
    <w:rsid w:val="00AB551F"/>
    <w:rsid w:val="00AB6758"/>
    <w:rsid w:val="00AB7B75"/>
    <w:rsid w:val="00AB7CE1"/>
    <w:rsid w:val="00AC0292"/>
    <w:rsid w:val="00AC05B4"/>
    <w:rsid w:val="00AC0B8D"/>
    <w:rsid w:val="00AC0C69"/>
    <w:rsid w:val="00AC0FDA"/>
    <w:rsid w:val="00AC110A"/>
    <w:rsid w:val="00AC1A0F"/>
    <w:rsid w:val="00AC2C2F"/>
    <w:rsid w:val="00AC3A38"/>
    <w:rsid w:val="00AC3BF5"/>
    <w:rsid w:val="00AC407B"/>
    <w:rsid w:val="00AC452A"/>
    <w:rsid w:val="00AC46AB"/>
    <w:rsid w:val="00AC51C4"/>
    <w:rsid w:val="00AC5356"/>
    <w:rsid w:val="00AC58BC"/>
    <w:rsid w:val="00AC6313"/>
    <w:rsid w:val="00AC6E8D"/>
    <w:rsid w:val="00AD07E9"/>
    <w:rsid w:val="00AD1264"/>
    <w:rsid w:val="00AD1503"/>
    <w:rsid w:val="00AD16B3"/>
    <w:rsid w:val="00AD26F4"/>
    <w:rsid w:val="00AD291A"/>
    <w:rsid w:val="00AD31CE"/>
    <w:rsid w:val="00AD382C"/>
    <w:rsid w:val="00AD4A55"/>
    <w:rsid w:val="00AD4AEA"/>
    <w:rsid w:val="00AD527B"/>
    <w:rsid w:val="00AD528C"/>
    <w:rsid w:val="00AD58D0"/>
    <w:rsid w:val="00AD63DB"/>
    <w:rsid w:val="00AD7814"/>
    <w:rsid w:val="00AD79EC"/>
    <w:rsid w:val="00AE0064"/>
    <w:rsid w:val="00AE07E7"/>
    <w:rsid w:val="00AE098F"/>
    <w:rsid w:val="00AE0DCA"/>
    <w:rsid w:val="00AE1EF2"/>
    <w:rsid w:val="00AE22DA"/>
    <w:rsid w:val="00AE2E33"/>
    <w:rsid w:val="00AE3150"/>
    <w:rsid w:val="00AE31FA"/>
    <w:rsid w:val="00AE3CB9"/>
    <w:rsid w:val="00AE415C"/>
    <w:rsid w:val="00AE5851"/>
    <w:rsid w:val="00AE5AFB"/>
    <w:rsid w:val="00AE6256"/>
    <w:rsid w:val="00AE6F3D"/>
    <w:rsid w:val="00AE7341"/>
    <w:rsid w:val="00AE7C17"/>
    <w:rsid w:val="00AF0958"/>
    <w:rsid w:val="00AF09D9"/>
    <w:rsid w:val="00AF0BFD"/>
    <w:rsid w:val="00AF194D"/>
    <w:rsid w:val="00AF1DE6"/>
    <w:rsid w:val="00AF3AAE"/>
    <w:rsid w:val="00AF3EC1"/>
    <w:rsid w:val="00AF44AF"/>
    <w:rsid w:val="00AF46C2"/>
    <w:rsid w:val="00AF53F0"/>
    <w:rsid w:val="00AF5621"/>
    <w:rsid w:val="00AF593E"/>
    <w:rsid w:val="00AF5D85"/>
    <w:rsid w:val="00AF6FBC"/>
    <w:rsid w:val="00B00FD6"/>
    <w:rsid w:val="00B021EF"/>
    <w:rsid w:val="00B023D5"/>
    <w:rsid w:val="00B03F74"/>
    <w:rsid w:val="00B04796"/>
    <w:rsid w:val="00B04B2A"/>
    <w:rsid w:val="00B05DFB"/>
    <w:rsid w:val="00B06149"/>
    <w:rsid w:val="00B0671E"/>
    <w:rsid w:val="00B06748"/>
    <w:rsid w:val="00B06C9B"/>
    <w:rsid w:val="00B07575"/>
    <w:rsid w:val="00B07D6A"/>
    <w:rsid w:val="00B07D9E"/>
    <w:rsid w:val="00B10111"/>
    <w:rsid w:val="00B10177"/>
    <w:rsid w:val="00B10DA2"/>
    <w:rsid w:val="00B10E89"/>
    <w:rsid w:val="00B113FF"/>
    <w:rsid w:val="00B115B5"/>
    <w:rsid w:val="00B115D0"/>
    <w:rsid w:val="00B11627"/>
    <w:rsid w:val="00B116D8"/>
    <w:rsid w:val="00B11BC6"/>
    <w:rsid w:val="00B121E3"/>
    <w:rsid w:val="00B12E6B"/>
    <w:rsid w:val="00B13048"/>
    <w:rsid w:val="00B13241"/>
    <w:rsid w:val="00B1330A"/>
    <w:rsid w:val="00B133AF"/>
    <w:rsid w:val="00B13C3A"/>
    <w:rsid w:val="00B13F29"/>
    <w:rsid w:val="00B1429B"/>
    <w:rsid w:val="00B14DF3"/>
    <w:rsid w:val="00B15208"/>
    <w:rsid w:val="00B15488"/>
    <w:rsid w:val="00B15B83"/>
    <w:rsid w:val="00B16A64"/>
    <w:rsid w:val="00B177BC"/>
    <w:rsid w:val="00B20126"/>
    <w:rsid w:val="00B202A1"/>
    <w:rsid w:val="00B216E2"/>
    <w:rsid w:val="00B21790"/>
    <w:rsid w:val="00B21E5F"/>
    <w:rsid w:val="00B223EB"/>
    <w:rsid w:val="00B2292B"/>
    <w:rsid w:val="00B23B86"/>
    <w:rsid w:val="00B23F8F"/>
    <w:rsid w:val="00B24AF2"/>
    <w:rsid w:val="00B2599B"/>
    <w:rsid w:val="00B25A49"/>
    <w:rsid w:val="00B25ED6"/>
    <w:rsid w:val="00B26CA7"/>
    <w:rsid w:val="00B277B8"/>
    <w:rsid w:val="00B2794D"/>
    <w:rsid w:val="00B27BFD"/>
    <w:rsid w:val="00B310E7"/>
    <w:rsid w:val="00B31260"/>
    <w:rsid w:val="00B3195A"/>
    <w:rsid w:val="00B31994"/>
    <w:rsid w:val="00B319F8"/>
    <w:rsid w:val="00B3254A"/>
    <w:rsid w:val="00B33082"/>
    <w:rsid w:val="00B3344D"/>
    <w:rsid w:val="00B336CA"/>
    <w:rsid w:val="00B33C07"/>
    <w:rsid w:val="00B33CE4"/>
    <w:rsid w:val="00B340B6"/>
    <w:rsid w:val="00B34CB6"/>
    <w:rsid w:val="00B3546D"/>
    <w:rsid w:val="00B3547F"/>
    <w:rsid w:val="00B3574E"/>
    <w:rsid w:val="00B35C67"/>
    <w:rsid w:val="00B35F14"/>
    <w:rsid w:val="00B3622E"/>
    <w:rsid w:val="00B36429"/>
    <w:rsid w:val="00B36A0B"/>
    <w:rsid w:val="00B37D3E"/>
    <w:rsid w:val="00B37D46"/>
    <w:rsid w:val="00B404FB"/>
    <w:rsid w:val="00B40722"/>
    <w:rsid w:val="00B40890"/>
    <w:rsid w:val="00B412B7"/>
    <w:rsid w:val="00B4175D"/>
    <w:rsid w:val="00B41CC9"/>
    <w:rsid w:val="00B4288D"/>
    <w:rsid w:val="00B43465"/>
    <w:rsid w:val="00B43489"/>
    <w:rsid w:val="00B43976"/>
    <w:rsid w:val="00B43D3B"/>
    <w:rsid w:val="00B43FF6"/>
    <w:rsid w:val="00B440B2"/>
    <w:rsid w:val="00B441B5"/>
    <w:rsid w:val="00B44327"/>
    <w:rsid w:val="00B44433"/>
    <w:rsid w:val="00B44F01"/>
    <w:rsid w:val="00B46092"/>
    <w:rsid w:val="00B46499"/>
    <w:rsid w:val="00B465E2"/>
    <w:rsid w:val="00B46833"/>
    <w:rsid w:val="00B46AD1"/>
    <w:rsid w:val="00B46B4C"/>
    <w:rsid w:val="00B502DC"/>
    <w:rsid w:val="00B509FB"/>
    <w:rsid w:val="00B50FF5"/>
    <w:rsid w:val="00B5130D"/>
    <w:rsid w:val="00B516DB"/>
    <w:rsid w:val="00B51C9E"/>
    <w:rsid w:val="00B52A17"/>
    <w:rsid w:val="00B52C0A"/>
    <w:rsid w:val="00B52F1B"/>
    <w:rsid w:val="00B53D16"/>
    <w:rsid w:val="00B54273"/>
    <w:rsid w:val="00B5458B"/>
    <w:rsid w:val="00B546E3"/>
    <w:rsid w:val="00B55089"/>
    <w:rsid w:val="00B5520A"/>
    <w:rsid w:val="00B5574F"/>
    <w:rsid w:val="00B558FD"/>
    <w:rsid w:val="00B55987"/>
    <w:rsid w:val="00B564F4"/>
    <w:rsid w:val="00B56B24"/>
    <w:rsid w:val="00B56FBC"/>
    <w:rsid w:val="00B57073"/>
    <w:rsid w:val="00B57EE4"/>
    <w:rsid w:val="00B602C0"/>
    <w:rsid w:val="00B6075D"/>
    <w:rsid w:val="00B60AEF"/>
    <w:rsid w:val="00B60E3F"/>
    <w:rsid w:val="00B61008"/>
    <w:rsid w:val="00B613E0"/>
    <w:rsid w:val="00B6219D"/>
    <w:rsid w:val="00B62302"/>
    <w:rsid w:val="00B63149"/>
    <w:rsid w:val="00B632A3"/>
    <w:rsid w:val="00B63ADF"/>
    <w:rsid w:val="00B64A91"/>
    <w:rsid w:val="00B64CA7"/>
    <w:rsid w:val="00B6659C"/>
    <w:rsid w:val="00B6722B"/>
    <w:rsid w:val="00B70FC8"/>
    <w:rsid w:val="00B712D0"/>
    <w:rsid w:val="00B71330"/>
    <w:rsid w:val="00B71474"/>
    <w:rsid w:val="00B71713"/>
    <w:rsid w:val="00B717AB"/>
    <w:rsid w:val="00B7194C"/>
    <w:rsid w:val="00B722C7"/>
    <w:rsid w:val="00B740F0"/>
    <w:rsid w:val="00B7420A"/>
    <w:rsid w:val="00B744A4"/>
    <w:rsid w:val="00B756A9"/>
    <w:rsid w:val="00B75E8D"/>
    <w:rsid w:val="00B75FAB"/>
    <w:rsid w:val="00B76126"/>
    <w:rsid w:val="00B76575"/>
    <w:rsid w:val="00B766E0"/>
    <w:rsid w:val="00B76B5D"/>
    <w:rsid w:val="00B76F4B"/>
    <w:rsid w:val="00B775A4"/>
    <w:rsid w:val="00B77B48"/>
    <w:rsid w:val="00B8030C"/>
    <w:rsid w:val="00B80C82"/>
    <w:rsid w:val="00B81520"/>
    <w:rsid w:val="00B8184B"/>
    <w:rsid w:val="00B818EB"/>
    <w:rsid w:val="00B819CB"/>
    <w:rsid w:val="00B81D29"/>
    <w:rsid w:val="00B82539"/>
    <w:rsid w:val="00B83AF0"/>
    <w:rsid w:val="00B84473"/>
    <w:rsid w:val="00B8465B"/>
    <w:rsid w:val="00B84A55"/>
    <w:rsid w:val="00B84FF5"/>
    <w:rsid w:val="00B8503D"/>
    <w:rsid w:val="00B858C5"/>
    <w:rsid w:val="00B86783"/>
    <w:rsid w:val="00B86C6B"/>
    <w:rsid w:val="00B87D57"/>
    <w:rsid w:val="00B91B5F"/>
    <w:rsid w:val="00B923BE"/>
    <w:rsid w:val="00B9292C"/>
    <w:rsid w:val="00B92A56"/>
    <w:rsid w:val="00B92E1B"/>
    <w:rsid w:val="00B937BE"/>
    <w:rsid w:val="00B93D57"/>
    <w:rsid w:val="00B9454B"/>
    <w:rsid w:val="00B94E66"/>
    <w:rsid w:val="00B9584E"/>
    <w:rsid w:val="00B95B41"/>
    <w:rsid w:val="00B96B5D"/>
    <w:rsid w:val="00B96CE1"/>
    <w:rsid w:val="00BA02A5"/>
    <w:rsid w:val="00BA0CE5"/>
    <w:rsid w:val="00BA0DCA"/>
    <w:rsid w:val="00BA1E77"/>
    <w:rsid w:val="00BA1E7C"/>
    <w:rsid w:val="00BA2A1D"/>
    <w:rsid w:val="00BA2CD0"/>
    <w:rsid w:val="00BA3412"/>
    <w:rsid w:val="00BA376A"/>
    <w:rsid w:val="00BA3F77"/>
    <w:rsid w:val="00BA525D"/>
    <w:rsid w:val="00BA58BA"/>
    <w:rsid w:val="00BA6009"/>
    <w:rsid w:val="00BA6371"/>
    <w:rsid w:val="00BA657E"/>
    <w:rsid w:val="00BA6835"/>
    <w:rsid w:val="00BA7306"/>
    <w:rsid w:val="00BA7772"/>
    <w:rsid w:val="00BB0B79"/>
    <w:rsid w:val="00BB0C1F"/>
    <w:rsid w:val="00BB0CAC"/>
    <w:rsid w:val="00BB12B5"/>
    <w:rsid w:val="00BB155A"/>
    <w:rsid w:val="00BB1647"/>
    <w:rsid w:val="00BB1E2F"/>
    <w:rsid w:val="00BB3A3A"/>
    <w:rsid w:val="00BB4497"/>
    <w:rsid w:val="00BB4913"/>
    <w:rsid w:val="00BB4DFB"/>
    <w:rsid w:val="00BB5AD0"/>
    <w:rsid w:val="00BB61CF"/>
    <w:rsid w:val="00BB68CD"/>
    <w:rsid w:val="00BB715C"/>
    <w:rsid w:val="00BB7397"/>
    <w:rsid w:val="00BB788F"/>
    <w:rsid w:val="00BC0222"/>
    <w:rsid w:val="00BC0F3D"/>
    <w:rsid w:val="00BC1663"/>
    <w:rsid w:val="00BC24A7"/>
    <w:rsid w:val="00BC2B38"/>
    <w:rsid w:val="00BC2B59"/>
    <w:rsid w:val="00BC304A"/>
    <w:rsid w:val="00BC3F5B"/>
    <w:rsid w:val="00BC4231"/>
    <w:rsid w:val="00BC458E"/>
    <w:rsid w:val="00BC4B8E"/>
    <w:rsid w:val="00BC4F3A"/>
    <w:rsid w:val="00BC528F"/>
    <w:rsid w:val="00BC55EF"/>
    <w:rsid w:val="00BC5649"/>
    <w:rsid w:val="00BC61CF"/>
    <w:rsid w:val="00BC6473"/>
    <w:rsid w:val="00BC7204"/>
    <w:rsid w:val="00BC7AB5"/>
    <w:rsid w:val="00BC7B08"/>
    <w:rsid w:val="00BC7E73"/>
    <w:rsid w:val="00BD04FB"/>
    <w:rsid w:val="00BD0516"/>
    <w:rsid w:val="00BD1A70"/>
    <w:rsid w:val="00BD2362"/>
    <w:rsid w:val="00BD3728"/>
    <w:rsid w:val="00BD37A4"/>
    <w:rsid w:val="00BD3F80"/>
    <w:rsid w:val="00BD57CB"/>
    <w:rsid w:val="00BD6AB8"/>
    <w:rsid w:val="00BD6EEE"/>
    <w:rsid w:val="00BD769D"/>
    <w:rsid w:val="00BD78B0"/>
    <w:rsid w:val="00BD7E44"/>
    <w:rsid w:val="00BE0217"/>
    <w:rsid w:val="00BE05D8"/>
    <w:rsid w:val="00BE09F3"/>
    <w:rsid w:val="00BE0C68"/>
    <w:rsid w:val="00BE0F6C"/>
    <w:rsid w:val="00BE1647"/>
    <w:rsid w:val="00BE1C82"/>
    <w:rsid w:val="00BE25A9"/>
    <w:rsid w:val="00BE2709"/>
    <w:rsid w:val="00BE2B3E"/>
    <w:rsid w:val="00BE320E"/>
    <w:rsid w:val="00BE3636"/>
    <w:rsid w:val="00BE38A1"/>
    <w:rsid w:val="00BE3C8C"/>
    <w:rsid w:val="00BE4343"/>
    <w:rsid w:val="00BE44FA"/>
    <w:rsid w:val="00BE4BE4"/>
    <w:rsid w:val="00BE50E6"/>
    <w:rsid w:val="00BE517A"/>
    <w:rsid w:val="00BE5AAA"/>
    <w:rsid w:val="00BE6010"/>
    <w:rsid w:val="00BE68F4"/>
    <w:rsid w:val="00BE700A"/>
    <w:rsid w:val="00BE70F1"/>
    <w:rsid w:val="00BE7B3E"/>
    <w:rsid w:val="00BF058D"/>
    <w:rsid w:val="00BF0CCE"/>
    <w:rsid w:val="00BF1C44"/>
    <w:rsid w:val="00BF2977"/>
    <w:rsid w:val="00BF2C2A"/>
    <w:rsid w:val="00BF2D5F"/>
    <w:rsid w:val="00BF309E"/>
    <w:rsid w:val="00BF3978"/>
    <w:rsid w:val="00BF3BC6"/>
    <w:rsid w:val="00BF41FA"/>
    <w:rsid w:val="00BF465F"/>
    <w:rsid w:val="00BF4DB1"/>
    <w:rsid w:val="00BF4EDA"/>
    <w:rsid w:val="00BF545E"/>
    <w:rsid w:val="00BF5CC3"/>
    <w:rsid w:val="00BF6451"/>
    <w:rsid w:val="00BF6E9C"/>
    <w:rsid w:val="00BF74B8"/>
    <w:rsid w:val="00C0091F"/>
    <w:rsid w:val="00C00BB6"/>
    <w:rsid w:val="00C01058"/>
    <w:rsid w:val="00C0149B"/>
    <w:rsid w:val="00C01D30"/>
    <w:rsid w:val="00C02558"/>
    <w:rsid w:val="00C026BF"/>
    <w:rsid w:val="00C039CE"/>
    <w:rsid w:val="00C04C2C"/>
    <w:rsid w:val="00C052FF"/>
    <w:rsid w:val="00C05976"/>
    <w:rsid w:val="00C05E2C"/>
    <w:rsid w:val="00C064DE"/>
    <w:rsid w:val="00C065AA"/>
    <w:rsid w:val="00C06674"/>
    <w:rsid w:val="00C06827"/>
    <w:rsid w:val="00C0771C"/>
    <w:rsid w:val="00C077F6"/>
    <w:rsid w:val="00C10FAE"/>
    <w:rsid w:val="00C112AF"/>
    <w:rsid w:val="00C11782"/>
    <w:rsid w:val="00C12976"/>
    <w:rsid w:val="00C14961"/>
    <w:rsid w:val="00C1591C"/>
    <w:rsid w:val="00C1604E"/>
    <w:rsid w:val="00C160F1"/>
    <w:rsid w:val="00C165FB"/>
    <w:rsid w:val="00C17B13"/>
    <w:rsid w:val="00C2015A"/>
    <w:rsid w:val="00C20314"/>
    <w:rsid w:val="00C20ACF"/>
    <w:rsid w:val="00C21131"/>
    <w:rsid w:val="00C212DB"/>
    <w:rsid w:val="00C2186C"/>
    <w:rsid w:val="00C21B69"/>
    <w:rsid w:val="00C21D87"/>
    <w:rsid w:val="00C21FFB"/>
    <w:rsid w:val="00C22ACA"/>
    <w:rsid w:val="00C2313A"/>
    <w:rsid w:val="00C23677"/>
    <w:rsid w:val="00C23E23"/>
    <w:rsid w:val="00C243D7"/>
    <w:rsid w:val="00C2471B"/>
    <w:rsid w:val="00C24972"/>
    <w:rsid w:val="00C24B96"/>
    <w:rsid w:val="00C24ECD"/>
    <w:rsid w:val="00C25CBF"/>
    <w:rsid w:val="00C26649"/>
    <w:rsid w:val="00C267DD"/>
    <w:rsid w:val="00C26F97"/>
    <w:rsid w:val="00C30065"/>
    <w:rsid w:val="00C300A6"/>
    <w:rsid w:val="00C30337"/>
    <w:rsid w:val="00C304A8"/>
    <w:rsid w:val="00C3055C"/>
    <w:rsid w:val="00C3082F"/>
    <w:rsid w:val="00C3125C"/>
    <w:rsid w:val="00C318E7"/>
    <w:rsid w:val="00C31A86"/>
    <w:rsid w:val="00C31F2E"/>
    <w:rsid w:val="00C32077"/>
    <w:rsid w:val="00C3226E"/>
    <w:rsid w:val="00C3243D"/>
    <w:rsid w:val="00C33018"/>
    <w:rsid w:val="00C3329D"/>
    <w:rsid w:val="00C332C3"/>
    <w:rsid w:val="00C33C0F"/>
    <w:rsid w:val="00C3434D"/>
    <w:rsid w:val="00C34826"/>
    <w:rsid w:val="00C34D6B"/>
    <w:rsid w:val="00C352BE"/>
    <w:rsid w:val="00C358AA"/>
    <w:rsid w:val="00C35D3B"/>
    <w:rsid w:val="00C36387"/>
    <w:rsid w:val="00C363C5"/>
    <w:rsid w:val="00C36450"/>
    <w:rsid w:val="00C367C3"/>
    <w:rsid w:val="00C36855"/>
    <w:rsid w:val="00C36D01"/>
    <w:rsid w:val="00C371C7"/>
    <w:rsid w:val="00C37452"/>
    <w:rsid w:val="00C37760"/>
    <w:rsid w:val="00C37A39"/>
    <w:rsid w:val="00C37B9D"/>
    <w:rsid w:val="00C37DA6"/>
    <w:rsid w:val="00C40835"/>
    <w:rsid w:val="00C40BF8"/>
    <w:rsid w:val="00C40CF4"/>
    <w:rsid w:val="00C40D44"/>
    <w:rsid w:val="00C40E72"/>
    <w:rsid w:val="00C41B42"/>
    <w:rsid w:val="00C41D51"/>
    <w:rsid w:val="00C42202"/>
    <w:rsid w:val="00C42594"/>
    <w:rsid w:val="00C42A69"/>
    <w:rsid w:val="00C439BF"/>
    <w:rsid w:val="00C43A19"/>
    <w:rsid w:val="00C43D31"/>
    <w:rsid w:val="00C44299"/>
    <w:rsid w:val="00C4486F"/>
    <w:rsid w:val="00C449B0"/>
    <w:rsid w:val="00C45455"/>
    <w:rsid w:val="00C45516"/>
    <w:rsid w:val="00C45B81"/>
    <w:rsid w:val="00C45CF2"/>
    <w:rsid w:val="00C4604F"/>
    <w:rsid w:val="00C461E6"/>
    <w:rsid w:val="00C469C4"/>
    <w:rsid w:val="00C477F9"/>
    <w:rsid w:val="00C47BD9"/>
    <w:rsid w:val="00C5021D"/>
    <w:rsid w:val="00C506CA"/>
    <w:rsid w:val="00C514EE"/>
    <w:rsid w:val="00C52487"/>
    <w:rsid w:val="00C53B6B"/>
    <w:rsid w:val="00C53E8C"/>
    <w:rsid w:val="00C541AC"/>
    <w:rsid w:val="00C549FD"/>
    <w:rsid w:val="00C54B68"/>
    <w:rsid w:val="00C553BE"/>
    <w:rsid w:val="00C557BA"/>
    <w:rsid w:val="00C55928"/>
    <w:rsid w:val="00C55C9D"/>
    <w:rsid w:val="00C563AD"/>
    <w:rsid w:val="00C56D02"/>
    <w:rsid w:val="00C57472"/>
    <w:rsid w:val="00C5750D"/>
    <w:rsid w:val="00C5782A"/>
    <w:rsid w:val="00C5785D"/>
    <w:rsid w:val="00C61317"/>
    <w:rsid w:val="00C61E2E"/>
    <w:rsid w:val="00C62EE0"/>
    <w:rsid w:val="00C63A40"/>
    <w:rsid w:val="00C63E15"/>
    <w:rsid w:val="00C63E4C"/>
    <w:rsid w:val="00C65542"/>
    <w:rsid w:val="00C658AB"/>
    <w:rsid w:val="00C65FA7"/>
    <w:rsid w:val="00C6663F"/>
    <w:rsid w:val="00C66996"/>
    <w:rsid w:val="00C670BC"/>
    <w:rsid w:val="00C67598"/>
    <w:rsid w:val="00C678BF"/>
    <w:rsid w:val="00C67E99"/>
    <w:rsid w:val="00C707DC"/>
    <w:rsid w:val="00C71E4B"/>
    <w:rsid w:val="00C722E4"/>
    <w:rsid w:val="00C725BD"/>
    <w:rsid w:val="00C729E2"/>
    <w:rsid w:val="00C72E05"/>
    <w:rsid w:val="00C72F9A"/>
    <w:rsid w:val="00C73B2D"/>
    <w:rsid w:val="00C74370"/>
    <w:rsid w:val="00C74E33"/>
    <w:rsid w:val="00C75CB8"/>
    <w:rsid w:val="00C75D52"/>
    <w:rsid w:val="00C772C8"/>
    <w:rsid w:val="00C77BFC"/>
    <w:rsid w:val="00C77E43"/>
    <w:rsid w:val="00C802A2"/>
    <w:rsid w:val="00C80C08"/>
    <w:rsid w:val="00C80EF0"/>
    <w:rsid w:val="00C826AF"/>
    <w:rsid w:val="00C826C9"/>
    <w:rsid w:val="00C82864"/>
    <w:rsid w:val="00C82D8E"/>
    <w:rsid w:val="00C83002"/>
    <w:rsid w:val="00C83D4C"/>
    <w:rsid w:val="00C83E55"/>
    <w:rsid w:val="00C85131"/>
    <w:rsid w:val="00C85A62"/>
    <w:rsid w:val="00C86086"/>
    <w:rsid w:val="00C861C1"/>
    <w:rsid w:val="00C904D4"/>
    <w:rsid w:val="00C917D9"/>
    <w:rsid w:val="00C91DF4"/>
    <w:rsid w:val="00C922F6"/>
    <w:rsid w:val="00C9396D"/>
    <w:rsid w:val="00C949E1"/>
    <w:rsid w:val="00C94C21"/>
    <w:rsid w:val="00C95269"/>
    <w:rsid w:val="00C95AD9"/>
    <w:rsid w:val="00C95C3E"/>
    <w:rsid w:val="00C967E5"/>
    <w:rsid w:val="00C96F32"/>
    <w:rsid w:val="00C97483"/>
    <w:rsid w:val="00C97E05"/>
    <w:rsid w:val="00CA0795"/>
    <w:rsid w:val="00CA1140"/>
    <w:rsid w:val="00CA135F"/>
    <w:rsid w:val="00CA13C3"/>
    <w:rsid w:val="00CA19D7"/>
    <w:rsid w:val="00CA1A66"/>
    <w:rsid w:val="00CA207A"/>
    <w:rsid w:val="00CA2C99"/>
    <w:rsid w:val="00CA2CE9"/>
    <w:rsid w:val="00CA3654"/>
    <w:rsid w:val="00CA3B03"/>
    <w:rsid w:val="00CA4001"/>
    <w:rsid w:val="00CA44AB"/>
    <w:rsid w:val="00CA5BC8"/>
    <w:rsid w:val="00CA5F16"/>
    <w:rsid w:val="00CA6055"/>
    <w:rsid w:val="00CA6069"/>
    <w:rsid w:val="00CA6245"/>
    <w:rsid w:val="00CA6869"/>
    <w:rsid w:val="00CA718A"/>
    <w:rsid w:val="00CA732A"/>
    <w:rsid w:val="00CA7F3E"/>
    <w:rsid w:val="00CB0270"/>
    <w:rsid w:val="00CB1E12"/>
    <w:rsid w:val="00CB1FAD"/>
    <w:rsid w:val="00CB2573"/>
    <w:rsid w:val="00CB2736"/>
    <w:rsid w:val="00CB2CB4"/>
    <w:rsid w:val="00CB314E"/>
    <w:rsid w:val="00CB34E4"/>
    <w:rsid w:val="00CB4602"/>
    <w:rsid w:val="00CB4A5A"/>
    <w:rsid w:val="00CB6196"/>
    <w:rsid w:val="00CB6431"/>
    <w:rsid w:val="00CB6ADA"/>
    <w:rsid w:val="00CB6BCB"/>
    <w:rsid w:val="00CB7251"/>
    <w:rsid w:val="00CB79A0"/>
    <w:rsid w:val="00CC14E4"/>
    <w:rsid w:val="00CC16AA"/>
    <w:rsid w:val="00CC2883"/>
    <w:rsid w:val="00CC353E"/>
    <w:rsid w:val="00CC3C46"/>
    <w:rsid w:val="00CC4507"/>
    <w:rsid w:val="00CC4957"/>
    <w:rsid w:val="00CC4CE3"/>
    <w:rsid w:val="00CC5007"/>
    <w:rsid w:val="00CC50DA"/>
    <w:rsid w:val="00CC5629"/>
    <w:rsid w:val="00CC6194"/>
    <w:rsid w:val="00CC6303"/>
    <w:rsid w:val="00CC6B14"/>
    <w:rsid w:val="00CC6D40"/>
    <w:rsid w:val="00CC7089"/>
    <w:rsid w:val="00CC74E5"/>
    <w:rsid w:val="00CC7955"/>
    <w:rsid w:val="00CD063B"/>
    <w:rsid w:val="00CD0E12"/>
    <w:rsid w:val="00CD1B39"/>
    <w:rsid w:val="00CD1D29"/>
    <w:rsid w:val="00CD1E1F"/>
    <w:rsid w:val="00CD2DAE"/>
    <w:rsid w:val="00CD30A1"/>
    <w:rsid w:val="00CD31C3"/>
    <w:rsid w:val="00CD3741"/>
    <w:rsid w:val="00CD378E"/>
    <w:rsid w:val="00CD382D"/>
    <w:rsid w:val="00CD38B1"/>
    <w:rsid w:val="00CD424F"/>
    <w:rsid w:val="00CD48F4"/>
    <w:rsid w:val="00CD504E"/>
    <w:rsid w:val="00CD50C0"/>
    <w:rsid w:val="00CD5770"/>
    <w:rsid w:val="00CD67BE"/>
    <w:rsid w:val="00CD6D5A"/>
    <w:rsid w:val="00CD6F38"/>
    <w:rsid w:val="00CD7164"/>
    <w:rsid w:val="00CD740C"/>
    <w:rsid w:val="00CE00A3"/>
    <w:rsid w:val="00CE029B"/>
    <w:rsid w:val="00CE0325"/>
    <w:rsid w:val="00CE0CE9"/>
    <w:rsid w:val="00CE0D9D"/>
    <w:rsid w:val="00CE14D4"/>
    <w:rsid w:val="00CE1A01"/>
    <w:rsid w:val="00CE2B42"/>
    <w:rsid w:val="00CE2B84"/>
    <w:rsid w:val="00CE317F"/>
    <w:rsid w:val="00CE3CF6"/>
    <w:rsid w:val="00CE4034"/>
    <w:rsid w:val="00CE43AF"/>
    <w:rsid w:val="00CE5640"/>
    <w:rsid w:val="00CE5A6B"/>
    <w:rsid w:val="00CE6E46"/>
    <w:rsid w:val="00CE7272"/>
    <w:rsid w:val="00CE7987"/>
    <w:rsid w:val="00CE7C07"/>
    <w:rsid w:val="00CF0629"/>
    <w:rsid w:val="00CF1814"/>
    <w:rsid w:val="00CF2E90"/>
    <w:rsid w:val="00CF3A7A"/>
    <w:rsid w:val="00CF40A7"/>
    <w:rsid w:val="00CF47F3"/>
    <w:rsid w:val="00CF506B"/>
    <w:rsid w:val="00CF5EE5"/>
    <w:rsid w:val="00CF6BF2"/>
    <w:rsid w:val="00CF7299"/>
    <w:rsid w:val="00CF7434"/>
    <w:rsid w:val="00CF7671"/>
    <w:rsid w:val="00D000F0"/>
    <w:rsid w:val="00D00EA2"/>
    <w:rsid w:val="00D01272"/>
    <w:rsid w:val="00D012A8"/>
    <w:rsid w:val="00D01C94"/>
    <w:rsid w:val="00D0263B"/>
    <w:rsid w:val="00D02B78"/>
    <w:rsid w:val="00D03071"/>
    <w:rsid w:val="00D0309B"/>
    <w:rsid w:val="00D034BC"/>
    <w:rsid w:val="00D0369B"/>
    <w:rsid w:val="00D03D10"/>
    <w:rsid w:val="00D041AD"/>
    <w:rsid w:val="00D04247"/>
    <w:rsid w:val="00D042B6"/>
    <w:rsid w:val="00D04EED"/>
    <w:rsid w:val="00D05024"/>
    <w:rsid w:val="00D050DD"/>
    <w:rsid w:val="00D05230"/>
    <w:rsid w:val="00D057C9"/>
    <w:rsid w:val="00D05E51"/>
    <w:rsid w:val="00D0659C"/>
    <w:rsid w:val="00D06C86"/>
    <w:rsid w:val="00D0749E"/>
    <w:rsid w:val="00D078A1"/>
    <w:rsid w:val="00D10307"/>
    <w:rsid w:val="00D1033C"/>
    <w:rsid w:val="00D106A8"/>
    <w:rsid w:val="00D116AA"/>
    <w:rsid w:val="00D11D77"/>
    <w:rsid w:val="00D11DB5"/>
    <w:rsid w:val="00D121E5"/>
    <w:rsid w:val="00D12442"/>
    <w:rsid w:val="00D1273D"/>
    <w:rsid w:val="00D12BA8"/>
    <w:rsid w:val="00D1442D"/>
    <w:rsid w:val="00D14666"/>
    <w:rsid w:val="00D147EB"/>
    <w:rsid w:val="00D156E5"/>
    <w:rsid w:val="00D15DDC"/>
    <w:rsid w:val="00D16D57"/>
    <w:rsid w:val="00D171FB"/>
    <w:rsid w:val="00D1744A"/>
    <w:rsid w:val="00D174AF"/>
    <w:rsid w:val="00D177BC"/>
    <w:rsid w:val="00D17B99"/>
    <w:rsid w:val="00D2060A"/>
    <w:rsid w:val="00D20C65"/>
    <w:rsid w:val="00D20CD7"/>
    <w:rsid w:val="00D21670"/>
    <w:rsid w:val="00D21735"/>
    <w:rsid w:val="00D21A5E"/>
    <w:rsid w:val="00D224AF"/>
    <w:rsid w:val="00D23A77"/>
    <w:rsid w:val="00D240D1"/>
    <w:rsid w:val="00D24215"/>
    <w:rsid w:val="00D24255"/>
    <w:rsid w:val="00D2440C"/>
    <w:rsid w:val="00D2643A"/>
    <w:rsid w:val="00D2651F"/>
    <w:rsid w:val="00D26824"/>
    <w:rsid w:val="00D26FFF"/>
    <w:rsid w:val="00D27A64"/>
    <w:rsid w:val="00D30468"/>
    <w:rsid w:val="00D306F3"/>
    <w:rsid w:val="00D30E2B"/>
    <w:rsid w:val="00D32B01"/>
    <w:rsid w:val="00D33426"/>
    <w:rsid w:val="00D33BEB"/>
    <w:rsid w:val="00D34F90"/>
    <w:rsid w:val="00D3525A"/>
    <w:rsid w:val="00D35632"/>
    <w:rsid w:val="00D3577B"/>
    <w:rsid w:val="00D359FC"/>
    <w:rsid w:val="00D36B95"/>
    <w:rsid w:val="00D37607"/>
    <w:rsid w:val="00D378F0"/>
    <w:rsid w:val="00D40C75"/>
    <w:rsid w:val="00D41187"/>
    <w:rsid w:val="00D41247"/>
    <w:rsid w:val="00D416C3"/>
    <w:rsid w:val="00D41AA3"/>
    <w:rsid w:val="00D42358"/>
    <w:rsid w:val="00D4246D"/>
    <w:rsid w:val="00D4298D"/>
    <w:rsid w:val="00D42DB7"/>
    <w:rsid w:val="00D4374D"/>
    <w:rsid w:val="00D4399A"/>
    <w:rsid w:val="00D43C03"/>
    <w:rsid w:val="00D43D08"/>
    <w:rsid w:val="00D43D35"/>
    <w:rsid w:val="00D43D96"/>
    <w:rsid w:val="00D43EFB"/>
    <w:rsid w:val="00D44006"/>
    <w:rsid w:val="00D443AF"/>
    <w:rsid w:val="00D448F3"/>
    <w:rsid w:val="00D44AD1"/>
    <w:rsid w:val="00D45193"/>
    <w:rsid w:val="00D452F4"/>
    <w:rsid w:val="00D45E3F"/>
    <w:rsid w:val="00D46B63"/>
    <w:rsid w:val="00D46BBB"/>
    <w:rsid w:val="00D46E0B"/>
    <w:rsid w:val="00D473C0"/>
    <w:rsid w:val="00D477B5"/>
    <w:rsid w:val="00D47A24"/>
    <w:rsid w:val="00D47CDE"/>
    <w:rsid w:val="00D47DBC"/>
    <w:rsid w:val="00D50E4C"/>
    <w:rsid w:val="00D50E74"/>
    <w:rsid w:val="00D51B1F"/>
    <w:rsid w:val="00D526A1"/>
    <w:rsid w:val="00D527EC"/>
    <w:rsid w:val="00D52DF7"/>
    <w:rsid w:val="00D53AD2"/>
    <w:rsid w:val="00D543B1"/>
    <w:rsid w:val="00D55654"/>
    <w:rsid w:val="00D55B8D"/>
    <w:rsid w:val="00D55BA3"/>
    <w:rsid w:val="00D56203"/>
    <w:rsid w:val="00D578EE"/>
    <w:rsid w:val="00D606F0"/>
    <w:rsid w:val="00D60B19"/>
    <w:rsid w:val="00D61040"/>
    <w:rsid w:val="00D61979"/>
    <w:rsid w:val="00D625DC"/>
    <w:rsid w:val="00D62C18"/>
    <w:rsid w:val="00D632B5"/>
    <w:rsid w:val="00D65492"/>
    <w:rsid w:val="00D659A4"/>
    <w:rsid w:val="00D664F3"/>
    <w:rsid w:val="00D66848"/>
    <w:rsid w:val="00D66F97"/>
    <w:rsid w:val="00D67488"/>
    <w:rsid w:val="00D70124"/>
    <w:rsid w:val="00D704F7"/>
    <w:rsid w:val="00D70E1B"/>
    <w:rsid w:val="00D7186B"/>
    <w:rsid w:val="00D72261"/>
    <w:rsid w:val="00D72EC8"/>
    <w:rsid w:val="00D733E5"/>
    <w:rsid w:val="00D75260"/>
    <w:rsid w:val="00D75358"/>
    <w:rsid w:val="00D75A69"/>
    <w:rsid w:val="00D75D10"/>
    <w:rsid w:val="00D75E17"/>
    <w:rsid w:val="00D76464"/>
    <w:rsid w:val="00D7651B"/>
    <w:rsid w:val="00D800C4"/>
    <w:rsid w:val="00D8093A"/>
    <w:rsid w:val="00D80C2E"/>
    <w:rsid w:val="00D8102D"/>
    <w:rsid w:val="00D81390"/>
    <w:rsid w:val="00D819EF"/>
    <w:rsid w:val="00D81B3C"/>
    <w:rsid w:val="00D82E71"/>
    <w:rsid w:val="00D83E2F"/>
    <w:rsid w:val="00D83FA4"/>
    <w:rsid w:val="00D84449"/>
    <w:rsid w:val="00D848CA"/>
    <w:rsid w:val="00D857FB"/>
    <w:rsid w:val="00D85DCE"/>
    <w:rsid w:val="00D85FBF"/>
    <w:rsid w:val="00D868F5"/>
    <w:rsid w:val="00D86BF6"/>
    <w:rsid w:val="00D86C78"/>
    <w:rsid w:val="00D8764F"/>
    <w:rsid w:val="00D877DA"/>
    <w:rsid w:val="00D87BBB"/>
    <w:rsid w:val="00D912B1"/>
    <w:rsid w:val="00D929A4"/>
    <w:rsid w:val="00D93C42"/>
    <w:rsid w:val="00D941B4"/>
    <w:rsid w:val="00D944A4"/>
    <w:rsid w:val="00D957FE"/>
    <w:rsid w:val="00D9650F"/>
    <w:rsid w:val="00D96BCE"/>
    <w:rsid w:val="00D96CB4"/>
    <w:rsid w:val="00D96EA0"/>
    <w:rsid w:val="00D979E1"/>
    <w:rsid w:val="00D97E59"/>
    <w:rsid w:val="00D97E71"/>
    <w:rsid w:val="00DA02F4"/>
    <w:rsid w:val="00DA0829"/>
    <w:rsid w:val="00DA0B30"/>
    <w:rsid w:val="00DA2527"/>
    <w:rsid w:val="00DA278A"/>
    <w:rsid w:val="00DA287E"/>
    <w:rsid w:val="00DA2F3A"/>
    <w:rsid w:val="00DA355C"/>
    <w:rsid w:val="00DA3C26"/>
    <w:rsid w:val="00DA5B34"/>
    <w:rsid w:val="00DA5D3F"/>
    <w:rsid w:val="00DA5DF8"/>
    <w:rsid w:val="00DA62C6"/>
    <w:rsid w:val="00DA6465"/>
    <w:rsid w:val="00DA6F59"/>
    <w:rsid w:val="00DA6F80"/>
    <w:rsid w:val="00DA78C4"/>
    <w:rsid w:val="00DB01CE"/>
    <w:rsid w:val="00DB0CAD"/>
    <w:rsid w:val="00DB0E6C"/>
    <w:rsid w:val="00DB1AAD"/>
    <w:rsid w:val="00DB1DD2"/>
    <w:rsid w:val="00DB2340"/>
    <w:rsid w:val="00DB2ABA"/>
    <w:rsid w:val="00DB4455"/>
    <w:rsid w:val="00DB44B0"/>
    <w:rsid w:val="00DB4848"/>
    <w:rsid w:val="00DB490D"/>
    <w:rsid w:val="00DB4E32"/>
    <w:rsid w:val="00DB574B"/>
    <w:rsid w:val="00DB63B9"/>
    <w:rsid w:val="00DB6A3C"/>
    <w:rsid w:val="00DB7BC2"/>
    <w:rsid w:val="00DB7E55"/>
    <w:rsid w:val="00DC0011"/>
    <w:rsid w:val="00DC03B5"/>
    <w:rsid w:val="00DC142D"/>
    <w:rsid w:val="00DC14D7"/>
    <w:rsid w:val="00DC20BC"/>
    <w:rsid w:val="00DC289D"/>
    <w:rsid w:val="00DC367D"/>
    <w:rsid w:val="00DC395B"/>
    <w:rsid w:val="00DC465C"/>
    <w:rsid w:val="00DC499E"/>
    <w:rsid w:val="00DC547A"/>
    <w:rsid w:val="00DC67E1"/>
    <w:rsid w:val="00DC67FC"/>
    <w:rsid w:val="00DC6C95"/>
    <w:rsid w:val="00DD02AB"/>
    <w:rsid w:val="00DD0B70"/>
    <w:rsid w:val="00DD0DC0"/>
    <w:rsid w:val="00DD133B"/>
    <w:rsid w:val="00DD196F"/>
    <w:rsid w:val="00DD1BD5"/>
    <w:rsid w:val="00DD2256"/>
    <w:rsid w:val="00DD2393"/>
    <w:rsid w:val="00DD287C"/>
    <w:rsid w:val="00DD3067"/>
    <w:rsid w:val="00DD36A9"/>
    <w:rsid w:val="00DD42BB"/>
    <w:rsid w:val="00DD4306"/>
    <w:rsid w:val="00DD4980"/>
    <w:rsid w:val="00DD4A81"/>
    <w:rsid w:val="00DD4DB2"/>
    <w:rsid w:val="00DD4DE6"/>
    <w:rsid w:val="00DD4E72"/>
    <w:rsid w:val="00DD5C29"/>
    <w:rsid w:val="00DD60E5"/>
    <w:rsid w:val="00DD614C"/>
    <w:rsid w:val="00DD78D9"/>
    <w:rsid w:val="00DD7A31"/>
    <w:rsid w:val="00DD7CDF"/>
    <w:rsid w:val="00DE0119"/>
    <w:rsid w:val="00DE0E77"/>
    <w:rsid w:val="00DE15B9"/>
    <w:rsid w:val="00DE27B2"/>
    <w:rsid w:val="00DE3623"/>
    <w:rsid w:val="00DE4099"/>
    <w:rsid w:val="00DE4286"/>
    <w:rsid w:val="00DE42A2"/>
    <w:rsid w:val="00DE4609"/>
    <w:rsid w:val="00DE4791"/>
    <w:rsid w:val="00DE4DE0"/>
    <w:rsid w:val="00DE587C"/>
    <w:rsid w:val="00DE6093"/>
    <w:rsid w:val="00DE695E"/>
    <w:rsid w:val="00DE7319"/>
    <w:rsid w:val="00DE74CA"/>
    <w:rsid w:val="00DE75A8"/>
    <w:rsid w:val="00DE7E28"/>
    <w:rsid w:val="00DF0395"/>
    <w:rsid w:val="00DF03B5"/>
    <w:rsid w:val="00DF0C37"/>
    <w:rsid w:val="00DF2479"/>
    <w:rsid w:val="00DF254F"/>
    <w:rsid w:val="00DF2FD5"/>
    <w:rsid w:val="00DF38E2"/>
    <w:rsid w:val="00DF3AB8"/>
    <w:rsid w:val="00DF3AC1"/>
    <w:rsid w:val="00DF3D31"/>
    <w:rsid w:val="00DF4002"/>
    <w:rsid w:val="00DF517E"/>
    <w:rsid w:val="00DF5418"/>
    <w:rsid w:val="00DF5588"/>
    <w:rsid w:val="00DF5929"/>
    <w:rsid w:val="00DF5B54"/>
    <w:rsid w:val="00DF5BFF"/>
    <w:rsid w:val="00DF6021"/>
    <w:rsid w:val="00DF6A86"/>
    <w:rsid w:val="00DF6C15"/>
    <w:rsid w:val="00DF6F99"/>
    <w:rsid w:val="00E00A8F"/>
    <w:rsid w:val="00E00B41"/>
    <w:rsid w:val="00E03229"/>
    <w:rsid w:val="00E032BD"/>
    <w:rsid w:val="00E032D8"/>
    <w:rsid w:val="00E034A7"/>
    <w:rsid w:val="00E03779"/>
    <w:rsid w:val="00E03820"/>
    <w:rsid w:val="00E03AA6"/>
    <w:rsid w:val="00E03C9F"/>
    <w:rsid w:val="00E040BC"/>
    <w:rsid w:val="00E047B2"/>
    <w:rsid w:val="00E04AF5"/>
    <w:rsid w:val="00E04B83"/>
    <w:rsid w:val="00E04CF0"/>
    <w:rsid w:val="00E05863"/>
    <w:rsid w:val="00E05E71"/>
    <w:rsid w:val="00E0672A"/>
    <w:rsid w:val="00E06749"/>
    <w:rsid w:val="00E068C3"/>
    <w:rsid w:val="00E07C91"/>
    <w:rsid w:val="00E102C2"/>
    <w:rsid w:val="00E1053D"/>
    <w:rsid w:val="00E10794"/>
    <w:rsid w:val="00E10852"/>
    <w:rsid w:val="00E115F3"/>
    <w:rsid w:val="00E12271"/>
    <w:rsid w:val="00E129A6"/>
    <w:rsid w:val="00E12FB6"/>
    <w:rsid w:val="00E12FC6"/>
    <w:rsid w:val="00E13AE0"/>
    <w:rsid w:val="00E13BBE"/>
    <w:rsid w:val="00E1457B"/>
    <w:rsid w:val="00E1579F"/>
    <w:rsid w:val="00E15B9B"/>
    <w:rsid w:val="00E16425"/>
    <w:rsid w:val="00E16484"/>
    <w:rsid w:val="00E165C9"/>
    <w:rsid w:val="00E169A0"/>
    <w:rsid w:val="00E16D3B"/>
    <w:rsid w:val="00E177DE"/>
    <w:rsid w:val="00E200AE"/>
    <w:rsid w:val="00E207AF"/>
    <w:rsid w:val="00E208EB"/>
    <w:rsid w:val="00E21338"/>
    <w:rsid w:val="00E21369"/>
    <w:rsid w:val="00E21BF8"/>
    <w:rsid w:val="00E224D1"/>
    <w:rsid w:val="00E226AF"/>
    <w:rsid w:val="00E226B2"/>
    <w:rsid w:val="00E2337A"/>
    <w:rsid w:val="00E235C4"/>
    <w:rsid w:val="00E239C7"/>
    <w:rsid w:val="00E23B63"/>
    <w:rsid w:val="00E24125"/>
    <w:rsid w:val="00E2422B"/>
    <w:rsid w:val="00E244F6"/>
    <w:rsid w:val="00E24823"/>
    <w:rsid w:val="00E24962"/>
    <w:rsid w:val="00E24C80"/>
    <w:rsid w:val="00E25074"/>
    <w:rsid w:val="00E2578F"/>
    <w:rsid w:val="00E2629A"/>
    <w:rsid w:val="00E26F48"/>
    <w:rsid w:val="00E27A4C"/>
    <w:rsid w:val="00E27A85"/>
    <w:rsid w:val="00E27BA5"/>
    <w:rsid w:val="00E30455"/>
    <w:rsid w:val="00E30910"/>
    <w:rsid w:val="00E30E4D"/>
    <w:rsid w:val="00E31215"/>
    <w:rsid w:val="00E31E84"/>
    <w:rsid w:val="00E32A46"/>
    <w:rsid w:val="00E32DB2"/>
    <w:rsid w:val="00E32EEC"/>
    <w:rsid w:val="00E3320C"/>
    <w:rsid w:val="00E3474A"/>
    <w:rsid w:val="00E347CC"/>
    <w:rsid w:val="00E36978"/>
    <w:rsid w:val="00E37F97"/>
    <w:rsid w:val="00E407C9"/>
    <w:rsid w:val="00E41B97"/>
    <w:rsid w:val="00E42CCA"/>
    <w:rsid w:val="00E441B8"/>
    <w:rsid w:val="00E44753"/>
    <w:rsid w:val="00E4475F"/>
    <w:rsid w:val="00E45163"/>
    <w:rsid w:val="00E4581E"/>
    <w:rsid w:val="00E45E2A"/>
    <w:rsid w:val="00E461F1"/>
    <w:rsid w:val="00E4627B"/>
    <w:rsid w:val="00E462C5"/>
    <w:rsid w:val="00E46C46"/>
    <w:rsid w:val="00E472C5"/>
    <w:rsid w:val="00E5049F"/>
    <w:rsid w:val="00E51181"/>
    <w:rsid w:val="00E514B4"/>
    <w:rsid w:val="00E516B6"/>
    <w:rsid w:val="00E527B2"/>
    <w:rsid w:val="00E53060"/>
    <w:rsid w:val="00E5308D"/>
    <w:rsid w:val="00E53194"/>
    <w:rsid w:val="00E532A2"/>
    <w:rsid w:val="00E535EE"/>
    <w:rsid w:val="00E53637"/>
    <w:rsid w:val="00E542E4"/>
    <w:rsid w:val="00E5458A"/>
    <w:rsid w:val="00E553AD"/>
    <w:rsid w:val="00E564A1"/>
    <w:rsid w:val="00E56F26"/>
    <w:rsid w:val="00E57A33"/>
    <w:rsid w:val="00E57F0C"/>
    <w:rsid w:val="00E60C9D"/>
    <w:rsid w:val="00E60DB9"/>
    <w:rsid w:val="00E62778"/>
    <w:rsid w:val="00E63CC0"/>
    <w:rsid w:val="00E64E4B"/>
    <w:rsid w:val="00E65018"/>
    <w:rsid w:val="00E65C4F"/>
    <w:rsid w:val="00E66A0C"/>
    <w:rsid w:val="00E675BE"/>
    <w:rsid w:val="00E67B72"/>
    <w:rsid w:val="00E67BEC"/>
    <w:rsid w:val="00E67DF8"/>
    <w:rsid w:val="00E7042B"/>
    <w:rsid w:val="00E70A68"/>
    <w:rsid w:val="00E70AA1"/>
    <w:rsid w:val="00E70D72"/>
    <w:rsid w:val="00E71052"/>
    <w:rsid w:val="00E71719"/>
    <w:rsid w:val="00E71994"/>
    <w:rsid w:val="00E7273D"/>
    <w:rsid w:val="00E72F02"/>
    <w:rsid w:val="00E7341F"/>
    <w:rsid w:val="00E738C0"/>
    <w:rsid w:val="00E73B29"/>
    <w:rsid w:val="00E74C0F"/>
    <w:rsid w:val="00E75FC1"/>
    <w:rsid w:val="00E76692"/>
    <w:rsid w:val="00E772B0"/>
    <w:rsid w:val="00E77306"/>
    <w:rsid w:val="00E778BE"/>
    <w:rsid w:val="00E804F9"/>
    <w:rsid w:val="00E80B62"/>
    <w:rsid w:val="00E80CEE"/>
    <w:rsid w:val="00E80E9B"/>
    <w:rsid w:val="00E81442"/>
    <w:rsid w:val="00E819D4"/>
    <w:rsid w:val="00E827D9"/>
    <w:rsid w:val="00E829A3"/>
    <w:rsid w:val="00E84264"/>
    <w:rsid w:val="00E84508"/>
    <w:rsid w:val="00E847C8"/>
    <w:rsid w:val="00E857FC"/>
    <w:rsid w:val="00E86C4B"/>
    <w:rsid w:val="00E86CDC"/>
    <w:rsid w:val="00E878F0"/>
    <w:rsid w:val="00E87D80"/>
    <w:rsid w:val="00E87F43"/>
    <w:rsid w:val="00E90B55"/>
    <w:rsid w:val="00E92073"/>
    <w:rsid w:val="00E92087"/>
    <w:rsid w:val="00E92419"/>
    <w:rsid w:val="00E925C9"/>
    <w:rsid w:val="00E931DC"/>
    <w:rsid w:val="00E93F0B"/>
    <w:rsid w:val="00E943C5"/>
    <w:rsid w:val="00E948E4"/>
    <w:rsid w:val="00E96BDC"/>
    <w:rsid w:val="00E97C3D"/>
    <w:rsid w:val="00E97CF8"/>
    <w:rsid w:val="00E97F34"/>
    <w:rsid w:val="00EA009D"/>
    <w:rsid w:val="00EA0248"/>
    <w:rsid w:val="00EA0FE0"/>
    <w:rsid w:val="00EA12B1"/>
    <w:rsid w:val="00EA2165"/>
    <w:rsid w:val="00EA299B"/>
    <w:rsid w:val="00EA34CE"/>
    <w:rsid w:val="00EA384A"/>
    <w:rsid w:val="00EA3F33"/>
    <w:rsid w:val="00EA4115"/>
    <w:rsid w:val="00EA4808"/>
    <w:rsid w:val="00EA4DF9"/>
    <w:rsid w:val="00EA5416"/>
    <w:rsid w:val="00EB11DE"/>
    <w:rsid w:val="00EB1317"/>
    <w:rsid w:val="00EB1AC1"/>
    <w:rsid w:val="00EB2049"/>
    <w:rsid w:val="00EB3AF3"/>
    <w:rsid w:val="00EB4278"/>
    <w:rsid w:val="00EB4803"/>
    <w:rsid w:val="00EB487F"/>
    <w:rsid w:val="00EB495E"/>
    <w:rsid w:val="00EB543B"/>
    <w:rsid w:val="00EB564F"/>
    <w:rsid w:val="00EB572F"/>
    <w:rsid w:val="00EB5D54"/>
    <w:rsid w:val="00EB6BB2"/>
    <w:rsid w:val="00EB71A9"/>
    <w:rsid w:val="00EB721E"/>
    <w:rsid w:val="00EB7580"/>
    <w:rsid w:val="00EC01F6"/>
    <w:rsid w:val="00EC0BFE"/>
    <w:rsid w:val="00EC1377"/>
    <w:rsid w:val="00EC19AA"/>
    <w:rsid w:val="00EC1F11"/>
    <w:rsid w:val="00EC21C0"/>
    <w:rsid w:val="00EC2621"/>
    <w:rsid w:val="00EC2968"/>
    <w:rsid w:val="00EC2A78"/>
    <w:rsid w:val="00EC2AEC"/>
    <w:rsid w:val="00EC2D32"/>
    <w:rsid w:val="00EC3C23"/>
    <w:rsid w:val="00EC3D25"/>
    <w:rsid w:val="00EC3F34"/>
    <w:rsid w:val="00EC466F"/>
    <w:rsid w:val="00EC5193"/>
    <w:rsid w:val="00EC57EC"/>
    <w:rsid w:val="00EC5B94"/>
    <w:rsid w:val="00EC6394"/>
    <w:rsid w:val="00EC63C8"/>
    <w:rsid w:val="00EC6995"/>
    <w:rsid w:val="00EC6D23"/>
    <w:rsid w:val="00EC7219"/>
    <w:rsid w:val="00ED00BD"/>
    <w:rsid w:val="00ED0196"/>
    <w:rsid w:val="00ED0AC1"/>
    <w:rsid w:val="00ED159C"/>
    <w:rsid w:val="00ED16F9"/>
    <w:rsid w:val="00ED1F3B"/>
    <w:rsid w:val="00ED28EF"/>
    <w:rsid w:val="00ED2CD1"/>
    <w:rsid w:val="00ED3A15"/>
    <w:rsid w:val="00ED3B4C"/>
    <w:rsid w:val="00ED3F50"/>
    <w:rsid w:val="00ED42E2"/>
    <w:rsid w:val="00ED4F6E"/>
    <w:rsid w:val="00ED5237"/>
    <w:rsid w:val="00ED5755"/>
    <w:rsid w:val="00ED58D0"/>
    <w:rsid w:val="00ED5B84"/>
    <w:rsid w:val="00ED6914"/>
    <w:rsid w:val="00ED6AA6"/>
    <w:rsid w:val="00ED7146"/>
    <w:rsid w:val="00ED7219"/>
    <w:rsid w:val="00ED7F5C"/>
    <w:rsid w:val="00EE0407"/>
    <w:rsid w:val="00EE0D59"/>
    <w:rsid w:val="00EE16A4"/>
    <w:rsid w:val="00EE1BA5"/>
    <w:rsid w:val="00EE1BE7"/>
    <w:rsid w:val="00EE2097"/>
    <w:rsid w:val="00EE4281"/>
    <w:rsid w:val="00EE43E2"/>
    <w:rsid w:val="00EE4DD8"/>
    <w:rsid w:val="00EE4E95"/>
    <w:rsid w:val="00EE5E9C"/>
    <w:rsid w:val="00EE662E"/>
    <w:rsid w:val="00EE6D83"/>
    <w:rsid w:val="00EE7404"/>
    <w:rsid w:val="00EF03A2"/>
    <w:rsid w:val="00EF0CE0"/>
    <w:rsid w:val="00EF0F8D"/>
    <w:rsid w:val="00EF12DF"/>
    <w:rsid w:val="00EF1D5A"/>
    <w:rsid w:val="00EF2BB1"/>
    <w:rsid w:val="00EF38FB"/>
    <w:rsid w:val="00EF3E07"/>
    <w:rsid w:val="00EF415D"/>
    <w:rsid w:val="00EF5500"/>
    <w:rsid w:val="00EF5D8A"/>
    <w:rsid w:val="00EF66BB"/>
    <w:rsid w:val="00EF68CA"/>
    <w:rsid w:val="00EF7A50"/>
    <w:rsid w:val="00EF7E2D"/>
    <w:rsid w:val="00F000FB"/>
    <w:rsid w:val="00F0258D"/>
    <w:rsid w:val="00F027BC"/>
    <w:rsid w:val="00F027DA"/>
    <w:rsid w:val="00F02A68"/>
    <w:rsid w:val="00F02BA0"/>
    <w:rsid w:val="00F02D31"/>
    <w:rsid w:val="00F03F36"/>
    <w:rsid w:val="00F04C25"/>
    <w:rsid w:val="00F05693"/>
    <w:rsid w:val="00F05A22"/>
    <w:rsid w:val="00F05B57"/>
    <w:rsid w:val="00F05C68"/>
    <w:rsid w:val="00F05FA0"/>
    <w:rsid w:val="00F0653F"/>
    <w:rsid w:val="00F0696F"/>
    <w:rsid w:val="00F06A76"/>
    <w:rsid w:val="00F07836"/>
    <w:rsid w:val="00F105B7"/>
    <w:rsid w:val="00F10AA8"/>
    <w:rsid w:val="00F11797"/>
    <w:rsid w:val="00F117EA"/>
    <w:rsid w:val="00F120F0"/>
    <w:rsid w:val="00F12733"/>
    <w:rsid w:val="00F12899"/>
    <w:rsid w:val="00F135A7"/>
    <w:rsid w:val="00F13653"/>
    <w:rsid w:val="00F13E3B"/>
    <w:rsid w:val="00F14FFC"/>
    <w:rsid w:val="00F15639"/>
    <w:rsid w:val="00F15F37"/>
    <w:rsid w:val="00F16016"/>
    <w:rsid w:val="00F16079"/>
    <w:rsid w:val="00F16864"/>
    <w:rsid w:val="00F17675"/>
    <w:rsid w:val="00F178AA"/>
    <w:rsid w:val="00F17A01"/>
    <w:rsid w:val="00F17ACE"/>
    <w:rsid w:val="00F17C34"/>
    <w:rsid w:val="00F200D6"/>
    <w:rsid w:val="00F2144F"/>
    <w:rsid w:val="00F21799"/>
    <w:rsid w:val="00F21EB4"/>
    <w:rsid w:val="00F22A8D"/>
    <w:rsid w:val="00F22C61"/>
    <w:rsid w:val="00F232F5"/>
    <w:rsid w:val="00F23F39"/>
    <w:rsid w:val="00F24DDE"/>
    <w:rsid w:val="00F25980"/>
    <w:rsid w:val="00F25F18"/>
    <w:rsid w:val="00F25F69"/>
    <w:rsid w:val="00F265C7"/>
    <w:rsid w:val="00F26B83"/>
    <w:rsid w:val="00F26BD3"/>
    <w:rsid w:val="00F26FA6"/>
    <w:rsid w:val="00F27CC5"/>
    <w:rsid w:val="00F3068A"/>
    <w:rsid w:val="00F309C6"/>
    <w:rsid w:val="00F30BA4"/>
    <w:rsid w:val="00F31326"/>
    <w:rsid w:val="00F31FE2"/>
    <w:rsid w:val="00F3276B"/>
    <w:rsid w:val="00F3329E"/>
    <w:rsid w:val="00F33964"/>
    <w:rsid w:val="00F33D25"/>
    <w:rsid w:val="00F344EF"/>
    <w:rsid w:val="00F362C5"/>
    <w:rsid w:val="00F36C7D"/>
    <w:rsid w:val="00F374CE"/>
    <w:rsid w:val="00F40558"/>
    <w:rsid w:val="00F411C1"/>
    <w:rsid w:val="00F41F2B"/>
    <w:rsid w:val="00F42933"/>
    <w:rsid w:val="00F42CA2"/>
    <w:rsid w:val="00F43E2B"/>
    <w:rsid w:val="00F43E5E"/>
    <w:rsid w:val="00F440BE"/>
    <w:rsid w:val="00F445F7"/>
    <w:rsid w:val="00F446AC"/>
    <w:rsid w:val="00F45261"/>
    <w:rsid w:val="00F459FA"/>
    <w:rsid w:val="00F45B71"/>
    <w:rsid w:val="00F45C3F"/>
    <w:rsid w:val="00F45C55"/>
    <w:rsid w:val="00F46706"/>
    <w:rsid w:val="00F4712B"/>
    <w:rsid w:val="00F476A9"/>
    <w:rsid w:val="00F479E7"/>
    <w:rsid w:val="00F50B42"/>
    <w:rsid w:val="00F50D51"/>
    <w:rsid w:val="00F513EB"/>
    <w:rsid w:val="00F51554"/>
    <w:rsid w:val="00F519C0"/>
    <w:rsid w:val="00F5215B"/>
    <w:rsid w:val="00F5422D"/>
    <w:rsid w:val="00F54785"/>
    <w:rsid w:val="00F5490C"/>
    <w:rsid w:val="00F563E0"/>
    <w:rsid w:val="00F57002"/>
    <w:rsid w:val="00F57402"/>
    <w:rsid w:val="00F57F6A"/>
    <w:rsid w:val="00F6079C"/>
    <w:rsid w:val="00F614CD"/>
    <w:rsid w:val="00F614EC"/>
    <w:rsid w:val="00F617E6"/>
    <w:rsid w:val="00F62B10"/>
    <w:rsid w:val="00F62B29"/>
    <w:rsid w:val="00F62C94"/>
    <w:rsid w:val="00F62D9F"/>
    <w:rsid w:val="00F6306B"/>
    <w:rsid w:val="00F639C8"/>
    <w:rsid w:val="00F64CE1"/>
    <w:rsid w:val="00F651AC"/>
    <w:rsid w:val="00F65398"/>
    <w:rsid w:val="00F65AD8"/>
    <w:rsid w:val="00F66A05"/>
    <w:rsid w:val="00F66C6C"/>
    <w:rsid w:val="00F67057"/>
    <w:rsid w:val="00F6748F"/>
    <w:rsid w:val="00F67BB2"/>
    <w:rsid w:val="00F70B7F"/>
    <w:rsid w:val="00F70D16"/>
    <w:rsid w:val="00F711E9"/>
    <w:rsid w:val="00F71BB8"/>
    <w:rsid w:val="00F720AE"/>
    <w:rsid w:val="00F72725"/>
    <w:rsid w:val="00F72C4D"/>
    <w:rsid w:val="00F73218"/>
    <w:rsid w:val="00F73602"/>
    <w:rsid w:val="00F738E9"/>
    <w:rsid w:val="00F73E6B"/>
    <w:rsid w:val="00F7428B"/>
    <w:rsid w:val="00F74E49"/>
    <w:rsid w:val="00F75007"/>
    <w:rsid w:val="00F75164"/>
    <w:rsid w:val="00F754C1"/>
    <w:rsid w:val="00F758FB"/>
    <w:rsid w:val="00F75974"/>
    <w:rsid w:val="00F76564"/>
    <w:rsid w:val="00F766CD"/>
    <w:rsid w:val="00F767F6"/>
    <w:rsid w:val="00F76BB3"/>
    <w:rsid w:val="00F774E1"/>
    <w:rsid w:val="00F77604"/>
    <w:rsid w:val="00F80C9E"/>
    <w:rsid w:val="00F80CA8"/>
    <w:rsid w:val="00F810C5"/>
    <w:rsid w:val="00F81DBE"/>
    <w:rsid w:val="00F821A9"/>
    <w:rsid w:val="00F8247D"/>
    <w:rsid w:val="00F82EF7"/>
    <w:rsid w:val="00F83BC8"/>
    <w:rsid w:val="00F83C8A"/>
    <w:rsid w:val="00F845BA"/>
    <w:rsid w:val="00F845DD"/>
    <w:rsid w:val="00F84CA8"/>
    <w:rsid w:val="00F84DDB"/>
    <w:rsid w:val="00F84EC1"/>
    <w:rsid w:val="00F85561"/>
    <w:rsid w:val="00F8579C"/>
    <w:rsid w:val="00F85C3A"/>
    <w:rsid w:val="00F85EFE"/>
    <w:rsid w:val="00F87A21"/>
    <w:rsid w:val="00F87B13"/>
    <w:rsid w:val="00F87BFB"/>
    <w:rsid w:val="00F87DE5"/>
    <w:rsid w:val="00F903C8"/>
    <w:rsid w:val="00F9044E"/>
    <w:rsid w:val="00F90A99"/>
    <w:rsid w:val="00F91158"/>
    <w:rsid w:val="00F9169D"/>
    <w:rsid w:val="00F91BDD"/>
    <w:rsid w:val="00F924F5"/>
    <w:rsid w:val="00F92599"/>
    <w:rsid w:val="00F92D1C"/>
    <w:rsid w:val="00F93A3F"/>
    <w:rsid w:val="00F93ADD"/>
    <w:rsid w:val="00F94666"/>
    <w:rsid w:val="00F95AFF"/>
    <w:rsid w:val="00F96301"/>
    <w:rsid w:val="00F966B9"/>
    <w:rsid w:val="00F96818"/>
    <w:rsid w:val="00F96978"/>
    <w:rsid w:val="00F97486"/>
    <w:rsid w:val="00F9770E"/>
    <w:rsid w:val="00F97846"/>
    <w:rsid w:val="00F9787F"/>
    <w:rsid w:val="00FA01E5"/>
    <w:rsid w:val="00FA07D5"/>
    <w:rsid w:val="00FA1115"/>
    <w:rsid w:val="00FA1285"/>
    <w:rsid w:val="00FA153E"/>
    <w:rsid w:val="00FA15E0"/>
    <w:rsid w:val="00FA23AD"/>
    <w:rsid w:val="00FA23E0"/>
    <w:rsid w:val="00FA2503"/>
    <w:rsid w:val="00FA32E6"/>
    <w:rsid w:val="00FA35B3"/>
    <w:rsid w:val="00FA3EB8"/>
    <w:rsid w:val="00FA4183"/>
    <w:rsid w:val="00FA41D1"/>
    <w:rsid w:val="00FA44E9"/>
    <w:rsid w:val="00FA47D6"/>
    <w:rsid w:val="00FA4857"/>
    <w:rsid w:val="00FA52EA"/>
    <w:rsid w:val="00FA67AC"/>
    <w:rsid w:val="00FA6991"/>
    <w:rsid w:val="00FA6A73"/>
    <w:rsid w:val="00FA6EF1"/>
    <w:rsid w:val="00FA7414"/>
    <w:rsid w:val="00FA788A"/>
    <w:rsid w:val="00FB01CD"/>
    <w:rsid w:val="00FB0AF5"/>
    <w:rsid w:val="00FB0C41"/>
    <w:rsid w:val="00FB0E56"/>
    <w:rsid w:val="00FB14D0"/>
    <w:rsid w:val="00FB1529"/>
    <w:rsid w:val="00FB16D1"/>
    <w:rsid w:val="00FB18C0"/>
    <w:rsid w:val="00FB18DD"/>
    <w:rsid w:val="00FB2263"/>
    <w:rsid w:val="00FB3488"/>
    <w:rsid w:val="00FB3565"/>
    <w:rsid w:val="00FB3DDD"/>
    <w:rsid w:val="00FB4149"/>
    <w:rsid w:val="00FB5271"/>
    <w:rsid w:val="00FB56EA"/>
    <w:rsid w:val="00FB56F3"/>
    <w:rsid w:val="00FB5EFA"/>
    <w:rsid w:val="00FB61D2"/>
    <w:rsid w:val="00FB6BE5"/>
    <w:rsid w:val="00FB6D84"/>
    <w:rsid w:val="00FB72A4"/>
    <w:rsid w:val="00FB7556"/>
    <w:rsid w:val="00FB7DC8"/>
    <w:rsid w:val="00FC23EB"/>
    <w:rsid w:val="00FC2EFF"/>
    <w:rsid w:val="00FC368A"/>
    <w:rsid w:val="00FC36E4"/>
    <w:rsid w:val="00FC3A20"/>
    <w:rsid w:val="00FC3FE2"/>
    <w:rsid w:val="00FC430C"/>
    <w:rsid w:val="00FC546F"/>
    <w:rsid w:val="00FC5807"/>
    <w:rsid w:val="00FC5B13"/>
    <w:rsid w:val="00FC6213"/>
    <w:rsid w:val="00FC62CC"/>
    <w:rsid w:val="00FC65F0"/>
    <w:rsid w:val="00FC6F47"/>
    <w:rsid w:val="00FC7486"/>
    <w:rsid w:val="00FC763D"/>
    <w:rsid w:val="00FC7756"/>
    <w:rsid w:val="00FC7E86"/>
    <w:rsid w:val="00FD003B"/>
    <w:rsid w:val="00FD036F"/>
    <w:rsid w:val="00FD056E"/>
    <w:rsid w:val="00FD080B"/>
    <w:rsid w:val="00FD208F"/>
    <w:rsid w:val="00FD243E"/>
    <w:rsid w:val="00FD31C5"/>
    <w:rsid w:val="00FD35E1"/>
    <w:rsid w:val="00FD40D7"/>
    <w:rsid w:val="00FD40F5"/>
    <w:rsid w:val="00FD4885"/>
    <w:rsid w:val="00FD495A"/>
    <w:rsid w:val="00FD49CA"/>
    <w:rsid w:val="00FD4EB4"/>
    <w:rsid w:val="00FD5493"/>
    <w:rsid w:val="00FD5F2B"/>
    <w:rsid w:val="00FD6B5E"/>
    <w:rsid w:val="00FD6FC8"/>
    <w:rsid w:val="00FD7521"/>
    <w:rsid w:val="00FD7A81"/>
    <w:rsid w:val="00FE0FCD"/>
    <w:rsid w:val="00FE1A7C"/>
    <w:rsid w:val="00FE1DFC"/>
    <w:rsid w:val="00FE2643"/>
    <w:rsid w:val="00FE27B3"/>
    <w:rsid w:val="00FE3954"/>
    <w:rsid w:val="00FE52ED"/>
    <w:rsid w:val="00FE64ED"/>
    <w:rsid w:val="00FE792B"/>
    <w:rsid w:val="00FF19C9"/>
    <w:rsid w:val="00FF29AD"/>
    <w:rsid w:val="00FF3A09"/>
    <w:rsid w:val="00FF3B3C"/>
    <w:rsid w:val="00FF3E8A"/>
    <w:rsid w:val="00FF40A9"/>
    <w:rsid w:val="00FF471C"/>
    <w:rsid w:val="00FF5BD9"/>
    <w:rsid w:val="00FF65F3"/>
    <w:rsid w:val="00FF6739"/>
    <w:rsid w:val="00FF6C3C"/>
    <w:rsid w:val="00FF6C9C"/>
    <w:rsid w:val="00FF7194"/>
    <w:rsid w:val="00FF7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0881E09"/>
  <w15:docId w15:val="{839A4406-361D-4074-90C8-6B278125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3D"/>
    <w:rPr>
      <w:sz w:val="24"/>
      <w:szCs w:val="24"/>
      <w:lang w:eastAsia="en-US"/>
    </w:rPr>
  </w:style>
  <w:style w:type="paragraph" w:styleId="Heading1">
    <w:name w:val="heading 1"/>
    <w:basedOn w:val="Normal"/>
    <w:next w:val="Normal"/>
    <w:link w:val="Heading1Char"/>
    <w:uiPriority w:val="9"/>
    <w:qFormat/>
    <w:rsid w:val="00D1273D"/>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1273D"/>
    <w:pPr>
      <w:keepNext/>
      <w:jc w:val="center"/>
      <w:outlineLvl w:val="1"/>
    </w:pPr>
    <w:rPr>
      <w:rFonts w:ascii="Cambria" w:hAnsi="Cambria"/>
      <w:b/>
      <w:bCs/>
      <w:i/>
      <w:iCs/>
      <w:sz w:val="28"/>
      <w:szCs w:val="28"/>
    </w:rPr>
  </w:style>
  <w:style w:type="paragraph" w:styleId="Heading4">
    <w:name w:val="heading 4"/>
    <w:basedOn w:val="Normal"/>
    <w:next w:val="Normal"/>
    <w:link w:val="Heading4Char"/>
    <w:uiPriority w:val="9"/>
    <w:qFormat/>
    <w:rsid w:val="002B2650"/>
    <w:pPr>
      <w:keepNext/>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D1273D"/>
    <w:pPr>
      <w:keepNext/>
      <w:jc w:val="center"/>
      <w:outlineLvl w:val="4"/>
    </w:pPr>
    <w:rPr>
      <w:rFonts w:ascii="Calibri" w:hAnsi="Calibri"/>
      <w:b/>
      <w:bCs/>
      <w:i/>
      <w:iCs/>
      <w:sz w:val="26"/>
      <w:szCs w:val="26"/>
    </w:rPr>
  </w:style>
  <w:style w:type="paragraph" w:styleId="Heading7">
    <w:name w:val="heading 7"/>
    <w:basedOn w:val="Normal"/>
    <w:next w:val="Normal"/>
    <w:link w:val="Heading7Char"/>
    <w:uiPriority w:val="9"/>
    <w:qFormat/>
    <w:rsid w:val="00D1273D"/>
    <w:pPr>
      <w:keepNext/>
      <w:ind w:left="3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273D"/>
    <w:rPr>
      <w:rFonts w:ascii="Cambria" w:eastAsia="Times New Roman" w:hAnsi="Cambria" w:cs="Times New Roman"/>
      <w:b/>
      <w:bCs/>
      <w:kern w:val="32"/>
      <w:sz w:val="32"/>
      <w:szCs w:val="32"/>
      <w:lang w:val="lv-LV"/>
    </w:rPr>
  </w:style>
  <w:style w:type="character" w:customStyle="1" w:styleId="Heading2Char">
    <w:name w:val="Heading 2 Char"/>
    <w:link w:val="Heading2"/>
    <w:uiPriority w:val="9"/>
    <w:semiHidden/>
    <w:rsid w:val="00D1273D"/>
    <w:rPr>
      <w:rFonts w:ascii="Cambria" w:eastAsia="Times New Roman" w:hAnsi="Cambria" w:cs="Times New Roman"/>
      <w:b/>
      <w:bCs/>
      <w:i/>
      <w:iCs/>
      <w:sz w:val="28"/>
      <w:szCs w:val="28"/>
      <w:lang w:val="lv-LV"/>
    </w:rPr>
  </w:style>
  <w:style w:type="character" w:customStyle="1" w:styleId="Heading4Char">
    <w:name w:val="Heading 4 Char"/>
    <w:link w:val="Heading4"/>
    <w:uiPriority w:val="9"/>
    <w:semiHidden/>
    <w:rsid w:val="00D1273D"/>
    <w:rPr>
      <w:rFonts w:ascii="Calibri" w:eastAsia="Times New Roman" w:hAnsi="Calibri" w:cs="Times New Roman"/>
      <w:b/>
      <w:bCs/>
      <w:sz w:val="28"/>
      <w:szCs w:val="28"/>
      <w:lang w:val="lv-LV"/>
    </w:rPr>
  </w:style>
  <w:style w:type="character" w:customStyle="1" w:styleId="Heading5Char">
    <w:name w:val="Heading 5 Char"/>
    <w:link w:val="Heading5"/>
    <w:uiPriority w:val="9"/>
    <w:semiHidden/>
    <w:rsid w:val="00D1273D"/>
    <w:rPr>
      <w:rFonts w:ascii="Calibri" w:eastAsia="Times New Roman" w:hAnsi="Calibri" w:cs="Times New Roman"/>
      <w:b/>
      <w:bCs/>
      <w:i/>
      <w:iCs/>
      <w:sz w:val="26"/>
      <w:szCs w:val="26"/>
      <w:lang w:val="lv-LV"/>
    </w:rPr>
  </w:style>
  <w:style w:type="character" w:customStyle="1" w:styleId="Heading7Char">
    <w:name w:val="Heading 7 Char"/>
    <w:link w:val="Heading7"/>
    <w:uiPriority w:val="9"/>
    <w:semiHidden/>
    <w:rsid w:val="00D1273D"/>
    <w:rPr>
      <w:rFonts w:ascii="Calibri" w:eastAsia="Times New Roman" w:hAnsi="Calibri" w:cs="Times New Roman"/>
      <w:sz w:val="24"/>
      <w:szCs w:val="24"/>
      <w:lang w:val="lv-LV"/>
    </w:rPr>
  </w:style>
  <w:style w:type="paragraph" w:styleId="BalloonText">
    <w:name w:val="Balloon Text"/>
    <w:basedOn w:val="Normal"/>
    <w:link w:val="BalloonTextChar"/>
    <w:uiPriority w:val="99"/>
    <w:semiHidden/>
    <w:rsid w:val="005548BD"/>
    <w:rPr>
      <w:rFonts w:ascii="Tahoma" w:hAnsi="Tahoma" w:cs="Tahoma"/>
      <w:sz w:val="16"/>
      <w:szCs w:val="16"/>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uiPriority w:val="99"/>
    <w:locked/>
    <w:rsid w:val="007A7C8B"/>
    <w:rPr>
      <w:rFonts w:cs="Times New Roman"/>
      <w:lang w:val="lv-LV" w:eastAsia="lv-LV" w:bidi="ar-SA"/>
    </w:rPr>
  </w:style>
  <w:style w:type="paragraph" w:styleId="EnvelopeAddress">
    <w:name w:val="envelope address"/>
    <w:basedOn w:val="Normal"/>
    <w:uiPriority w:val="99"/>
    <w:rsid w:val="00D1273D"/>
    <w:pPr>
      <w:framePr w:w="7920" w:h="1980" w:hRule="exact" w:hSpace="180" w:wrap="auto" w:hAnchor="page" w:xAlign="center" w:yAlign="bottom"/>
      <w:ind w:left="2880"/>
    </w:pPr>
    <w:rPr>
      <w:rFonts w:ascii="Garamond" w:hAnsi="Garamond" w:cs="Arial"/>
      <w:b/>
      <w:sz w:val="36"/>
      <w:szCs w:val="36"/>
    </w:rPr>
  </w:style>
  <w:style w:type="paragraph" w:styleId="EnvelopeReturn">
    <w:name w:val="envelope return"/>
    <w:basedOn w:val="Normal"/>
    <w:uiPriority w:val="99"/>
    <w:rsid w:val="00D1273D"/>
    <w:rPr>
      <w:rFonts w:ascii="Garamond" w:hAnsi="Garamond" w:cs="Arial"/>
      <w:b/>
    </w:rPr>
  </w:style>
  <w:style w:type="paragraph" w:styleId="BodyText2">
    <w:name w:val="Body Text 2"/>
    <w:basedOn w:val="Normal"/>
    <w:link w:val="BodyText2Char"/>
    <w:uiPriority w:val="99"/>
    <w:rsid w:val="00D1273D"/>
    <w:pPr>
      <w:jc w:val="both"/>
    </w:pPr>
  </w:style>
  <w:style w:type="character" w:customStyle="1" w:styleId="BodyText2Char">
    <w:name w:val="Body Text 2 Char"/>
    <w:link w:val="BodyText2"/>
    <w:uiPriority w:val="99"/>
    <w:semiHidden/>
    <w:rsid w:val="00D1273D"/>
    <w:rPr>
      <w:sz w:val="24"/>
      <w:szCs w:val="24"/>
      <w:lang w:val="lv-LV"/>
    </w:rPr>
  </w:style>
  <w:style w:type="paragraph" w:styleId="NormalWeb">
    <w:name w:val="Normal (Web)"/>
    <w:basedOn w:val="Normal"/>
    <w:uiPriority w:val="99"/>
    <w:rsid w:val="00D1273D"/>
    <w:pPr>
      <w:spacing w:before="100" w:beforeAutospacing="1" w:after="100" w:afterAutospacing="1"/>
    </w:pPr>
    <w:rPr>
      <w:lang w:val="en-GB"/>
    </w:rPr>
  </w:style>
  <w:style w:type="paragraph" w:customStyle="1" w:styleId="naisc">
    <w:name w:val="naisc"/>
    <w:basedOn w:val="Normal"/>
    <w:rsid w:val="00D1273D"/>
    <w:pPr>
      <w:spacing w:before="100" w:beforeAutospacing="1" w:after="100" w:afterAutospacing="1"/>
      <w:jc w:val="center"/>
    </w:pPr>
    <w:rPr>
      <w:lang w:val="en-GB"/>
    </w:rPr>
  </w:style>
  <w:style w:type="paragraph" w:styleId="Header">
    <w:name w:val="header"/>
    <w:basedOn w:val="Normal"/>
    <w:link w:val="HeaderChar"/>
    <w:uiPriority w:val="99"/>
    <w:rsid w:val="00D1273D"/>
    <w:pPr>
      <w:tabs>
        <w:tab w:val="center" w:pos="4153"/>
        <w:tab w:val="right" w:pos="8306"/>
      </w:tabs>
    </w:pPr>
  </w:style>
  <w:style w:type="character" w:customStyle="1" w:styleId="HeaderChar">
    <w:name w:val="Header Char"/>
    <w:link w:val="Header"/>
    <w:uiPriority w:val="99"/>
    <w:semiHidden/>
    <w:rsid w:val="00D1273D"/>
    <w:rPr>
      <w:sz w:val="24"/>
      <w:szCs w:val="24"/>
      <w:lang w:val="lv-LV"/>
    </w:rPr>
  </w:style>
  <w:style w:type="paragraph" w:styleId="Footer">
    <w:name w:val="footer"/>
    <w:basedOn w:val="Normal"/>
    <w:link w:val="FooterChar"/>
    <w:uiPriority w:val="99"/>
    <w:rsid w:val="00D1273D"/>
    <w:pPr>
      <w:tabs>
        <w:tab w:val="center" w:pos="4153"/>
        <w:tab w:val="right" w:pos="8306"/>
      </w:tabs>
    </w:pPr>
  </w:style>
  <w:style w:type="character" w:customStyle="1" w:styleId="FooterChar">
    <w:name w:val="Footer Char"/>
    <w:link w:val="Footer"/>
    <w:uiPriority w:val="99"/>
    <w:rsid w:val="00D1273D"/>
    <w:rPr>
      <w:sz w:val="24"/>
      <w:szCs w:val="24"/>
      <w:lang w:val="lv-LV"/>
    </w:rPr>
  </w:style>
  <w:style w:type="character" w:styleId="PageNumber">
    <w:name w:val="page number"/>
    <w:uiPriority w:val="99"/>
    <w:rsid w:val="00D1273D"/>
    <w:rPr>
      <w:rFonts w:cs="Times New Roman"/>
    </w:rPr>
  </w:style>
  <w:style w:type="paragraph" w:styleId="BodyText">
    <w:name w:val="Body Text"/>
    <w:basedOn w:val="Normal"/>
    <w:link w:val="BodyTextChar"/>
    <w:uiPriority w:val="99"/>
    <w:rsid w:val="00D1273D"/>
    <w:pPr>
      <w:jc w:val="both"/>
    </w:pPr>
  </w:style>
  <w:style w:type="character" w:customStyle="1" w:styleId="BodyTextChar">
    <w:name w:val="Body Text Char"/>
    <w:link w:val="BodyText"/>
    <w:uiPriority w:val="99"/>
    <w:semiHidden/>
    <w:rsid w:val="00D1273D"/>
    <w:rPr>
      <w:sz w:val="24"/>
      <w:szCs w:val="24"/>
      <w:lang w:val="lv-LV"/>
    </w:rPr>
  </w:style>
  <w:style w:type="character" w:styleId="Hyperlink">
    <w:name w:val="Hyperlink"/>
    <w:uiPriority w:val="99"/>
    <w:rsid w:val="00D1273D"/>
    <w:rPr>
      <w:rFonts w:cs="Times New Roman"/>
      <w:color w:val="0000FF"/>
      <w:u w:val="single"/>
    </w:rPr>
  </w:style>
  <w:style w:type="paragraph" w:customStyle="1" w:styleId="naisf">
    <w:name w:val="naisf"/>
    <w:basedOn w:val="Normal"/>
    <w:rsid w:val="00FC430C"/>
    <w:pPr>
      <w:spacing w:before="100" w:beforeAutospacing="1" w:after="100" w:afterAutospacing="1"/>
      <w:jc w:val="both"/>
    </w:pPr>
    <w:rPr>
      <w:rFonts w:eastAsia="Arial Unicode MS"/>
      <w:lang w:val="en-GB"/>
    </w:rPr>
  </w:style>
  <w:style w:type="paragraph" w:customStyle="1" w:styleId="G4">
    <w:name w:val="G4"/>
    <w:basedOn w:val="Normal"/>
    <w:autoRedefine/>
    <w:uiPriority w:val="99"/>
    <w:rsid w:val="001D3987"/>
    <w:pPr>
      <w:jc w:val="both"/>
    </w:pPr>
  </w:style>
  <w:style w:type="paragraph" w:customStyle="1" w:styleId="xl24">
    <w:name w:val="xl24"/>
    <w:basedOn w:val="Normal"/>
    <w:uiPriority w:val="99"/>
    <w:rsid w:val="002B2650"/>
    <w:pPr>
      <w:pBdr>
        <w:bottom w:val="single" w:sz="4" w:space="0" w:color="auto"/>
        <w:right w:val="single" w:sz="4" w:space="0" w:color="auto"/>
      </w:pBdr>
      <w:spacing w:before="100" w:beforeAutospacing="1" w:after="100" w:afterAutospacing="1"/>
      <w:jc w:val="center"/>
      <w:textAlignment w:val="top"/>
    </w:pPr>
    <w:rPr>
      <w:rFonts w:eastAsia="Arial Unicode MS"/>
      <w:sz w:val="28"/>
      <w:szCs w:val="28"/>
      <w:lang w:val="en-GB"/>
    </w:rPr>
  </w:style>
  <w:style w:type="character" w:styleId="FollowedHyperlink">
    <w:name w:val="FollowedHyperlink"/>
    <w:uiPriority w:val="99"/>
    <w:rsid w:val="00184C32"/>
    <w:rPr>
      <w:rFonts w:cs="Times New Roman"/>
      <w:color w:val="800080"/>
      <w:u w:val="single"/>
    </w:rPr>
  </w:style>
  <w:style w:type="character" w:styleId="Strong">
    <w:name w:val="Strong"/>
    <w:uiPriority w:val="22"/>
    <w:qFormat/>
    <w:rsid w:val="00EC21C0"/>
    <w:rPr>
      <w:rFonts w:cs="Times New Roman"/>
      <w:b/>
      <w:bCs/>
    </w:rPr>
  </w:style>
  <w:style w:type="paragraph" w:styleId="BodyTextIndent">
    <w:name w:val="Body Text Indent"/>
    <w:basedOn w:val="Normal"/>
    <w:link w:val="BodyTextIndentChar"/>
    <w:uiPriority w:val="99"/>
    <w:rsid w:val="001F6BC5"/>
    <w:pPr>
      <w:spacing w:after="120"/>
      <w:ind w:left="283"/>
    </w:pPr>
  </w:style>
  <w:style w:type="character" w:customStyle="1" w:styleId="BodyTextIndentChar">
    <w:name w:val="Body Text Indent Char"/>
    <w:link w:val="BodyTextIndent"/>
    <w:uiPriority w:val="99"/>
    <w:semiHidden/>
    <w:rsid w:val="00D1273D"/>
    <w:rPr>
      <w:sz w:val="24"/>
      <w:szCs w:val="24"/>
      <w:lang w:val="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qFormat/>
    <w:rsid w:val="0059541B"/>
    <w:rPr>
      <w:sz w:val="20"/>
      <w:szCs w:val="20"/>
      <w:lang w:eastAsia="lv-LV"/>
    </w:rPr>
  </w:style>
  <w:style w:type="paragraph" w:customStyle="1" w:styleId="CharChar4Char1">
    <w:name w:val="Char Char4 Char1"/>
    <w:basedOn w:val="Normal"/>
    <w:next w:val="BlockText"/>
    <w:uiPriority w:val="99"/>
    <w:rsid w:val="00640263"/>
    <w:pPr>
      <w:spacing w:before="120" w:after="160" w:line="240" w:lineRule="exact"/>
      <w:ind w:firstLine="720"/>
      <w:jc w:val="both"/>
    </w:pPr>
    <w:rPr>
      <w:rFonts w:ascii="Verdana" w:hAnsi="Verdana"/>
      <w:sz w:val="20"/>
      <w:szCs w:val="20"/>
      <w:lang w:val="en-US"/>
    </w:rPr>
  </w:style>
  <w:style w:type="character" w:styleId="FootnoteReference">
    <w:name w:val="footnote reference"/>
    <w:aliases w:val="Footnote Reference Number,SUPERS,Footnote symbol,Footnote Refernece,ftref,Footnote Reference Superscript,Vēres atsauce,Odwołanie przypisu,BVI fnr,Footnotes refss,Ref,de nota al pie,-E Fußnotenzeichen,Footnote reference number,E,E FNZ"/>
    <w:link w:val="CharCharCharChar"/>
    <w:uiPriority w:val="99"/>
    <w:rsid w:val="0059541B"/>
    <w:rPr>
      <w:rFonts w:cs="Times New Roman"/>
      <w:vertAlign w:val="superscript"/>
    </w:rPr>
  </w:style>
  <w:style w:type="character" w:styleId="CommentReference">
    <w:name w:val="annotation reference"/>
    <w:uiPriority w:val="99"/>
    <w:rsid w:val="00162A40"/>
    <w:rPr>
      <w:rFonts w:cs="Times New Roman"/>
      <w:sz w:val="16"/>
      <w:szCs w:val="16"/>
    </w:rPr>
  </w:style>
  <w:style w:type="paragraph" w:styleId="CommentText">
    <w:name w:val="annotation text"/>
    <w:basedOn w:val="Normal"/>
    <w:link w:val="CommentTextChar"/>
    <w:uiPriority w:val="99"/>
    <w:rsid w:val="00162A40"/>
    <w:rPr>
      <w:sz w:val="20"/>
      <w:szCs w:val="20"/>
    </w:rPr>
  </w:style>
  <w:style w:type="character" w:customStyle="1" w:styleId="CommentTextChar">
    <w:name w:val="Comment Text Char"/>
    <w:link w:val="CommentText"/>
    <w:uiPriority w:val="99"/>
    <w:rsid w:val="00D1273D"/>
    <w:rPr>
      <w:sz w:val="20"/>
      <w:szCs w:val="20"/>
      <w:lang w:val="lv-LV"/>
    </w:rPr>
  </w:style>
  <w:style w:type="paragraph" w:styleId="CommentSubject">
    <w:name w:val="annotation subject"/>
    <w:basedOn w:val="CommentText"/>
    <w:next w:val="CommentText"/>
    <w:link w:val="CommentSubjectChar"/>
    <w:uiPriority w:val="99"/>
    <w:semiHidden/>
    <w:rsid w:val="00162A40"/>
    <w:rPr>
      <w:b/>
      <w:bCs/>
    </w:rPr>
  </w:style>
  <w:style w:type="character" w:customStyle="1" w:styleId="CommentSubjectChar">
    <w:name w:val="Comment Subject Char"/>
    <w:link w:val="CommentSubject"/>
    <w:uiPriority w:val="99"/>
    <w:semiHidden/>
    <w:rsid w:val="00D1273D"/>
    <w:rPr>
      <w:b/>
      <w:bCs/>
      <w:sz w:val="20"/>
      <w:szCs w:val="20"/>
      <w:lang w:val="lv-LV"/>
    </w:rPr>
  </w:style>
  <w:style w:type="paragraph" w:customStyle="1" w:styleId="CharChar4Char">
    <w:name w:val="Char Char4 Char"/>
    <w:basedOn w:val="Normal"/>
    <w:next w:val="BlockText"/>
    <w:uiPriority w:val="99"/>
    <w:rsid w:val="0032178A"/>
    <w:pPr>
      <w:spacing w:before="120" w:after="160" w:line="240" w:lineRule="exact"/>
      <w:ind w:firstLine="720"/>
      <w:jc w:val="both"/>
    </w:pPr>
    <w:rPr>
      <w:rFonts w:ascii="Verdana" w:hAnsi="Verdana"/>
      <w:sz w:val="20"/>
      <w:szCs w:val="20"/>
      <w:lang w:val="en-US"/>
    </w:rPr>
  </w:style>
  <w:style w:type="paragraph" w:styleId="BlockText">
    <w:name w:val="Block Text"/>
    <w:basedOn w:val="Normal"/>
    <w:uiPriority w:val="99"/>
    <w:rsid w:val="0032178A"/>
    <w:pPr>
      <w:spacing w:after="120"/>
      <w:ind w:left="1440" w:right="1440"/>
    </w:pPr>
  </w:style>
  <w:style w:type="paragraph" w:customStyle="1" w:styleId="EE-H3">
    <w:name w:val="EE-H3"/>
    <w:basedOn w:val="Normal"/>
    <w:autoRedefine/>
    <w:uiPriority w:val="99"/>
    <w:rsid w:val="00D0369B"/>
    <w:pPr>
      <w:ind w:right="6"/>
      <w:jc w:val="both"/>
    </w:pPr>
    <w:rPr>
      <w:lang w:eastAsia="lv-LV"/>
    </w:rPr>
  </w:style>
  <w:style w:type="character" w:customStyle="1" w:styleId="BalloonTextChar">
    <w:name w:val="Balloon Text Char"/>
    <w:link w:val="BalloonText"/>
    <w:uiPriority w:val="99"/>
    <w:semiHidden/>
    <w:locked/>
    <w:rsid w:val="007C4095"/>
    <w:rPr>
      <w:rFonts w:ascii="Tahoma" w:hAnsi="Tahoma" w:cs="Tahoma"/>
      <w:sz w:val="16"/>
      <w:szCs w:val="16"/>
      <w:lang w:val="lv-LV" w:eastAsia="en-US" w:bidi="ar-SA"/>
    </w:rPr>
  </w:style>
  <w:style w:type="paragraph" w:customStyle="1" w:styleId="CharChar4CharCharCharChar">
    <w:name w:val="Char Char4 Char Char Char Char"/>
    <w:basedOn w:val="Normal"/>
    <w:next w:val="BlockText"/>
    <w:rsid w:val="007E21EC"/>
    <w:pPr>
      <w:spacing w:before="120" w:after="160" w:line="240" w:lineRule="exact"/>
      <w:ind w:firstLine="720"/>
      <w:jc w:val="both"/>
    </w:pPr>
    <w:rPr>
      <w:rFonts w:ascii="Verdana" w:hAnsi="Verdana"/>
      <w:sz w:val="20"/>
      <w:szCs w:val="20"/>
      <w:lang w:val="en-US"/>
    </w:rPr>
  </w:style>
  <w:style w:type="paragraph" w:customStyle="1" w:styleId="1">
    <w:name w:val="1"/>
    <w:basedOn w:val="Normal"/>
    <w:rsid w:val="00FD495A"/>
    <w:pPr>
      <w:spacing w:after="160" w:line="240" w:lineRule="exact"/>
    </w:pPr>
    <w:rPr>
      <w:rFonts w:ascii="Tahoma" w:hAnsi="Tahoma"/>
      <w:sz w:val="20"/>
      <w:szCs w:val="20"/>
      <w:lang w:val="en-US"/>
    </w:rPr>
  </w:style>
  <w:style w:type="paragraph" w:customStyle="1" w:styleId="Default">
    <w:name w:val="Default"/>
    <w:rsid w:val="000518C5"/>
    <w:pPr>
      <w:autoSpaceDE w:val="0"/>
      <w:autoSpaceDN w:val="0"/>
      <w:adjustRightInd w:val="0"/>
    </w:pPr>
    <w:rPr>
      <w:color w:val="000000"/>
      <w:sz w:val="24"/>
      <w:szCs w:val="24"/>
    </w:rPr>
  </w:style>
  <w:style w:type="paragraph" w:customStyle="1" w:styleId="RakstzCharCharRakstzCharCharRakstz">
    <w:name w:val="Rakstz. Char Char Rakstz. Char Char Rakstz."/>
    <w:basedOn w:val="Normal"/>
    <w:rsid w:val="00906472"/>
    <w:pPr>
      <w:spacing w:after="160" w:line="240" w:lineRule="exact"/>
    </w:pPr>
    <w:rPr>
      <w:rFonts w:ascii="Tahoma" w:hAnsi="Tahoma"/>
      <w:sz w:val="20"/>
      <w:szCs w:val="20"/>
      <w:lang w:val="en-US"/>
    </w:rPr>
  </w:style>
  <w:style w:type="paragraph" w:customStyle="1" w:styleId="naisnod">
    <w:name w:val="naisnod"/>
    <w:basedOn w:val="Normal"/>
    <w:rsid w:val="00FB0C41"/>
    <w:pPr>
      <w:spacing w:before="100" w:beforeAutospacing="1" w:after="100" w:afterAutospacing="1"/>
    </w:pPr>
    <w:rPr>
      <w:lang w:eastAsia="lv-LV" w:bidi="lo-LA"/>
    </w:rPr>
  </w:style>
  <w:style w:type="paragraph" w:customStyle="1" w:styleId="naiskr">
    <w:name w:val="naiskr"/>
    <w:basedOn w:val="Normal"/>
    <w:rsid w:val="00FB0C41"/>
    <w:pPr>
      <w:spacing w:before="100" w:beforeAutospacing="1" w:after="100" w:afterAutospacing="1"/>
    </w:pPr>
    <w:rPr>
      <w:lang w:eastAsia="lv-LV" w:bidi="lo-LA"/>
    </w:rPr>
  </w:style>
  <w:style w:type="paragraph" w:customStyle="1" w:styleId="naislab">
    <w:name w:val="naislab"/>
    <w:basedOn w:val="Normal"/>
    <w:rsid w:val="00FB0C41"/>
    <w:pPr>
      <w:spacing w:before="100" w:beforeAutospacing="1" w:after="100" w:afterAutospacing="1"/>
    </w:pPr>
    <w:rPr>
      <w:lang w:eastAsia="lv-LV" w:bidi="lo-LA"/>
    </w:rPr>
  </w:style>
  <w:style w:type="character" w:customStyle="1" w:styleId="spelle">
    <w:name w:val="spelle"/>
    <w:basedOn w:val="DefaultParagraphFont"/>
    <w:rsid w:val="002F4AA1"/>
  </w:style>
  <w:style w:type="table" w:styleId="TableGrid">
    <w:name w:val="Table Grid"/>
    <w:basedOn w:val="TableNormal"/>
    <w:uiPriority w:val="39"/>
    <w:rsid w:val="00BE0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html">
    <w:name w:val="tv_html"/>
    <w:basedOn w:val="Normal"/>
    <w:rsid w:val="00861B14"/>
    <w:pPr>
      <w:spacing w:before="100" w:beforeAutospacing="1" w:after="100" w:afterAutospacing="1"/>
    </w:pPr>
    <w:rPr>
      <w:rFonts w:ascii="Verdana" w:hAnsi="Verdana"/>
      <w:sz w:val="18"/>
      <w:szCs w:val="18"/>
      <w:lang w:val="en-US"/>
    </w:rPr>
  </w:style>
  <w:style w:type="character" w:customStyle="1" w:styleId="apple-converted-space">
    <w:name w:val="apple-converted-space"/>
    <w:basedOn w:val="DefaultParagraphFont"/>
    <w:rsid w:val="003536A6"/>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
    <w:basedOn w:val="Normal"/>
    <w:link w:val="ListParagraphChar"/>
    <w:uiPriority w:val="34"/>
    <w:qFormat/>
    <w:rsid w:val="00CB2573"/>
    <w:pPr>
      <w:ind w:left="720"/>
      <w:contextualSpacing/>
    </w:pPr>
  </w:style>
  <w:style w:type="paragraph" w:styleId="NoSpacing">
    <w:name w:val="No Spacing"/>
    <w:aliases w:val="Normal1,No Spacing1,Parastais"/>
    <w:link w:val="NoSpacingChar"/>
    <w:uiPriority w:val="1"/>
    <w:qFormat/>
    <w:rsid w:val="00BB4913"/>
    <w:rPr>
      <w:rFonts w:ascii="Calibri" w:hAnsi="Calibri" w:cs="Calibri"/>
      <w:sz w:val="22"/>
      <w:szCs w:val="22"/>
      <w:lang w:val="en-US" w:eastAsia="en-US"/>
    </w:rPr>
  </w:style>
  <w:style w:type="paragraph" w:styleId="DocumentMap">
    <w:name w:val="Document Map"/>
    <w:basedOn w:val="Normal"/>
    <w:link w:val="DocumentMapChar"/>
    <w:uiPriority w:val="99"/>
    <w:semiHidden/>
    <w:unhideWhenUsed/>
    <w:rsid w:val="00326D94"/>
    <w:rPr>
      <w:rFonts w:ascii="Tahoma" w:hAnsi="Tahoma" w:cs="Tahoma"/>
      <w:sz w:val="16"/>
      <w:szCs w:val="16"/>
    </w:rPr>
  </w:style>
  <w:style w:type="character" w:customStyle="1" w:styleId="DocumentMapChar">
    <w:name w:val="Document Map Char"/>
    <w:basedOn w:val="DefaultParagraphFont"/>
    <w:link w:val="DocumentMap"/>
    <w:uiPriority w:val="99"/>
    <w:semiHidden/>
    <w:rsid w:val="00326D94"/>
    <w:rPr>
      <w:rFonts w:ascii="Tahoma" w:hAnsi="Tahoma" w:cs="Tahoma"/>
      <w:sz w:val="16"/>
      <w:szCs w:val="16"/>
      <w:lang w:val="lv-LV"/>
    </w:rPr>
  </w:style>
  <w:style w:type="paragraph" w:customStyle="1" w:styleId="tv2131">
    <w:name w:val="tv2131"/>
    <w:basedOn w:val="Normal"/>
    <w:rsid w:val="00217BB5"/>
    <w:pPr>
      <w:spacing w:line="360" w:lineRule="auto"/>
      <w:ind w:firstLine="300"/>
    </w:pPr>
    <w:rPr>
      <w:color w:val="414142"/>
      <w:sz w:val="20"/>
      <w:szCs w:val="20"/>
      <w:lang w:val="en-US"/>
    </w:rPr>
  </w:style>
  <w:style w:type="paragraph" w:customStyle="1" w:styleId="tv2121">
    <w:name w:val="tv2121"/>
    <w:basedOn w:val="Normal"/>
    <w:rsid w:val="003735C6"/>
    <w:pPr>
      <w:spacing w:before="400" w:line="360" w:lineRule="auto"/>
      <w:jc w:val="center"/>
    </w:pPr>
    <w:rPr>
      <w:rFonts w:ascii="Verdana" w:hAnsi="Verdana"/>
      <w:b/>
      <w:bCs/>
      <w:sz w:val="20"/>
      <w:szCs w:val="20"/>
      <w:lang w:eastAsia="lv-LV"/>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0F2E5B"/>
    <w:rPr>
      <w:sz w:val="24"/>
      <w:szCs w:val="24"/>
      <w:lang w:eastAsia="en-US"/>
    </w:rPr>
  </w:style>
  <w:style w:type="paragraph" w:customStyle="1" w:styleId="teksts">
    <w:name w:val="teksts"/>
    <w:basedOn w:val="Normal"/>
    <w:link w:val="tekstsChar"/>
    <w:uiPriority w:val="99"/>
    <w:rsid w:val="007F3A28"/>
    <w:pPr>
      <w:ind w:firstLine="720"/>
      <w:jc w:val="both"/>
    </w:pPr>
    <w:rPr>
      <w:rFonts w:cs="Helv"/>
      <w:color w:val="000000"/>
      <w:szCs w:val="20"/>
    </w:rPr>
  </w:style>
  <w:style w:type="character" w:customStyle="1" w:styleId="tekstsChar">
    <w:name w:val="teksts Char"/>
    <w:basedOn w:val="DefaultParagraphFont"/>
    <w:link w:val="teksts"/>
    <w:uiPriority w:val="99"/>
    <w:locked/>
    <w:rsid w:val="007F3A28"/>
    <w:rPr>
      <w:rFonts w:cs="Helv"/>
      <w:color w:val="000000"/>
      <w:sz w:val="24"/>
      <w:lang w:eastAsia="en-US"/>
    </w:rPr>
  </w:style>
  <w:style w:type="character" w:customStyle="1" w:styleId="FontStyle26">
    <w:name w:val="Font Style26"/>
    <w:basedOn w:val="DefaultParagraphFont"/>
    <w:uiPriority w:val="99"/>
    <w:rsid w:val="007109EB"/>
    <w:rPr>
      <w:rFonts w:ascii="Times New Roman" w:hAnsi="Times New Roman" w:cs="Times New Roman"/>
      <w:sz w:val="26"/>
      <w:szCs w:val="26"/>
    </w:rPr>
  </w:style>
  <w:style w:type="paragraph" w:styleId="TOC3">
    <w:name w:val="toc 3"/>
    <w:basedOn w:val="Normal"/>
    <w:next w:val="Normal"/>
    <w:autoRedefine/>
    <w:uiPriority w:val="39"/>
    <w:unhideWhenUsed/>
    <w:rsid w:val="005D18B6"/>
    <w:pPr>
      <w:framePr w:hSpace="180" w:wrap="around" w:vAnchor="text" w:hAnchor="margin" w:x="5" w:y="149"/>
      <w:spacing w:before="40" w:after="40"/>
      <w:ind w:left="57" w:right="57" w:firstLine="284"/>
      <w:jc w:val="both"/>
    </w:pPr>
    <w:rPr>
      <w:lang w:eastAsia="lv-LV"/>
    </w:rPr>
  </w:style>
  <w:style w:type="paragraph" w:customStyle="1" w:styleId="tv213">
    <w:name w:val="tv213"/>
    <w:basedOn w:val="Normal"/>
    <w:rsid w:val="00A9463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C065AA"/>
    <w:pPr>
      <w:keepNext/>
      <w:keepLines/>
      <w:spacing w:before="120" w:after="160" w:line="240" w:lineRule="exact"/>
      <w:jc w:val="both"/>
      <w:textAlignment w:val="baseline"/>
      <w:outlineLvl w:val="0"/>
    </w:pPr>
    <w:rPr>
      <w:sz w:val="20"/>
      <w:szCs w:val="20"/>
      <w:vertAlign w:val="superscript"/>
      <w:lang w:eastAsia="lv-LV"/>
    </w:rPr>
  </w:style>
  <w:style w:type="character" w:customStyle="1" w:styleId="CaptionChar">
    <w:name w:val="Caption Char"/>
    <w:link w:val="Caption"/>
    <w:locked/>
    <w:rsid w:val="00C065AA"/>
    <w:rPr>
      <w:b/>
      <w:bCs/>
    </w:rPr>
  </w:style>
  <w:style w:type="paragraph" w:styleId="Caption">
    <w:name w:val="caption"/>
    <w:basedOn w:val="Normal"/>
    <w:next w:val="Normal"/>
    <w:link w:val="CaptionChar"/>
    <w:qFormat/>
    <w:rsid w:val="00C065AA"/>
    <w:rPr>
      <w:b/>
      <w:bCs/>
      <w:sz w:val="20"/>
      <w:szCs w:val="20"/>
      <w:lang w:eastAsia="lv-LV"/>
    </w:rPr>
  </w:style>
  <w:style w:type="character" w:customStyle="1" w:styleId="NoSpacingChar">
    <w:name w:val="No Spacing Char"/>
    <w:aliases w:val="Normal1 Char,No Spacing1 Char,Parastais Char"/>
    <w:link w:val="NoSpacing"/>
    <w:uiPriority w:val="1"/>
    <w:locked/>
    <w:rsid w:val="00AC0FDA"/>
    <w:rPr>
      <w:rFonts w:ascii="Calibri" w:hAnsi="Calibri" w:cs="Calibri"/>
      <w:sz w:val="22"/>
      <w:szCs w:val="22"/>
      <w:lang w:val="en-US" w:eastAsia="en-US"/>
    </w:rPr>
  </w:style>
  <w:style w:type="paragraph" w:styleId="Revision">
    <w:name w:val="Revision"/>
    <w:hidden/>
    <w:uiPriority w:val="99"/>
    <w:semiHidden/>
    <w:rsid w:val="008D3870"/>
    <w:rPr>
      <w:sz w:val="24"/>
      <w:szCs w:val="24"/>
      <w:lang w:eastAsia="en-US"/>
    </w:rPr>
  </w:style>
  <w:style w:type="paragraph" w:customStyle="1" w:styleId="xxxmsolistparagraph">
    <w:name w:val="x_x_x_msolistparagraph"/>
    <w:basedOn w:val="Normal"/>
    <w:rsid w:val="00343908"/>
    <w:pPr>
      <w:spacing w:before="100" w:beforeAutospacing="1" w:after="100" w:afterAutospacing="1"/>
    </w:pPr>
    <w:rPr>
      <w:lang w:eastAsia="lv-LV"/>
    </w:rPr>
  </w:style>
  <w:style w:type="paragraph" w:customStyle="1" w:styleId="xmsolistparagraph">
    <w:name w:val="x_msolistparagraph"/>
    <w:basedOn w:val="Normal"/>
    <w:rsid w:val="00343908"/>
    <w:pPr>
      <w:spacing w:before="100" w:beforeAutospacing="1" w:after="100" w:afterAutospacing="1"/>
    </w:pPr>
    <w:rPr>
      <w:lang w:eastAsia="lv-LV"/>
    </w:rPr>
  </w:style>
  <w:style w:type="paragraph" w:customStyle="1" w:styleId="xxmsolistparagraph">
    <w:name w:val="x_x_msolistparagraph"/>
    <w:basedOn w:val="Normal"/>
    <w:rsid w:val="006051AF"/>
    <w:pPr>
      <w:spacing w:before="100" w:beforeAutospacing="1" w:after="100" w:afterAutospacing="1"/>
    </w:pPr>
    <w:rPr>
      <w:lang w:eastAsia="lv-LV"/>
    </w:rPr>
  </w:style>
  <w:style w:type="character" w:customStyle="1" w:styleId="xdtextbox1">
    <w:name w:val="xdtextbox1"/>
    <w:basedOn w:val="DefaultParagraphFont"/>
    <w:rsid w:val="00E516B6"/>
    <w:rPr>
      <w:color w:val="auto"/>
      <w:bdr w:val="single" w:sz="8" w:space="1" w:color="DCDCDC" w:frame="1"/>
      <w:shd w:val="clear" w:color="auto" w:fill="FFFFFF"/>
    </w:rPr>
  </w:style>
  <w:style w:type="paragraph" w:styleId="HTMLPreformatted">
    <w:name w:val="HTML Preformatted"/>
    <w:basedOn w:val="Normal"/>
    <w:link w:val="HTMLPreformattedChar"/>
    <w:uiPriority w:val="99"/>
    <w:semiHidden/>
    <w:unhideWhenUsed/>
    <w:rsid w:val="0069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69CA"/>
    <w:rPr>
      <w:rFonts w:ascii="Courier New" w:hAnsi="Courier New" w:cs="Courier New"/>
      <w:lang w:val="en-US" w:eastAsia="en-US"/>
    </w:rPr>
  </w:style>
  <w:style w:type="character" w:customStyle="1" w:styleId="UnresolvedMention1">
    <w:name w:val="Unresolved Mention1"/>
    <w:basedOn w:val="DefaultParagraphFont"/>
    <w:uiPriority w:val="99"/>
    <w:semiHidden/>
    <w:unhideWhenUsed/>
    <w:rsid w:val="00214555"/>
    <w:rPr>
      <w:color w:val="808080"/>
      <w:shd w:val="clear" w:color="auto" w:fill="E6E6E6"/>
    </w:rPr>
  </w:style>
  <w:style w:type="paragraph" w:styleId="Title">
    <w:name w:val="Title"/>
    <w:basedOn w:val="Normal"/>
    <w:link w:val="TitleChar"/>
    <w:qFormat/>
    <w:rsid w:val="006A739A"/>
    <w:pPr>
      <w:jc w:val="center"/>
    </w:pPr>
    <w:rPr>
      <w:sz w:val="28"/>
      <w:szCs w:val="20"/>
    </w:rPr>
  </w:style>
  <w:style w:type="character" w:customStyle="1" w:styleId="TitleChar">
    <w:name w:val="Title Char"/>
    <w:basedOn w:val="DefaultParagraphFont"/>
    <w:link w:val="Title"/>
    <w:rsid w:val="006A739A"/>
    <w:rPr>
      <w:sz w:val="28"/>
      <w:lang w:eastAsia="en-US"/>
    </w:rPr>
  </w:style>
  <w:style w:type="character" w:customStyle="1" w:styleId="t3">
    <w:name w:val="t3"/>
    <w:basedOn w:val="DefaultParagraphFont"/>
    <w:rsid w:val="00B92E1B"/>
  </w:style>
  <w:style w:type="character" w:customStyle="1" w:styleId="fwn">
    <w:name w:val="fwn"/>
    <w:basedOn w:val="DefaultParagraphFont"/>
    <w:rsid w:val="00B92E1B"/>
  </w:style>
  <w:style w:type="paragraph" w:customStyle="1" w:styleId="liknoteik">
    <w:name w:val="lik_noteik"/>
    <w:basedOn w:val="Normal"/>
    <w:rsid w:val="002F0E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460">
      <w:bodyDiv w:val="1"/>
      <w:marLeft w:val="0"/>
      <w:marRight w:val="0"/>
      <w:marTop w:val="0"/>
      <w:marBottom w:val="0"/>
      <w:divBdr>
        <w:top w:val="none" w:sz="0" w:space="0" w:color="auto"/>
        <w:left w:val="none" w:sz="0" w:space="0" w:color="auto"/>
        <w:bottom w:val="none" w:sz="0" w:space="0" w:color="auto"/>
        <w:right w:val="none" w:sz="0" w:space="0" w:color="auto"/>
      </w:divBdr>
    </w:div>
    <w:div w:id="3410725">
      <w:bodyDiv w:val="1"/>
      <w:marLeft w:val="0"/>
      <w:marRight w:val="0"/>
      <w:marTop w:val="0"/>
      <w:marBottom w:val="0"/>
      <w:divBdr>
        <w:top w:val="none" w:sz="0" w:space="0" w:color="auto"/>
        <w:left w:val="none" w:sz="0" w:space="0" w:color="auto"/>
        <w:bottom w:val="none" w:sz="0" w:space="0" w:color="auto"/>
        <w:right w:val="none" w:sz="0" w:space="0" w:color="auto"/>
      </w:divBdr>
    </w:div>
    <w:div w:id="105083029">
      <w:bodyDiv w:val="1"/>
      <w:marLeft w:val="0"/>
      <w:marRight w:val="0"/>
      <w:marTop w:val="0"/>
      <w:marBottom w:val="0"/>
      <w:divBdr>
        <w:top w:val="none" w:sz="0" w:space="0" w:color="auto"/>
        <w:left w:val="none" w:sz="0" w:space="0" w:color="auto"/>
        <w:bottom w:val="none" w:sz="0" w:space="0" w:color="auto"/>
        <w:right w:val="none" w:sz="0" w:space="0" w:color="auto"/>
      </w:divBdr>
    </w:div>
    <w:div w:id="107358867">
      <w:bodyDiv w:val="1"/>
      <w:marLeft w:val="0"/>
      <w:marRight w:val="0"/>
      <w:marTop w:val="0"/>
      <w:marBottom w:val="0"/>
      <w:divBdr>
        <w:top w:val="none" w:sz="0" w:space="0" w:color="auto"/>
        <w:left w:val="none" w:sz="0" w:space="0" w:color="auto"/>
        <w:bottom w:val="none" w:sz="0" w:space="0" w:color="auto"/>
        <w:right w:val="none" w:sz="0" w:space="0" w:color="auto"/>
      </w:divBdr>
    </w:div>
    <w:div w:id="114299016">
      <w:bodyDiv w:val="1"/>
      <w:marLeft w:val="0"/>
      <w:marRight w:val="0"/>
      <w:marTop w:val="0"/>
      <w:marBottom w:val="0"/>
      <w:divBdr>
        <w:top w:val="none" w:sz="0" w:space="0" w:color="auto"/>
        <w:left w:val="none" w:sz="0" w:space="0" w:color="auto"/>
        <w:bottom w:val="none" w:sz="0" w:space="0" w:color="auto"/>
        <w:right w:val="none" w:sz="0" w:space="0" w:color="auto"/>
      </w:divBdr>
    </w:div>
    <w:div w:id="126515532">
      <w:bodyDiv w:val="1"/>
      <w:marLeft w:val="0"/>
      <w:marRight w:val="0"/>
      <w:marTop w:val="0"/>
      <w:marBottom w:val="0"/>
      <w:divBdr>
        <w:top w:val="none" w:sz="0" w:space="0" w:color="auto"/>
        <w:left w:val="none" w:sz="0" w:space="0" w:color="auto"/>
        <w:bottom w:val="none" w:sz="0" w:space="0" w:color="auto"/>
        <w:right w:val="none" w:sz="0" w:space="0" w:color="auto"/>
      </w:divBdr>
    </w:div>
    <w:div w:id="144251128">
      <w:bodyDiv w:val="1"/>
      <w:marLeft w:val="0"/>
      <w:marRight w:val="0"/>
      <w:marTop w:val="0"/>
      <w:marBottom w:val="0"/>
      <w:divBdr>
        <w:top w:val="none" w:sz="0" w:space="0" w:color="auto"/>
        <w:left w:val="none" w:sz="0" w:space="0" w:color="auto"/>
        <w:bottom w:val="none" w:sz="0" w:space="0" w:color="auto"/>
        <w:right w:val="none" w:sz="0" w:space="0" w:color="auto"/>
      </w:divBdr>
      <w:divsChild>
        <w:div w:id="883367968">
          <w:marLeft w:val="0"/>
          <w:marRight w:val="0"/>
          <w:marTop w:val="480"/>
          <w:marBottom w:val="240"/>
          <w:divBdr>
            <w:top w:val="none" w:sz="0" w:space="0" w:color="auto"/>
            <w:left w:val="none" w:sz="0" w:space="0" w:color="auto"/>
            <w:bottom w:val="none" w:sz="0" w:space="0" w:color="auto"/>
            <w:right w:val="none" w:sz="0" w:space="0" w:color="auto"/>
          </w:divBdr>
        </w:div>
        <w:div w:id="1931886466">
          <w:marLeft w:val="0"/>
          <w:marRight w:val="0"/>
          <w:marTop w:val="0"/>
          <w:marBottom w:val="567"/>
          <w:divBdr>
            <w:top w:val="none" w:sz="0" w:space="0" w:color="auto"/>
            <w:left w:val="none" w:sz="0" w:space="0" w:color="auto"/>
            <w:bottom w:val="none" w:sz="0" w:space="0" w:color="auto"/>
            <w:right w:val="none" w:sz="0" w:space="0" w:color="auto"/>
          </w:divBdr>
        </w:div>
      </w:divsChild>
    </w:div>
    <w:div w:id="148521958">
      <w:bodyDiv w:val="1"/>
      <w:marLeft w:val="0"/>
      <w:marRight w:val="0"/>
      <w:marTop w:val="0"/>
      <w:marBottom w:val="0"/>
      <w:divBdr>
        <w:top w:val="none" w:sz="0" w:space="0" w:color="auto"/>
        <w:left w:val="none" w:sz="0" w:space="0" w:color="auto"/>
        <w:bottom w:val="none" w:sz="0" w:space="0" w:color="auto"/>
        <w:right w:val="none" w:sz="0" w:space="0" w:color="auto"/>
      </w:divBdr>
    </w:div>
    <w:div w:id="156967816">
      <w:bodyDiv w:val="1"/>
      <w:marLeft w:val="0"/>
      <w:marRight w:val="0"/>
      <w:marTop w:val="0"/>
      <w:marBottom w:val="0"/>
      <w:divBdr>
        <w:top w:val="none" w:sz="0" w:space="0" w:color="auto"/>
        <w:left w:val="none" w:sz="0" w:space="0" w:color="auto"/>
        <w:bottom w:val="none" w:sz="0" w:space="0" w:color="auto"/>
        <w:right w:val="none" w:sz="0" w:space="0" w:color="auto"/>
      </w:divBdr>
    </w:div>
    <w:div w:id="186676203">
      <w:bodyDiv w:val="1"/>
      <w:marLeft w:val="0"/>
      <w:marRight w:val="0"/>
      <w:marTop w:val="0"/>
      <w:marBottom w:val="0"/>
      <w:divBdr>
        <w:top w:val="none" w:sz="0" w:space="0" w:color="auto"/>
        <w:left w:val="none" w:sz="0" w:space="0" w:color="auto"/>
        <w:bottom w:val="none" w:sz="0" w:space="0" w:color="auto"/>
        <w:right w:val="none" w:sz="0" w:space="0" w:color="auto"/>
      </w:divBdr>
    </w:div>
    <w:div w:id="190150613">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8">
          <w:marLeft w:val="0"/>
          <w:marRight w:val="0"/>
          <w:marTop w:val="0"/>
          <w:marBottom w:val="0"/>
          <w:divBdr>
            <w:top w:val="none" w:sz="0" w:space="0" w:color="auto"/>
            <w:left w:val="none" w:sz="0" w:space="0" w:color="auto"/>
            <w:bottom w:val="none" w:sz="0" w:space="0" w:color="auto"/>
            <w:right w:val="none" w:sz="0" w:space="0" w:color="auto"/>
          </w:divBdr>
        </w:div>
        <w:div w:id="1345398026">
          <w:marLeft w:val="0"/>
          <w:marRight w:val="0"/>
          <w:marTop w:val="0"/>
          <w:marBottom w:val="0"/>
          <w:divBdr>
            <w:top w:val="none" w:sz="0" w:space="0" w:color="auto"/>
            <w:left w:val="none" w:sz="0" w:space="0" w:color="auto"/>
            <w:bottom w:val="none" w:sz="0" w:space="0" w:color="auto"/>
            <w:right w:val="none" w:sz="0" w:space="0" w:color="auto"/>
          </w:divBdr>
        </w:div>
        <w:div w:id="2060742366">
          <w:marLeft w:val="0"/>
          <w:marRight w:val="0"/>
          <w:marTop w:val="0"/>
          <w:marBottom w:val="0"/>
          <w:divBdr>
            <w:top w:val="none" w:sz="0" w:space="0" w:color="auto"/>
            <w:left w:val="none" w:sz="0" w:space="0" w:color="auto"/>
            <w:bottom w:val="none" w:sz="0" w:space="0" w:color="auto"/>
            <w:right w:val="none" w:sz="0" w:space="0" w:color="auto"/>
          </w:divBdr>
        </w:div>
        <w:div w:id="1950769831">
          <w:marLeft w:val="0"/>
          <w:marRight w:val="0"/>
          <w:marTop w:val="0"/>
          <w:marBottom w:val="0"/>
          <w:divBdr>
            <w:top w:val="none" w:sz="0" w:space="0" w:color="auto"/>
            <w:left w:val="none" w:sz="0" w:space="0" w:color="auto"/>
            <w:bottom w:val="none" w:sz="0" w:space="0" w:color="auto"/>
            <w:right w:val="none" w:sz="0" w:space="0" w:color="auto"/>
          </w:divBdr>
        </w:div>
        <w:div w:id="1343237750">
          <w:marLeft w:val="0"/>
          <w:marRight w:val="0"/>
          <w:marTop w:val="0"/>
          <w:marBottom w:val="0"/>
          <w:divBdr>
            <w:top w:val="none" w:sz="0" w:space="0" w:color="auto"/>
            <w:left w:val="none" w:sz="0" w:space="0" w:color="auto"/>
            <w:bottom w:val="none" w:sz="0" w:space="0" w:color="auto"/>
            <w:right w:val="none" w:sz="0" w:space="0" w:color="auto"/>
          </w:divBdr>
        </w:div>
      </w:divsChild>
    </w:div>
    <w:div w:id="216818090">
      <w:bodyDiv w:val="1"/>
      <w:marLeft w:val="0"/>
      <w:marRight w:val="0"/>
      <w:marTop w:val="0"/>
      <w:marBottom w:val="0"/>
      <w:divBdr>
        <w:top w:val="none" w:sz="0" w:space="0" w:color="auto"/>
        <w:left w:val="none" w:sz="0" w:space="0" w:color="auto"/>
        <w:bottom w:val="none" w:sz="0" w:space="0" w:color="auto"/>
        <w:right w:val="none" w:sz="0" w:space="0" w:color="auto"/>
      </w:divBdr>
    </w:div>
    <w:div w:id="239482979">
      <w:bodyDiv w:val="1"/>
      <w:marLeft w:val="0"/>
      <w:marRight w:val="0"/>
      <w:marTop w:val="0"/>
      <w:marBottom w:val="0"/>
      <w:divBdr>
        <w:top w:val="none" w:sz="0" w:space="0" w:color="auto"/>
        <w:left w:val="none" w:sz="0" w:space="0" w:color="auto"/>
        <w:bottom w:val="none" w:sz="0" w:space="0" w:color="auto"/>
        <w:right w:val="none" w:sz="0" w:space="0" w:color="auto"/>
      </w:divBdr>
    </w:div>
    <w:div w:id="254093922">
      <w:bodyDiv w:val="1"/>
      <w:marLeft w:val="0"/>
      <w:marRight w:val="0"/>
      <w:marTop w:val="0"/>
      <w:marBottom w:val="0"/>
      <w:divBdr>
        <w:top w:val="none" w:sz="0" w:space="0" w:color="auto"/>
        <w:left w:val="none" w:sz="0" w:space="0" w:color="auto"/>
        <w:bottom w:val="none" w:sz="0" w:space="0" w:color="auto"/>
        <w:right w:val="none" w:sz="0" w:space="0" w:color="auto"/>
      </w:divBdr>
    </w:div>
    <w:div w:id="255402432">
      <w:bodyDiv w:val="1"/>
      <w:marLeft w:val="0"/>
      <w:marRight w:val="0"/>
      <w:marTop w:val="0"/>
      <w:marBottom w:val="0"/>
      <w:divBdr>
        <w:top w:val="none" w:sz="0" w:space="0" w:color="auto"/>
        <w:left w:val="none" w:sz="0" w:space="0" w:color="auto"/>
        <w:bottom w:val="none" w:sz="0" w:space="0" w:color="auto"/>
        <w:right w:val="none" w:sz="0" w:space="0" w:color="auto"/>
      </w:divBdr>
    </w:div>
    <w:div w:id="255788640">
      <w:bodyDiv w:val="1"/>
      <w:marLeft w:val="0"/>
      <w:marRight w:val="0"/>
      <w:marTop w:val="0"/>
      <w:marBottom w:val="0"/>
      <w:divBdr>
        <w:top w:val="none" w:sz="0" w:space="0" w:color="auto"/>
        <w:left w:val="none" w:sz="0" w:space="0" w:color="auto"/>
        <w:bottom w:val="none" w:sz="0" w:space="0" w:color="auto"/>
        <w:right w:val="none" w:sz="0" w:space="0" w:color="auto"/>
      </w:divBdr>
    </w:div>
    <w:div w:id="255942379">
      <w:bodyDiv w:val="1"/>
      <w:marLeft w:val="0"/>
      <w:marRight w:val="0"/>
      <w:marTop w:val="0"/>
      <w:marBottom w:val="0"/>
      <w:divBdr>
        <w:top w:val="none" w:sz="0" w:space="0" w:color="auto"/>
        <w:left w:val="none" w:sz="0" w:space="0" w:color="auto"/>
        <w:bottom w:val="none" w:sz="0" w:space="0" w:color="auto"/>
        <w:right w:val="none" w:sz="0" w:space="0" w:color="auto"/>
      </w:divBdr>
    </w:div>
    <w:div w:id="267927885">
      <w:bodyDiv w:val="1"/>
      <w:marLeft w:val="0"/>
      <w:marRight w:val="0"/>
      <w:marTop w:val="0"/>
      <w:marBottom w:val="0"/>
      <w:divBdr>
        <w:top w:val="none" w:sz="0" w:space="0" w:color="auto"/>
        <w:left w:val="none" w:sz="0" w:space="0" w:color="auto"/>
        <w:bottom w:val="none" w:sz="0" w:space="0" w:color="auto"/>
        <w:right w:val="none" w:sz="0" w:space="0" w:color="auto"/>
      </w:divBdr>
    </w:div>
    <w:div w:id="275212261">
      <w:bodyDiv w:val="1"/>
      <w:marLeft w:val="0"/>
      <w:marRight w:val="0"/>
      <w:marTop w:val="0"/>
      <w:marBottom w:val="0"/>
      <w:divBdr>
        <w:top w:val="none" w:sz="0" w:space="0" w:color="auto"/>
        <w:left w:val="none" w:sz="0" w:space="0" w:color="auto"/>
        <w:bottom w:val="none" w:sz="0" w:space="0" w:color="auto"/>
        <w:right w:val="none" w:sz="0" w:space="0" w:color="auto"/>
      </w:divBdr>
    </w:div>
    <w:div w:id="295336396">
      <w:bodyDiv w:val="1"/>
      <w:marLeft w:val="0"/>
      <w:marRight w:val="0"/>
      <w:marTop w:val="0"/>
      <w:marBottom w:val="0"/>
      <w:divBdr>
        <w:top w:val="none" w:sz="0" w:space="0" w:color="auto"/>
        <w:left w:val="none" w:sz="0" w:space="0" w:color="auto"/>
        <w:bottom w:val="none" w:sz="0" w:space="0" w:color="auto"/>
        <w:right w:val="none" w:sz="0" w:space="0" w:color="auto"/>
      </w:divBdr>
    </w:div>
    <w:div w:id="365064131">
      <w:bodyDiv w:val="1"/>
      <w:marLeft w:val="0"/>
      <w:marRight w:val="0"/>
      <w:marTop w:val="0"/>
      <w:marBottom w:val="0"/>
      <w:divBdr>
        <w:top w:val="none" w:sz="0" w:space="0" w:color="auto"/>
        <w:left w:val="none" w:sz="0" w:space="0" w:color="auto"/>
        <w:bottom w:val="none" w:sz="0" w:space="0" w:color="auto"/>
        <w:right w:val="none" w:sz="0" w:space="0" w:color="auto"/>
      </w:divBdr>
    </w:div>
    <w:div w:id="389694031">
      <w:bodyDiv w:val="1"/>
      <w:marLeft w:val="0"/>
      <w:marRight w:val="0"/>
      <w:marTop w:val="0"/>
      <w:marBottom w:val="0"/>
      <w:divBdr>
        <w:top w:val="none" w:sz="0" w:space="0" w:color="auto"/>
        <w:left w:val="none" w:sz="0" w:space="0" w:color="auto"/>
        <w:bottom w:val="none" w:sz="0" w:space="0" w:color="auto"/>
        <w:right w:val="none" w:sz="0" w:space="0" w:color="auto"/>
      </w:divBdr>
    </w:div>
    <w:div w:id="421226618">
      <w:bodyDiv w:val="1"/>
      <w:marLeft w:val="0"/>
      <w:marRight w:val="0"/>
      <w:marTop w:val="0"/>
      <w:marBottom w:val="0"/>
      <w:divBdr>
        <w:top w:val="none" w:sz="0" w:space="0" w:color="auto"/>
        <w:left w:val="none" w:sz="0" w:space="0" w:color="auto"/>
        <w:bottom w:val="none" w:sz="0" w:space="0" w:color="auto"/>
        <w:right w:val="none" w:sz="0" w:space="0" w:color="auto"/>
      </w:divBdr>
      <w:divsChild>
        <w:div w:id="335350526">
          <w:marLeft w:val="0"/>
          <w:marRight w:val="0"/>
          <w:marTop w:val="480"/>
          <w:marBottom w:val="240"/>
          <w:divBdr>
            <w:top w:val="none" w:sz="0" w:space="0" w:color="auto"/>
            <w:left w:val="none" w:sz="0" w:space="0" w:color="auto"/>
            <w:bottom w:val="none" w:sz="0" w:space="0" w:color="auto"/>
            <w:right w:val="none" w:sz="0" w:space="0" w:color="auto"/>
          </w:divBdr>
        </w:div>
        <w:div w:id="1083911542">
          <w:marLeft w:val="0"/>
          <w:marRight w:val="0"/>
          <w:marTop w:val="0"/>
          <w:marBottom w:val="567"/>
          <w:divBdr>
            <w:top w:val="none" w:sz="0" w:space="0" w:color="auto"/>
            <w:left w:val="none" w:sz="0" w:space="0" w:color="auto"/>
            <w:bottom w:val="none" w:sz="0" w:space="0" w:color="auto"/>
            <w:right w:val="none" w:sz="0" w:space="0" w:color="auto"/>
          </w:divBdr>
        </w:div>
      </w:divsChild>
    </w:div>
    <w:div w:id="421803896">
      <w:bodyDiv w:val="1"/>
      <w:marLeft w:val="0"/>
      <w:marRight w:val="0"/>
      <w:marTop w:val="0"/>
      <w:marBottom w:val="0"/>
      <w:divBdr>
        <w:top w:val="none" w:sz="0" w:space="0" w:color="auto"/>
        <w:left w:val="none" w:sz="0" w:space="0" w:color="auto"/>
        <w:bottom w:val="none" w:sz="0" w:space="0" w:color="auto"/>
        <w:right w:val="none" w:sz="0" w:space="0" w:color="auto"/>
      </w:divBdr>
      <w:divsChild>
        <w:div w:id="1311910323">
          <w:marLeft w:val="0"/>
          <w:marRight w:val="0"/>
          <w:marTop w:val="480"/>
          <w:marBottom w:val="240"/>
          <w:divBdr>
            <w:top w:val="none" w:sz="0" w:space="0" w:color="auto"/>
            <w:left w:val="none" w:sz="0" w:space="0" w:color="auto"/>
            <w:bottom w:val="none" w:sz="0" w:space="0" w:color="auto"/>
            <w:right w:val="none" w:sz="0" w:space="0" w:color="auto"/>
          </w:divBdr>
        </w:div>
        <w:div w:id="1012339590">
          <w:marLeft w:val="0"/>
          <w:marRight w:val="0"/>
          <w:marTop w:val="0"/>
          <w:marBottom w:val="567"/>
          <w:divBdr>
            <w:top w:val="none" w:sz="0" w:space="0" w:color="auto"/>
            <w:left w:val="none" w:sz="0" w:space="0" w:color="auto"/>
            <w:bottom w:val="none" w:sz="0" w:space="0" w:color="auto"/>
            <w:right w:val="none" w:sz="0" w:space="0" w:color="auto"/>
          </w:divBdr>
        </w:div>
      </w:divsChild>
    </w:div>
    <w:div w:id="436407791">
      <w:bodyDiv w:val="1"/>
      <w:marLeft w:val="0"/>
      <w:marRight w:val="0"/>
      <w:marTop w:val="0"/>
      <w:marBottom w:val="0"/>
      <w:divBdr>
        <w:top w:val="none" w:sz="0" w:space="0" w:color="auto"/>
        <w:left w:val="none" w:sz="0" w:space="0" w:color="auto"/>
        <w:bottom w:val="none" w:sz="0" w:space="0" w:color="auto"/>
        <w:right w:val="none" w:sz="0" w:space="0" w:color="auto"/>
      </w:divBdr>
    </w:div>
    <w:div w:id="442457023">
      <w:bodyDiv w:val="1"/>
      <w:marLeft w:val="0"/>
      <w:marRight w:val="0"/>
      <w:marTop w:val="0"/>
      <w:marBottom w:val="0"/>
      <w:divBdr>
        <w:top w:val="none" w:sz="0" w:space="0" w:color="auto"/>
        <w:left w:val="none" w:sz="0" w:space="0" w:color="auto"/>
        <w:bottom w:val="none" w:sz="0" w:space="0" w:color="auto"/>
        <w:right w:val="none" w:sz="0" w:space="0" w:color="auto"/>
      </w:divBdr>
    </w:div>
    <w:div w:id="51223046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7">
          <w:marLeft w:val="0"/>
          <w:marRight w:val="0"/>
          <w:marTop w:val="0"/>
          <w:marBottom w:val="0"/>
          <w:divBdr>
            <w:top w:val="none" w:sz="0" w:space="0" w:color="auto"/>
            <w:left w:val="none" w:sz="0" w:space="0" w:color="auto"/>
            <w:bottom w:val="none" w:sz="0" w:space="0" w:color="auto"/>
            <w:right w:val="none" w:sz="0" w:space="0" w:color="auto"/>
          </w:divBdr>
          <w:divsChild>
            <w:div w:id="717052269">
              <w:marLeft w:val="0"/>
              <w:marRight w:val="0"/>
              <w:marTop w:val="0"/>
              <w:marBottom w:val="0"/>
              <w:divBdr>
                <w:top w:val="none" w:sz="0" w:space="0" w:color="auto"/>
                <w:left w:val="none" w:sz="0" w:space="0" w:color="auto"/>
                <w:bottom w:val="none" w:sz="0" w:space="0" w:color="auto"/>
                <w:right w:val="none" w:sz="0" w:space="0" w:color="auto"/>
              </w:divBdr>
              <w:divsChild>
                <w:div w:id="1218466819">
                  <w:marLeft w:val="0"/>
                  <w:marRight w:val="0"/>
                  <w:marTop w:val="0"/>
                  <w:marBottom w:val="0"/>
                  <w:divBdr>
                    <w:top w:val="none" w:sz="0" w:space="0" w:color="auto"/>
                    <w:left w:val="none" w:sz="0" w:space="0" w:color="auto"/>
                    <w:bottom w:val="none" w:sz="0" w:space="0" w:color="auto"/>
                    <w:right w:val="none" w:sz="0" w:space="0" w:color="auto"/>
                  </w:divBdr>
                  <w:divsChild>
                    <w:div w:id="591745452">
                      <w:marLeft w:val="0"/>
                      <w:marRight w:val="0"/>
                      <w:marTop w:val="0"/>
                      <w:marBottom w:val="0"/>
                      <w:divBdr>
                        <w:top w:val="none" w:sz="0" w:space="0" w:color="auto"/>
                        <w:left w:val="none" w:sz="0" w:space="0" w:color="auto"/>
                        <w:bottom w:val="none" w:sz="0" w:space="0" w:color="auto"/>
                        <w:right w:val="none" w:sz="0" w:space="0" w:color="auto"/>
                      </w:divBdr>
                      <w:divsChild>
                        <w:div w:id="1439787987">
                          <w:marLeft w:val="0"/>
                          <w:marRight w:val="0"/>
                          <w:marTop w:val="300"/>
                          <w:marBottom w:val="0"/>
                          <w:divBdr>
                            <w:top w:val="none" w:sz="0" w:space="0" w:color="auto"/>
                            <w:left w:val="none" w:sz="0" w:space="0" w:color="auto"/>
                            <w:bottom w:val="none" w:sz="0" w:space="0" w:color="auto"/>
                            <w:right w:val="none" w:sz="0" w:space="0" w:color="auto"/>
                          </w:divBdr>
                          <w:divsChild>
                            <w:div w:id="13284367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795844">
      <w:bodyDiv w:val="1"/>
      <w:marLeft w:val="0"/>
      <w:marRight w:val="0"/>
      <w:marTop w:val="0"/>
      <w:marBottom w:val="0"/>
      <w:divBdr>
        <w:top w:val="none" w:sz="0" w:space="0" w:color="auto"/>
        <w:left w:val="none" w:sz="0" w:space="0" w:color="auto"/>
        <w:bottom w:val="none" w:sz="0" w:space="0" w:color="auto"/>
        <w:right w:val="none" w:sz="0" w:space="0" w:color="auto"/>
      </w:divBdr>
      <w:divsChild>
        <w:div w:id="359596967">
          <w:marLeft w:val="0"/>
          <w:marRight w:val="0"/>
          <w:marTop w:val="0"/>
          <w:marBottom w:val="0"/>
          <w:divBdr>
            <w:top w:val="none" w:sz="0" w:space="0" w:color="auto"/>
            <w:left w:val="none" w:sz="0" w:space="0" w:color="auto"/>
            <w:bottom w:val="none" w:sz="0" w:space="0" w:color="auto"/>
            <w:right w:val="none" w:sz="0" w:space="0" w:color="auto"/>
          </w:divBdr>
          <w:divsChild>
            <w:div w:id="1874340621">
              <w:marLeft w:val="0"/>
              <w:marRight w:val="0"/>
              <w:marTop w:val="0"/>
              <w:marBottom w:val="0"/>
              <w:divBdr>
                <w:top w:val="none" w:sz="0" w:space="0" w:color="auto"/>
                <w:left w:val="none" w:sz="0" w:space="0" w:color="auto"/>
                <w:bottom w:val="none" w:sz="0" w:space="0" w:color="auto"/>
                <w:right w:val="none" w:sz="0" w:space="0" w:color="auto"/>
              </w:divBdr>
              <w:divsChild>
                <w:div w:id="373627472">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0"/>
                      <w:marTop w:val="0"/>
                      <w:marBottom w:val="0"/>
                      <w:divBdr>
                        <w:top w:val="none" w:sz="0" w:space="0" w:color="auto"/>
                        <w:left w:val="none" w:sz="0" w:space="0" w:color="auto"/>
                        <w:bottom w:val="none" w:sz="0" w:space="0" w:color="auto"/>
                        <w:right w:val="none" w:sz="0" w:space="0" w:color="auto"/>
                      </w:divBdr>
                      <w:divsChild>
                        <w:div w:id="1402020849">
                          <w:marLeft w:val="0"/>
                          <w:marRight w:val="0"/>
                          <w:marTop w:val="300"/>
                          <w:marBottom w:val="0"/>
                          <w:divBdr>
                            <w:top w:val="none" w:sz="0" w:space="0" w:color="auto"/>
                            <w:left w:val="none" w:sz="0" w:space="0" w:color="auto"/>
                            <w:bottom w:val="none" w:sz="0" w:space="0" w:color="auto"/>
                            <w:right w:val="none" w:sz="0" w:space="0" w:color="auto"/>
                          </w:divBdr>
                          <w:divsChild>
                            <w:div w:id="1502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9181">
      <w:bodyDiv w:val="1"/>
      <w:marLeft w:val="0"/>
      <w:marRight w:val="0"/>
      <w:marTop w:val="0"/>
      <w:marBottom w:val="0"/>
      <w:divBdr>
        <w:top w:val="none" w:sz="0" w:space="0" w:color="auto"/>
        <w:left w:val="none" w:sz="0" w:space="0" w:color="auto"/>
        <w:bottom w:val="none" w:sz="0" w:space="0" w:color="auto"/>
        <w:right w:val="none" w:sz="0" w:space="0" w:color="auto"/>
      </w:divBdr>
    </w:div>
    <w:div w:id="656306305">
      <w:bodyDiv w:val="1"/>
      <w:marLeft w:val="0"/>
      <w:marRight w:val="0"/>
      <w:marTop w:val="0"/>
      <w:marBottom w:val="0"/>
      <w:divBdr>
        <w:top w:val="none" w:sz="0" w:space="0" w:color="auto"/>
        <w:left w:val="none" w:sz="0" w:space="0" w:color="auto"/>
        <w:bottom w:val="none" w:sz="0" w:space="0" w:color="auto"/>
        <w:right w:val="none" w:sz="0" w:space="0" w:color="auto"/>
      </w:divBdr>
    </w:div>
    <w:div w:id="682902460">
      <w:bodyDiv w:val="1"/>
      <w:marLeft w:val="45"/>
      <w:marRight w:val="45"/>
      <w:marTop w:val="90"/>
      <w:marBottom w:val="90"/>
      <w:divBdr>
        <w:top w:val="none" w:sz="0" w:space="0" w:color="auto"/>
        <w:left w:val="none" w:sz="0" w:space="0" w:color="auto"/>
        <w:bottom w:val="none" w:sz="0" w:space="0" w:color="auto"/>
        <w:right w:val="none" w:sz="0" w:space="0" w:color="auto"/>
      </w:divBdr>
      <w:divsChild>
        <w:div w:id="1737974805">
          <w:marLeft w:val="0"/>
          <w:marRight w:val="0"/>
          <w:marTop w:val="0"/>
          <w:marBottom w:val="567"/>
          <w:divBdr>
            <w:top w:val="none" w:sz="0" w:space="0" w:color="auto"/>
            <w:left w:val="none" w:sz="0" w:space="0" w:color="auto"/>
            <w:bottom w:val="none" w:sz="0" w:space="0" w:color="auto"/>
            <w:right w:val="none" w:sz="0" w:space="0" w:color="auto"/>
          </w:divBdr>
        </w:div>
      </w:divsChild>
    </w:div>
    <w:div w:id="700738634">
      <w:bodyDiv w:val="1"/>
      <w:marLeft w:val="0"/>
      <w:marRight w:val="0"/>
      <w:marTop w:val="0"/>
      <w:marBottom w:val="0"/>
      <w:divBdr>
        <w:top w:val="none" w:sz="0" w:space="0" w:color="auto"/>
        <w:left w:val="none" w:sz="0" w:space="0" w:color="auto"/>
        <w:bottom w:val="none" w:sz="0" w:space="0" w:color="auto"/>
        <w:right w:val="none" w:sz="0" w:space="0" w:color="auto"/>
      </w:divBdr>
    </w:div>
    <w:div w:id="700932091">
      <w:bodyDiv w:val="1"/>
      <w:marLeft w:val="0"/>
      <w:marRight w:val="0"/>
      <w:marTop w:val="0"/>
      <w:marBottom w:val="0"/>
      <w:divBdr>
        <w:top w:val="none" w:sz="0" w:space="0" w:color="auto"/>
        <w:left w:val="none" w:sz="0" w:space="0" w:color="auto"/>
        <w:bottom w:val="none" w:sz="0" w:space="0" w:color="auto"/>
        <w:right w:val="none" w:sz="0" w:space="0" w:color="auto"/>
      </w:divBdr>
    </w:div>
    <w:div w:id="714278464">
      <w:bodyDiv w:val="1"/>
      <w:marLeft w:val="0"/>
      <w:marRight w:val="0"/>
      <w:marTop w:val="0"/>
      <w:marBottom w:val="0"/>
      <w:divBdr>
        <w:top w:val="none" w:sz="0" w:space="0" w:color="auto"/>
        <w:left w:val="none" w:sz="0" w:space="0" w:color="auto"/>
        <w:bottom w:val="none" w:sz="0" w:space="0" w:color="auto"/>
        <w:right w:val="none" w:sz="0" w:space="0" w:color="auto"/>
      </w:divBdr>
    </w:div>
    <w:div w:id="730226589">
      <w:bodyDiv w:val="1"/>
      <w:marLeft w:val="0"/>
      <w:marRight w:val="0"/>
      <w:marTop w:val="0"/>
      <w:marBottom w:val="0"/>
      <w:divBdr>
        <w:top w:val="none" w:sz="0" w:space="0" w:color="auto"/>
        <w:left w:val="none" w:sz="0" w:space="0" w:color="auto"/>
        <w:bottom w:val="none" w:sz="0" w:space="0" w:color="auto"/>
        <w:right w:val="none" w:sz="0" w:space="0" w:color="auto"/>
      </w:divBdr>
    </w:div>
    <w:div w:id="741290964">
      <w:bodyDiv w:val="1"/>
      <w:marLeft w:val="0"/>
      <w:marRight w:val="0"/>
      <w:marTop w:val="0"/>
      <w:marBottom w:val="0"/>
      <w:divBdr>
        <w:top w:val="none" w:sz="0" w:space="0" w:color="auto"/>
        <w:left w:val="none" w:sz="0" w:space="0" w:color="auto"/>
        <w:bottom w:val="none" w:sz="0" w:space="0" w:color="auto"/>
        <w:right w:val="none" w:sz="0" w:space="0" w:color="auto"/>
      </w:divBdr>
    </w:div>
    <w:div w:id="758407969">
      <w:bodyDiv w:val="1"/>
      <w:marLeft w:val="0"/>
      <w:marRight w:val="0"/>
      <w:marTop w:val="0"/>
      <w:marBottom w:val="0"/>
      <w:divBdr>
        <w:top w:val="none" w:sz="0" w:space="0" w:color="auto"/>
        <w:left w:val="none" w:sz="0" w:space="0" w:color="auto"/>
        <w:bottom w:val="none" w:sz="0" w:space="0" w:color="auto"/>
        <w:right w:val="none" w:sz="0" w:space="0" w:color="auto"/>
      </w:divBdr>
    </w:div>
    <w:div w:id="759764108">
      <w:bodyDiv w:val="1"/>
      <w:marLeft w:val="0"/>
      <w:marRight w:val="0"/>
      <w:marTop w:val="0"/>
      <w:marBottom w:val="0"/>
      <w:divBdr>
        <w:top w:val="none" w:sz="0" w:space="0" w:color="auto"/>
        <w:left w:val="none" w:sz="0" w:space="0" w:color="auto"/>
        <w:bottom w:val="none" w:sz="0" w:space="0" w:color="auto"/>
        <w:right w:val="none" w:sz="0" w:space="0" w:color="auto"/>
      </w:divBdr>
    </w:div>
    <w:div w:id="799883165">
      <w:bodyDiv w:val="1"/>
      <w:marLeft w:val="0"/>
      <w:marRight w:val="0"/>
      <w:marTop w:val="0"/>
      <w:marBottom w:val="0"/>
      <w:divBdr>
        <w:top w:val="none" w:sz="0" w:space="0" w:color="auto"/>
        <w:left w:val="none" w:sz="0" w:space="0" w:color="auto"/>
        <w:bottom w:val="none" w:sz="0" w:space="0" w:color="auto"/>
        <w:right w:val="none" w:sz="0" w:space="0" w:color="auto"/>
      </w:divBdr>
    </w:div>
    <w:div w:id="814105452">
      <w:bodyDiv w:val="1"/>
      <w:marLeft w:val="0"/>
      <w:marRight w:val="0"/>
      <w:marTop w:val="0"/>
      <w:marBottom w:val="0"/>
      <w:divBdr>
        <w:top w:val="none" w:sz="0" w:space="0" w:color="auto"/>
        <w:left w:val="none" w:sz="0" w:space="0" w:color="auto"/>
        <w:bottom w:val="none" w:sz="0" w:space="0" w:color="auto"/>
        <w:right w:val="none" w:sz="0" w:space="0" w:color="auto"/>
      </w:divBdr>
    </w:div>
    <w:div w:id="822821048">
      <w:bodyDiv w:val="1"/>
      <w:marLeft w:val="0"/>
      <w:marRight w:val="0"/>
      <w:marTop w:val="0"/>
      <w:marBottom w:val="0"/>
      <w:divBdr>
        <w:top w:val="none" w:sz="0" w:space="0" w:color="auto"/>
        <w:left w:val="none" w:sz="0" w:space="0" w:color="auto"/>
        <w:bottom w:val="none" w:sz="0" w:space="0" w:color="auto"/>
        <w:right w:val="none" w:sz="0" w:space="0" w:color="auto"/>
      </w:divBdr>
    </w:div>
    <w:div w:id="823198553">
      <w:bodyDiv w:val="1"/>
      <w:marLeft w:val="0"/>
      <w:marRight w:val="0"/>
      <w:marTop w:val="0"/>
      <w:marBottom w:val="0"/>
      <w:divBdr>
        <w:top w:val="none" w:sz="0" w:space="0" w:color="auto"/>
        <w:left w:val="none" w:sz="0" w:space="0" w:color="auto"/>
        <w:bottom w:val="none" w:sz="0" w:space="0" w:color="auto"/>
        <w:right w:val="none" w:sz="0" w:space="0" w:color="auto"/>
      </w:divBdr>
      <w:divsChild>
        <w:div w:id="1094324162">
          <w:marLeft w:val="0"/>
          <w:marRight w:val="0"/>
          <w:marTop w:val="0"/>
          <w:marBottom w:val="0"/>
          <w:divBdr>
            <w:top w:val="none" w:sz="0" w:space="0" w:color="auto"/>
            <w:left w:val="none" w:sz="0" w:space="0" w:color="auto"/>
            <w:bottom w:val="none" w:sz="0" w:space="0" w:color="auto"/>
            <w:right w:val="none" w:sz="0" w:space="0" w:color="auto"/>
          </w:divBdr>
        </w:div>
        <w:div w:id="152137731">
          <w:marLeft w:val="0"/>
          <w:marRight w:val="0"/>
          <w:marTop w:val="0"/>
          <w:marBottom w:val="0"/>
          <w:divBdr>
            <w:top w:val="none" w:sz="0" w:space="0" w:color="auto"/>
            <w:left w:val="none" w:sz="0" w:space="0" w:color="auto"/>
            <w:bottom w:val="none" w:sz="0" w:space="0" w:color="auto"/>
            <w:right w:val="none" w:sz="0" w:space="0" w:color="auto"/>
          </w:divBdr>
        </w:div>
        <w:div w:id="1457869049">
          <w:marLeft w:val="0"/>
          <w:marRight w:val="0"/>
          <w:marTop w:val="0"/>
          <w:marBottom w:val="0"/>
          <w:divBdr>
            <w:top w:val="none" w:sz="0" w:space="0" w:color="auto"/>
            <w:left w:val="none" w:sz="0" w:space="0" w:color="auto"/>
            <w:bottom w:val="none" w:sz="0" w:space="0" w:color="auto"/>
            <w:right w:val="none" w:sz="0" w:space="0" w:color="auto"/>
          </w:divBdr>
        </w:div>
        <w:div w:id="1984307420">
          <w:marLeft w:val="0"/>
          <w:marRight w:val="0"/>
          <w:marTop w:val="0"/>
          <w:marBottom w:val="0"/>
          <w:divBdr>
            <w:top w:val="none" w:sz="0" w:space="0" w:color="auto"/>
            <w:left w:val="none" w:sz="0" w:space="0" w:color="auto"/>
            <w:bottom w:val="none" w:sz="0" w:space="0" w:color="auto"/>
            <w:right w:val="none" w:sz="0" w:space="0" w:color="auto"/>
          </w:divBdr>
        </w:div>
        <w:div w:id="639505113">
          <w:marLeft w:val="0"/>
          <w:marRight w:val="0"/>
          <w:marTop w:val="0"/>
          <w:marBottom w:val="0"/>
          <w:divBdr>
            <w:top w:val="none" w:sz="0" w:space="0" w:color="auto"/>
            <w:left w:val="none" w:sz="0" w:space="0" w:color="auto"/>
            <w:bottom w:val="none" w:sz="0" w:space="0" w:color="auto"/>
            <w:right w:val="none" w:sz="0" w:space="0" w:color="auto"/>
          </w:divBdr>
        </w:div>
        <w:div w:id="498929609">
          <w:marLeft w:val="0"/>
          <w:marRight w:val="0"/>
          <w:marTop w:val="0"/>
          <w:marBottom w:val="0"/>
          <w:divBdr>
            <w:top w:val="none" w:sz="0" w:space="0" w:color="auto"/>
            <w:left w:val="none" w:sz="0" w:space="0" w:color="auto"/>
            <w:bottom w:val="none" w:sz="0" w:space="0" w:color="auto"/>
            <w:right w:val="none" w:sz="0" w:space="0" w:color="auto"/>
          </w:divBdr>
        </w:div>
      </w:divsChild>
    </w:div>
    <w:div w:id="828518551">
      <w:bodyDiv w:val="1"/>
      <w:marLeft w:val="0"/>
      <w:marRight w:val="0"/>
      <w:marTop w:val="0"/>
      <w:marBottom w:val="0"/>
      <w:divBdr>
        <w:top w:val="none" w:sz="0" w:space="0" w:color="auto"/>
        <w:left w:val="none" w:sz="0" w:space="0" w:color="auto"/>
        <w:bottom w:val="none" w:sz="0" w:space="0" w:color="auto"/>
        <w:right w:val="none" w:sz="0" w:space="0" w:color="auto"/>
      </w:divBdr>
    </w:div>
    <w:div w:id="843478362">
      <w:bodyDiv w:val="1"/>
      <w:marLeft w:val="0"/>
      <w:marRight w:val="0"/>
      <w:marTop w:val="0"/>
      <w:marBottom w:val="0"/>
      <w:divBdr>
        <w:top w:val="none" w:sz="0" w:space="0" w:color="auto"/>
        <w:left w:val="none" w:sz="0" w:space="0" w:color="auto"/>
        <w:bottom w:val="none" w:sz="0" w:space="0" w:color="auto"/>
        <w:right w:val="none" w:sz="0" w:space="0" w:color="auto"/>
      </w:divBdr>
    </w:div>
    <w:div w:id="852459427">
      <w:bodyDiv w:val="1"/>
      <w:marLeft w:val="0"/>
      <w:marRight w:val="0"/>
      <w:marTop w:val="0"/>
      <w:marBottom w:val="0"/>
      <w:divBdr>
        <w:top w:val="none" w:sz="0" w:space="0" w:color="auto"/>
        <w:left w:val="none" w:sz="0" w:space="0" w:color="auto"/>
        <w:bottom w:val="none" w:sz="0" w:space="0" w:color="auto"/>
        <w:right w:val="none" w:sz="0" w:space="0" w:color="auto"/>
      </w:divBdr>
    </w:div>
    <w:div w:id="894318463">
      <w:bodyDiv w:val="1"/>
      <w:marLeft w:val="0"/>
      <w:marRight w:val="0"/>
      <w:marTop w:val="0"/>
      <w:marBottom w:val="0"/>
      <w:divBdr>
        <w:top w:val="none" w:sz="0" w:space="0" w:color="auto"/>
        <w:left w:val="none" w:sz="0" w:space="0" w:color="auto"/>
        <w:bottom w:val="none" w:sz="0" w:space="0" w:color="auto"/>
        <w:right w:val="none" w:sz="0" w:space="0" w:color="auto"/>
      </w:divBdr>
    </w:div>
    <w:div w:id="927469595">
      <w:bodyDiv w:val="1"/>
      <w:marLeft w:val="0"/>
      <w:marRight w:val="0"/>
      <w:marTop w:val="0"/>
      <w:marBottom w:val="0"/>
      <w:divBdr>
        <w:top w:val="none" w:sz="0" w:space="0" w:color="auto"/>
        <w:left w:val="none" w:sz="0" w:space="0" w:color="auto"/>
        <w:bottom w:val="none" w:sz="0" w:space="0" w:color="auto"/>
        <w:right w:val="none" w:sz="0" w:space="0" w:color="auto"/>
      </w:divBdr>
    </w:div>
    <w:div w:id="934560793">
      <w:bodyDiv w:val="1"/>
      <w:marLeft w:val="0"/>
      <w:marRight w:val="0"/>
      <w:marTop w:val="0"/>
      <w:marBottom w:val="0"/>
      <w:divBdr>
        <w:top w:val="none" w:sz="0" w:space="0" w:color="auto"/>
        <w:left w:val="none" w:sz="0" w:space="0" w:color="auto"/>
        <w:bottom w:val="none" w:sz="0" w:space="0" w:color="auto"/>
        <w:right w:val="none" w:sz="0" w:space="0" w:color="auto"/>
      </w:divBdr>
    </w:div>
    <w:div w:id="974023890">
      <w:bodyDiv w:val="1"/>
      <w:marLeft w:val="0"/>
      <w:marRight w:val="0"/>
      <w:marTop w:val="0"/>
      <w:marBottom w:val="0"/>
      <w:divBdr>
        <w:top w:val="none" w:sz="0" w:space="0" w:color="auto"/>
        <w:left w:val="none" w:sz="0" w:space="0" w:color="auto"/>
        <w:bottom w:val="none" w:sz="0" w:space="0" w:color="auto"/>
        <w:right w:val="none" w:sz="0" w:space="0" w:color="auto"/>
      </w:divBdr>
    </w:div>
    <w:div w:id="988288669">
      <w:bodyDiv w:val="1"/>
      <w:marLeft w:val="0"/>
      <w:marRight w:val="0"/>
      <w:marTop w:val="0"/>
      <w:marBottom w:val="0"/>
      <w:divBdr>
        <w:top w:val="none" w:sz="0" w:space="0" w:color="auto"/>
        <w:left w:val="none" w:sz="0" w:space="0" w:color="auto"/>
        <w:bottom w:val="none" w:sz="0" w:space="0" w:color="auto"/>
        <w:right w:val="none" w:sz="0" w:space="0" w:color="auto"/>
      </w:divBdr>
    </w:div>
    <w:div w:id="995500749">
      <w:bodyDiv w:val="1"/>
      <w:marLeft w:val="0"/>
      <w:marRight w:val="0"/>
      <w:marTop w:val="0"/>
      <w:marBottom w:val="0"/>
      <w:divBdr>
        <w:top w:val="none" w:sz="0" w:space="0" w:color="auto"/>
        <w:left w:val="none" w:sz="0" w:space="0" w:color="auto"/>
        <w:bottom w:val="none" w:sz="0" w:space="0" w:color="auto"/>
        <w:right w:val="none" w:sz="0" w:space="0" w:color="auto"/>
      </w:divBdr>
    </w:div>
    <w:div w:id="1010372884">
      <w:marLeft w:val="0"/>
      <w:marRight w:val="0"/>
      <w:marTop w:val="0"/>
      <w:marBottom w:val="0"/>
      <w:divBdr>
        <w:top w:val="none" w:sz="0" w:space="0" w:color="auto"/>
        <w:left w:val="none" w:sz="0" w:space="0" w:color="auto"/>
        <w:bottom w:val="none" w:sz="0" w:space="0" w:color="auto"/>
        <w:right w:val="none" w:sz="0" w:space="0" w:color="auto"/>
      </w:divBdr>
      <w:divsChild>
        <w:div w:id="1010372878">
          <w:marLeft w:val="0"/>
          <w:marRight w:val="0"/>
          <w:marTop w:val="0"/>
          <w:marBottom w:val="0"/>
          <w:divBdr>
            <w:top w:val="none" w:sz="0" w:space="0" w:color="auto"/>
            <w:left w:val="none" w:sz="0" w:space="0" w:color="auto"/>
            <w:bottom w:val="none" w:sz="0" w:space="0" w:color="auto"/>
            <w:right w:val="none" w:sz="0" w:space="0" w:color="auto"/>
          </w:divBdr>
        </w:div>
        <w:div w:id="1010372881">
          <w:marLeft w:val="0"/>
          <w:marRight w:val="0"/>
          <w:marTop w:val="0"/>
          <w:marBottom w:val="0"/>
          <w:divBdr>
            <w:top w:val="none" w:sz="0" w:space="0" w:color="auto"/>
            <w:left w:val="none" w:sz="0" w:space="0" w:color="auto"/>
            <w:bottom w:val="none" w:sz="0" w:space="0" w:color="auto"/>
            <w:right w:val="none" w:sz="0" w:space="0" w:color="auto"/>
          </w:divBdr>
        </w:div>
        <w:div w:id="1010372883">
          <w:marLeft w:val="0"/>
          <w:marRight w:val="0"/>
          <w:marTop w:val="0"/>
          <w:marBottom w:val="0"/>
          <w:divBdr>
            <w:top w:val="none" w:sz="0" w:space="0" w:color="auto"/>
            <w:left w:val="none" w:sz="0" w:space="0" w:color="auto"/>
            <w:bottom w:val="none" w:sz="0" w:space="0" w:color="auto"/>
            <w:right w:val="none" w:sz="0" w:space="0" w:color="auto"/>
          </w:divBdr>
        </w:div>
        <w:div w:id="1010372887">
          <w:marLeft w:val="0"/>
          <w:marRight w:val="0"/>
          <w:marTop w:val="0"/>
          <w:marBottom w:val="0"/>
          <w:divBdr>
            <w:top w:val="none" w:sz="0" w:space="0" w:color="auto"/>
            <w:left w:val="none" w:sz="0" w:space="0" w:color="auto"/>
            <w:bottom w:val="none" w:sz="0" w:space="0" w:color="auto"/>
            <w:right w:val="none" w:sz="0" w:space="0" w:color="auto"/>
          </w:divBdr>
        </w:div>
        <w:div w:id="1010372888">
          <w:marLeft w:val="0"/>
          <w:marRight w:val="0"/>
          <w:marTop w:val="0"/>
          <w:marBottom w:val="0"/>
          <w:divBdr>
            <w:top w:val="none" w:sz="0" w:space="0" w:color="auto"/>
            <w:left w:val="none" w:sz="0" w:space="0" w:color="auto"/>
            <w:bottom w:val="none" w:sz="0" w:space="0" w:color="auto"/>
            <w:right w:val="none" w:sz="0" w:space="0" w:color="auto"/>
          </w:divBdr>
        </w:div>
        <w:div w:id="1010372890">
          <w:marLeft w:val="0"/>
          <w:marRight w:val="0"/>
          <w:marTop w:val="0"/>
          <w:marBottom w:val="0"/>
          <w:divBdr>
            <w:top w:val="none" w:sz="0" w:space="0" w:color="auto"/>
            <w:left w:val="none" w:sz="0" w:space="0" w:color="auto"/>
            <w:bottom w:val="none" w:sz="0" w:space="0" w:color="auto"/>
            <w:right w:val="none" w:sz="0" w:space="0" w:color="auto"/>
          </w:divBdr>
        </w:div>
        <w:div w:id="1010372892">
          <w:marLeft w:val="0"/>
          <w:marRight w:val="0"/>
          <w:marTop w:val="0"/>
          <w:marBottom w:val="0"/>
          <w:divBdr>
            <w:top w:val="none" w:sz="0" w:space="0" w:color="auto"/>
            <w:left w:val="none" w:sz="0" w:space="0" w:color="auto"/>
            <w:bottom w:val="none" w:sz="0" w:space="0" w:color="auto"/>
            <w:right w:val="none" w:sz="0" w:space="0" w:color="auto"/>
          </w:divBdr>
        </w:div>
        <w:div w:id="1010372897">
          <w:marLeft w:val="0"/>
          <w:marRight w:val="0"/>
          <w:marTop w:val="0"/>
          <w:marBottom w:val="0"/>
          <w:divBdr>
            <w:top w:val="none" w:sz="0" w:space="0" w:color="auto"/>
            <w:left w:val="none" w:sz="0" w:space="0" w:color="auto"/>
            <w:bottom w:val="none" w:sz="0" w:space="0" w:color="auto"/>
            <w:right w:val="none" w:sz="0" w:space="0" w:color="auto"/>
          </w:divBdr>
        </w:div>
        <w:div w:id="1010372899">
          <w:marLeft w:val="0"/>
          <w:marRight w:val="0"/>
          <w:marTop w:val="0"/>
          <w:marBottom w:val="0"/>
          <w:divBdr>
            <w:top w:val="none" w:sz="0" w:space="0" w:color="auto"/>
            <w:left w:val="none" w:sz="0" w:space="0" w:color="auto"/>
            <w:bottom w:val="none" w:sz="0" w:space="0" w:color="auto"/>
            <w:right w:val="none" w:sz="0" w:space="0" w:color="auto"/>
          </w:divBdr>
        </w:div>
        <w:div w:id="1010372901">
          <w:marLeft w:val="0"/>
          <w:marRight w:val="0"/>
          <w:marTop w:val="0"/>
          <w:marBottom w:val="0"/>
          <w:divBdr>
            <w:top w:val="none" w:sz="0" w:space="0" w:color="auto"/>
            <w:left w:val="none" w:sz="0" w:space="0" w:color="auto"/>
            <w:bottom w:val="none" w:sz="0" w:space="0" w:color="auto"/>
            <w:right w:val="none" w:sz="0" w:space="0" w:color="auto"/>
          </w:divBdr>
        </w:div>
        <w:div w:id="1010372903">
          <w:marLeft w:val="0"/>
          <w:marRight w:val="0"/>
          <w:marTop w:val="0"/>
          <w:marBottom w:val="0"/>
          <w:divBdr>
            <w:top w:val="none" w:sz="0" w:space="0" w:color="auto"/>
            <w:left w:val="none" w:sz="0" w:space="0" w:color="auto"/>
            <w:bottom w:val="none" w:sz="0" w:space="0" w:color="auto"/>
            <w:right w:val="none" w:sz="0" w:space="0" w:color="auto"/>
          </w:divBdr>
        </w:div>
        <w:div w:id="1010372904">
          <w:marLeft w:val="0"/>
          <w:marRight w:val="0"/>
          <w:marTop w:val="0"/>
          <w:marBottom w:val="0"/>
          <w:divBdr>
            <w:top w:val="none" w:sz="0" w:space="0" w:color="auto"/>
            <w:left w:val="none" w:sz="0" w:space="0" w:color="auto"/>
            <w:bottom w:val="none" w:sz="0" w:space="0" w:color="auto"/>
            <w:right w:val="none" w:sz="0" w:space="0" w:color="auto"/>
          </w:divBdr>
        </w:div>
      </w:divsChild>
    </w:div>
    <w:div w:id="1010372889">
      <w:marLeft w:val="0"/>
      <w:marRight w:val="0"/>
      <w:marTop w:val="0"/>
      <w:marBottom w:val="0"/>
      <w:divBdr>
        <w:top w:val="none" w:sz="0" w:space="0" w:color="auto"/>
        <w:left w:val="none" w:sz="0" w:space="0" w:color="auto"/>
        <w:bottom w:val="none" w:sz="0" w:space="0" w:color="auto"/>
        <w:right w:val="none" w:sz="0" w:space="0" w:color="auto"/>
      </w:divBdr>
    </w:div>
    <w:div w:id="1010372896">
      <w:marLeft w:val="0"/>
      <w:marRight w:val="0"/>
      <w:marTop w:val="0"/>
      <w:marBottom w:val="0"/>
      <w:divBdr>
        <w:top w:val="none" w:sz="0" w:space="0" w:color="auto"/>
        <w:left w:val="none" w:sz="0" w:space="0" w:color="auto"/>
        <w:bottom w:val="none" w:sz="0" w:space="0" w:color="auto"/>
        <w:right w:val="none" w:sz="0" w:space="0" w:color="auto"/>
      </w:divBdr>
      <w:divsChild>
        <w:div w:id="1010372879">
          <w:marLeft w:val="0"/>
          <w:marRight w:val="0"/>
          <w:marTop w:val="0"/>
          <w:marBottom w:val="0"/>
          <w:divBdr>
            <w:top w:val="none" w:sz="0" w:space="0" w:color="auto"/>
            <w:left w:val="none" w:sz="0" w:space="0" w:color="auto"/>
            <w:bottom w:val="none" w:sz="0" w:space="0" w:color="auto"/>
            <w:right w:val="none" w:sz="0" w:space="0" w:color="auto"/>
          </w:divBdr>
        </w:div>
        <w:div w:id="1010372880">
          <w:marLeft w:val="0"/>
          <w:marRight w:val="0"/>
          <w:marTop w:val="0"/>
          <w:marBottom w:val="0"/>
          <w:divBdr>
            <w:top w:val="none" w:sz="0" w:space="0" w:color="auto"/>
            <w:left w:val="none" w:sz="0" w:space="0" w:color="auto"/>
            <w:bottom w:val="none" w:sz="0" w:space="0" w:color="auto"/>
            <w:right w:val="none" w:sz="0" w:space="0" w:color="auto"/>
          </w:divBdr>
        </w:div>
        <w:div w:id="1010372882">
          <w:marLeft w:val="0"/>
          <w:marRight w:val="0"/>
          <w:marTop w:val="0"/>
          <w:marBottom w:val="0"/>
          <w:divBdr>
            <w:top w:val="none" w:sz="0" w:space="0" w:color="auto"/>
            <w:left w:val="none" w:sz="0" w:space="0" w:color="auto"/>
            <w:bottom w:val="none" w:sz="0" w:space="0" w:color="auto"/>
            <w:right w:val="none" w:sz="0" w:space="0" w:color="auto"/>
          </w:divBdr>
        </w:div>
        <w:div w:id="1010372885">
          <w:marLeft w:val="0"/>
          <w:marRight w:val="0"/>
          <w:marTop w:val="0"/>
          <w:marBottom w:val="0"/>
          <w:divBdr>
            <w:top w:val="none" w:sz="0" w:space="0" w:color="auto"/>
            <w:left w:val="none" w:sz="0" w:space="0" w:color="auto"/>
            <w:bottom w:val="none" w:sz="0" w:space="0" w:color="auto"/>
            <w:right w:val="none" w:sz="0" w:space="0" w:color="auto"/>
          </w:divBdr>
        </w:div>
        <w:div w:id="1010372886">
          <w:marLeft w:val="0"/>
          <w:marRight w:val="0"/>
          <w:marTop w:val="0"/>
          <w:marBottom w:val="0"/>
          <w:divBdr>
            <w:top w:val="none" w:sz="0" w:space="0" w:color="auto"/>
            <w:left w:val="none" w:sz="0" w:space="0" w:color="auto"/>
            <w:bottom w:val="none" w:sz="0" w:space="0" w:color="auto"/>
            <w:right w:val="none" w:sz="0" w:space="0" w:color="auto"/>
          </w:divBdr>
        </w:div>
        <w:div w:id="1010372891">
          <w:marLeft w:val="0"/>
          <w:marRight w:val="0"/>
          <w:marTop w:val="0"/>
          <w:marBottom w:val="0"/>
          <w:divBdr>
            <w:top w:val="none" w:sz="0" w:space="0" w:color="auto"/>
            <w:left w:val="none" w:sz="0" w:space="0" w:color="auto"/>
            <w:bottom w:val="none" w:sz="0" w:space="0" w:color="auto"/>
            <w:right w:val="none" w:sz="0" w:space="0" w:color="auto"/>
          </w:divBdr>
        </w:div>
        <w:div w:id="1010372893">
          <w:marLeft w:val="0"/>
          <w:marRight w:val="0"/>
          <w:marTop w:val="0"/>
          <w:marBottom w:val="0"/>
          <w:divBdr>
            <w:top w:val="none" w:sz="0" w:space="0" w:color="auto"/>
            <w:left w:val="none" w:sz="0" w:space="0" w:color="auto"/>
            <w:bottom w:val="none" w:sz="0" w:space="0" w:color="auto"/>
            <w:right w:val="none" w:sz="0" w:space="0" w:color="auto"/>
          </w:divBdr>
        </w:div>
        <w:div w:id="1010372894">
          <w:marLeft w:val="0"/>
          <w:marRight w:val="0"/>
          <w:marTop w:val="0"/>
          <w:marBottom w:val="0"/>
          <w:divBdr>
            <w:top w:val="none" w:sz="0" w:space="0" w:color="auto"/>
            <w:left w:val="none" w:sz="0" w:space="0" w:color="auto"/>
            <w:bottom w:val="none" w:sz="0" w:space="0" w:color="auto"/>
            <w:right w:val="none" w:sz="0" w:space="0" w:color="auto"/>
          </w:divBdr>
        </w:div>
        <w:div w:id="1010372895">
          <w:marLeft w:val="0"/>
          <w:marRight w:val="0"/>
          <w:marTop w:val="0"/>
          <w:marBottom w:val="0"/>
          <w:divBdr>
            <w:top w:val="none" w:sz="0" w:space="0" w:color="auto"/>
            <w:left w:val="none" w:sz="0" w:space="0" w:color="auto"/>
            <w:bottom w:val="none" w:sz="0" w:space="0" w:color="auto"/>
            <w:right w:val="none" w:sz="0" w:space="0" w:color="auto"/>
          </w:divBdr>
        </w:div>
        <w:div w:id="1010372898">
          <w:marLeft w:val="0"/>
          <w:marRight w:val="0"/>
          <w:marTop w:val="0"/>
          <w:marBottom w:val="0"/>
          <w:divBdr>
            <w:top w:val="none" w:sz="0" w:space="0" w:color="auto"/>
            <w:left w:val="none" w:sz="0" w:space="0" w:color="auto"/>
            <w:bottom w:val="none" w:sz="0" w:space="0" w:color="auto"/>
            <w:right w:val="none" w:sz="0" w:space="0" w:color="auto"/>
          </w:divBdr>
        </w:div>
        <w:div w:id="1010372900">
          <w:marLeft w:val="0"/>
          <w:marRight w:val="0"/>
          <w:marTop w:val="0"/>
          <w:marBottom w:val="0"/>
          <w:divBdr>
            <w:top w:val="none" w:sz="0" w:space="0" w:color="auto"/>
            <w:left w:val="none" w:sz="0" w:space="0" w:color="auto"/>
            <w:bottom w:val="none" w:sz="0" w:space="0" w:color="auto"/>
            <w:right w:val="none" w:sz="0" w:space="0" w:color="auto"/>
          </w:divBdr>
        </w:div>
        <w:div w:id="1010372902">
          <w:marLeft w:val="0"/>
          <w:marRight w:val="0"/>
          <w:marTop w:val="0"/>
          <w:marBottom w:val="0"/>
          <w:divBdr>
            <w:top w:val="none" w:sz="0" w:space="0" w:color="auto"/>
            <w:left w:val="none" w:sz="0" w:space="0" w:color="auto"/>
            <w:bottom w:val="none" w:sz="0" w:space="0" w:color="auto"/>
            <w:right w:val="none" w:sz="0" w:space="0" w:color="auto"/>
          </w:divBdr>
        </w:div>
      </w:divsChild>
    </w:div>
    <w:div w:id="1035959409">
      <w:bodyDiv w:val="1"/>
      <w:marLeft w:val="0"/>
      <w:marRight w:val="0"/>
      <w:marTop w:val="0"/>
      <w:marBottom w:val="0"/>
      <w:divBdr>
        <w:top w:val="none" w:sz="0" w:space="0" w:color="auto"/>
        <w:left w:val="none" w:sz="0" w:space="0" w:color="auto"/>
        <w:bottom w:val="none" w:sz="0" w:space="0" w:color="auto"/>
        <w:right w:val="none" w:sz="0" w:space="0" w:color="auto"/>
      </w:divBdr>
    </w:div>
    <w:div w:id="1079912608">
      <w:bodyDiv w:val="1"/>
      <w:marLeft w:val="0"/>
      <w:marRight w:val="0"/>
      <w:marTop w:val="0"/>
      <w:marBottom w:val="0"/>
      <w:divBdr>
        <w:top w:val="none" w:sz="0" w:space="0" w:color="auto"/>
        <w:left w:val="none" w:sz="0" w:space="0" w:color="auto"/>
        <w:bottom w:val="none" w:sz="0" w:space="0" w:color="auto"/>
        <w:right w:val="none" w:sz="0" w:space="0" w:color="auto"/>
      </w:divBdr>
    </w:div>
    <w:div w:id="1137143004">
      <w:bodyDiv w:val="1"/>
      <w:marLeft w:val="0"/>
      <w:marRight w:val="0"/>
      <w:marTop w:val="0"/>
      <w:marBottom w:val="0"/>
      <w:divBdr>
        <w:top w:val="none" w:sz="0" w:space="0" w:color="auto"/>
        <w:left w:val="none" w:sz="0" w:space="0" w:color="auto"/>
        <w:bottom w:val="none" w:sz="0" w:space="0" w:color="auto"/>
        <w:right w:val="none" w:sz="0" w:space="0" w:color="auto"/>
      </w:divBdr>
    </w:div>
    <w:div w:id="1169520746">
      <w:bodyDiv w:val="1"/>
      <w:marLeft w:val="0"/>
      <w:marRight w:val="0"/>
      <w:marTop w:val="0"/>
      <w:marBottom w:val="0"/>
      <w:divBdr>
        <w:top w:val="none" w:sz="0" w:space="0" w:color="auto"/>
        <w:left w:val="none" w:sz="0" w:space="0" w:color="auto"/>
        <w:bottom w:val="none" w:sz="0" w:space="0" w:color="auto"/>
        <w:right w:val="none" w:sz="0" w:space="0" w:color="auto"/>
      </w:divBdr>
    </w:div>
    <w:div w:id="1186821938">
      <w:bodyDiv w:val="1"/>
      <w:marLeft w:val="0"/>
      <w:marRight w:val="0"/>
      <w:marTop w:val="0"/>
      <w:marBottom w:val="0"/>
      <w:divBdr>
        <w:top w:val="none" w:sz="0" w:space="0" w:color="auto"/>
        <w:left w:val="none" w:sz="0" w:space="0" w:color="auto"/>
        <w:bottom w:val="none" w:sz="0" w:space="0" w:color="auto"/>
        <w:right w:val="none" w:sz="0" w:space="0" w:color="auto"/>
      </w:divBdr>
    </w:div>
    <w:div w:id="1244025728">
      <w:bodyDiv w:val="1"/>
      <w:marLeft w:val="0"/>
      <w:marRight w:val="0"/>
      <w:marTop w:val="0"/>
      <w:marBottom w:val="0"/>
      <w:divBdr>
        <w:top w:val="none" w:sz="0" w:space="0" w:color="auto"/>
        <w:left w:val="none" w:sz="0" w:space="0" w:color="auto"/>
        <w:bottom w:val="none" w:sz="0" w:space="0" w:color="auto"/>
        <w:right w:val="none" w:sz="0" w:space="0" w:color="auto"/>
      </w:divBdr>
    </w:div>
    <w:div w:id="1257980789">
      <w:bodyDiv w:val="1"/>
      <w:marLeft w:val="0"/>
      <w:marRight w:val="0"/>
      <w:marTop w:val="0"/>
      <w:marBottom w:val="0"/>
      <w:divBdr>
        <w:top w:val="none" w:sz="0" w:space="0" w:color="auto"/>
        <w:left w:val="none" w:sz="0" w:space="0" w:color="auto"/>
        <w:bottom w:val="none" w:sz="0" w:space="0" w:color="auto"/>
        <w:right w:val="none" w:sz="0" w:space="0" w:color="auto"/>
      </w:divBdr>
    </w:div>
    <w:div w:id="1258096580">
      <w:bodyDiv w:val="1"/>
      <w:marLeft w:val="0"/>
      <w:marRight w:val="0"/>
      <w:marTop w:val="0"/>
      <w:marBottom w:val="0"/>
      <w:divBdr>
        <w:top w:val="none" w:sz="0" w:space="0" w:color="auto"/>
        <w:left w:val="none" w:sz="0" w:space="0" w:color="auto"/>
        <w:bottom w:val="none" w:sz="0" w:space="0" w:color="auto"/>
        <w:right w:val="none" w:sz="0" w:space="0" w:color="auto"/>
      </w:divBdr>
    </w:div>
    <w:div w:id="1260599639">
      <w:bodyDiv w:val="1"/>
      <w:marLeft w:val="0"/>
      <w:marRight w:val="0"/>
      <w:marTop w:val="0"/>
      <w:marBottom w:val="0"/>
      <w:divBdr>
        <w:top w:val="none" w:sz="0" w:space="0" w:color="auto"/>
        <w:left w:val="none" w:sz="0" w:space="0" w:color="auto"/>
        <w:bottom w:val="none" w:sz="0" w:space="0" w:color="auto"/>
        <w:right w:val="none" w:sz="0" w:space="0" w:color="auto"/>
      </w:divBdr>
      <w:divsChild>
        <w:div w:id="744953139">
          <w:marLeft w:val="0"/>
          <w:marRight w:val="0"/>
          <w:marTop w:val="0"/>
          <w:marBottom w:val="0"/>
          <w:divBdr>
            <w:top w:val="none" w:sz="0" w:space="0" w:color="auto"/>
            <w:left w:val="none" w:sz="0" w:space="0" w:color="auto"/>
            <w:bottom w:val="none" w:sz="0" w:space="0" w:color="auto"/>
            <w:right w:val="none" w:sz="0" w:space="0" w:color="auto"/>
          </w:divBdr>
        </w:div>
      </w:divsChild>
    </w:div>
    <w:div w:id="1265073256">
      <w:bodyDiv w:val="1"/>
      <w:marLeft w:val="0"/>
      <w:marRight w:val="0"/>
      <w:marTop w:val="0"/>
      <w:marBottom w:val="0"/>
      <w:divBdr>
        <w:top w:val="none" w:sz="0" w:space="0" w:color="auto"/>
        <w:left w:val="none" w:sz="0" w:space="0" w:color="auto"/>
        <w:bottom w:val="none" w:sz="0" w:space="0" w:color="auto"/>
        <w:right w:val="none" w:sz="0" w:space="0" w:color="auto"/>
      </w:divBdr>
    </w:div>
    <w:div w:id="1289970485">
      <w:bodyDiv w:val="1"/>
      <w:marLeft w:val="0"/>
      <w:marRight w:val="0"/>
      <w:marTop w:val="0"/>
      <w:marBottom w:val="0"/>
      <w:divBdr>
        <w:top w:val="none" w:sz="0" w:space="0" w:color="auto"/>
        <w:left w:val="none" w:sz="0" w:space="0" w:color="auto"/>
        <w:bottom w:val="none" w:sz="0" w:space="0" w:color="auto"/>
        <w:right w:val="none" w:sz="0" w:space="0" w:color="auto"/>
      </w:divBdr>
    </w:div>
    <w:div w:id="1327392802">
      <w:bodyDiv w:val="1"/>
      <w:marLeft w:val="0"/>
      <w:marRight w:val="0"/>
      <w:marTop w:val="0"/>
      <w:marBottom w:val="0"/>
      <w:divBdr>
        <w:top w:val="none" w:sz="0" w:space="0" w:color="auto"/>
        <w:left w:val="none" w:sz="0" w:space="0" w:color="auto"/>
        <w:bottom w:val="none" w:sz="0" w:space="0" w:color="auto"/>
        <w:right w:val="none" w:sz="0" w:space="0" w:color="auto"/>
      </w:divBdr>
    </w:div>
    <w:div w:id="1330474987">
      <w:bodyDiv w:val="1"/>
      <w:marLeft w:val="0"/>
      <w:marRight w:val="0"/>
      <w:marTop w:val="0"/>
      <w:marBottom w:val="0"/>
      <w:divBdr>
        <w:top w:val="none" w:sz="0" w:space="0" w:color="auto"/>
        <w:left w:val="none" w:sz="0" w:space="0" w:color="auto"/>
        <w:bottom w:val="none" w:sz="0" w:space="0" w:color="auto"/>
        <w:right w:val="none" w:sz="0" w:space="0" w:color="auto"/>
      </w:divBdr>
    </w:div>
    <w:div w:id="1381976312">
      <w:bodyDiv w:val="1"/>
      <w:marLeft w:val="0"/>
      <w:marRight w:val="0"/>
      <w:marTop w:val="0"/>
      <w:marBottom w:val="0"/>
      <w:divBdr>
        <w:top w:val="none" w:sz="0" w:space="0" w:color="auto"/>
        <w:left w:val="none" w:sz="0" w:space="0" w:color="auto"/>
        <w:bottom w:val="none" w:sz="0" w:space="0" w:color="auto"/>
        <w:right w:val="none" w:sz="0" w:space="0" w:color="auto"/>
      </w:divBdr>
    </w:div>
    <w:div w:id="1383556713">
      <w:bodyDiv w:val="1"/>
      <w:marLeft w:val="0"/>
      <w:marRight w:val="0"/>
      <w:marTop w:val="0"/>
      <w:marBottom w:val="0"/>
      <w:divBdr>
        <w:top w:val="none" w:sz="0" w:space="0" w:color="auto"/>
        <w:left w:val="none" w:sz="0" w:space="0" w:color="auto"/>
        <w:bottom w:val="none" w:sz="0" w:space="0" w:color="auto"/>
        <w:right w:val="none" w:sz="0" w:space="0" w:color="auto"/>
      </w:divBdr>
    </w:div>
    <w:div w:id="1413505172">
      <w:bodyDiv w:val="1"/>
      <w:marLeft w:val="0"/>
      <w:marRight w:val="0"/>
      <w:marTop w:val="0"/>
      <w:marBottom w:val="0"/>
      <w:divBdr>
        <w:top w:val="none" w:sz="0" w:space="0" w:color="auto"/>
        <w:left w:val="none" w:sz="0" w:space="0" w:color="auto"/>
        <w:bottom w:val="none" w:sz="0" w:space="0" w:color="auto"/>
        <w:right w:val="none" w:sz="0" w:space="0" w:color="auto"/>
      </w:divBdr>
    </w:div>
    <w:div w:id="1440563680">
      <w:bodyDiv w:val="1"/>
      <w:marLeft w:val="0"/>
      <w:marRight w:val="0"/>
      <w:marTop w:val="0"/>
      <w:marBottom w:val="0"/>
      <w:divBdr>
        <w:top w:val="none" w:sz="0" w:space="0" w:color="auto"/>
        <w:left w:val="none" w:sz="0" w:space="0" w:color="auto"/>
        <w:bottom w:val="none" w:sz="0" w:space="0" w:color="auto"/>
        <w:right w:val="none" w:sz="0" w:space="0" w:color="auto"/>
      </w:divBdr>
    </w:div>
    <w:div w:id="1443721418">
      <w:bodyDiv w:val="1"/>
      <w:marLeft w:val="0"/>
      <w:marRight w:val="0"/>
      <w:marTop w:val="0"/>
      <w:marBottom w:val="0"/>
      <w:divBdr>
        <w:top w:val="none" w:sz="0" w:space="0" w:color="auto"/>
        <w:left w:val="none" w:sz="0" w:space="0" w:color="auto"/>
        <w:bottom w:val="none" w:sz="0" w:space="0" w:color="auto"/>
        <w:right w:val="none" w:sz="0" w:space="0" w:color="auto"/>
      </w:divBdr>
    </w:div>
    <w:div w:id="1471287488">
      <w:bodyDiv w:val="1"/>
      <w:marLeft w:val="0"/>
      <w:marRight w:val="0"/>
      <w:marTop w:val="0"/>
      <w:marBottom w:val="0"/>
      <w:divBdr>
        <w:top w:val="none" w:sz="0" w:space="0" w:color="auto"/>
        <w:left w:val="none" w:sz="0" w:space="0" w:color="auto"/>
        <w:bottom w:val="none" w:sz="0" w:space="0" w:color="auto"/>
        <w:right w:val="none" w:sz="0" w:space="0" w:color="auto"/>
      </w:divBdr>
    </w:div>
    <w:div w:id="1491680268">
      <w:bodyDiv w:val="1"/>
      <w:marLeft w:val="0"/>
      <w:marRight w:val="0"/>
      <w:marTop w:val="0"/>
      <w:marBottom w:val="0"/>
      <w:divBdr>
        <w:top w:val="none" w:sz="0" w:space="0" w:color="auto"/>
        <w:left w:val="none" w:sz="0" w:space="0" w:color="auto"/>
        <w:bottom w:val="none" w:sz="0" w:space="0" w:color="auto"/>
        <w:right w:val="none" w:sz="0" w:space="0" w:color="auto"/>
      </w:divBdr>
    </w:div>
    <w:div w:id="1511262725">
      <w:bodyDiv w:val="1"/>
      <w:marLeft w:val="0"/>
      <w:marRight w:val="0"/>
      <w:marTop w:val="0"/>
      <w:marBottom w:val="0"/>
      <w:divBdr>
        <w:top w:val="none" w:sz="0" w:space="0" w:color="auto"/>
        <w:left w:val="none" w:sz="0" w:space="0" w:color="auto"/>
        <w:bottom w:val="none" w:sz="0" w:space="0" w:color="auto"/>
        <w:right w:val="none" w:sz="0" w:space="0" w:color="auto"/>
      </w:divBdr>
      <w:divsChild>
        <w:div w:id="2141994701">
          <w:marLeft w:val="0"/>
          <w:marRight w:val="0"/>
          <w:marTop w:val="480"/>
          <w:marBottom w:val="240"/>
          <w:divBdr>
            <w:top w:val="none" w:sz="0" w:space="0" w:color="auto"/>
            <w:left w:val="none" w:sz="0" w:space="0" w:color="auto"/>
            <w:bottom w:val="none" w:sz="0" w:space="0" w:color="auto"/>
            <w:right w:val="none" w:sz="0" w:space="0" w:color="auto"/>
          </w:divBdr>
        </w:div>
        <w:div w:id="1657297118">
          <w:marLeft w:val="0"/>
          <w:marRight w:val="0"/>
          <w:marTop w:val="0"/>
          <w:marBottom w:val="567"/>
          <w:divBdr>
            <w:top w:val="none" w:sz="0" w:space="0" w:color="auto"/>
            <w:left w:val="none" w:sz="0" w:space="0" w:color="auto"/>
            <w:bottom w:val="none" w:sz="0" w:space="0" w:color="auto"/>
            <w:right w:val="none" w:sz="0" w:space="0" w:color="auto"/>
          </w:divBdr>
        </w:div>
      </w:divsChild>
    </w:div>
    <w:div w:id="1533153835">
      <w:bodyDiv w:val="1"/>
      <w:marLeft w:val="0"/>
      <w:marRight w:val="0"/>
      <w:marTop w:val="0"/>
      <w:marBottom w:val="0"/>
      <w:divBdr>
        <w:top w:val="none" w:sz="0" w:space="0" w:color="auto"/>
        <w:left w:val="none" w:sz="0" w:space="0" w:color="auto"/>
        <w:bottom w:val="none" w:sz="0" w:space="0" w:color="auto"/>
        <w:right w:val="none" w:sz="0" w:space="0" w:color="auto"/>
      </w:divBdr>
    </w:div>
    <w:div w:id="1550453208">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84102862">
      <w:bodyDiv w:val="1"/>
      <w:marLeft w:val="0"/>
      <w:marRight w:val="0"/>
      <w:marTop w:val="0"/>
      <w:marBottom w:val="0"/>
      <w:divBdr>
        <w:top w:val="none" w:sz="0" w:space="0" w:color="auto"/>
        <w:left w:val="none" w:sz="0" w:space="0" w:color="auto"/>
        <w:bottom w:val="none" w:sz="0" w:space="0" w:color="auto"/>
        <w:right w:val="none" w:sz="0" w:space="0" w:color="auto"/>
      </w:divBdr>
    </w:div>
    <w:div w:id="1599606987">
      <w:bodyDiv w:val="1"/>
      <w:marLeft w:val="45"/>
      <w:marRight w:val="45"/>
      <w:marTop w:val="90"/>
      <w:marBottom w:val="90"/>
      <w:divBdr>
        <w:top w:val="none" w:sz="0" w:space="0" w:color="auto"/>
        <w:left w:val="none" w:sz="0" w:space="0" w:color="auto"/>
        <w:bottom w:val="none" w:sz="0" w:space="0" w:color="auto"/>
        <w:right w:val="none" w:sz="0" w:space="0" w:color="auto"/>
      </w:divBdr>
      <w:divsChild>
        <w:div w:id="1917588364">
          <w:marLeft w:val="0"/>
          <w:marRight w:val="0"/>
          <w:marTop w:val="240"/>
          <w:marBottom w:val="0"/>
          <w:divBdr>
            <w:top w:val="none" w:sz="0" w:space="0" w:color="auto"/>
            <w:left w:val="none" w:sz="0" w:space="0" w:color="auto"/>
            <w:bottom w:val="none" w:sz="0" w:space="0" w:color="auto"/>
            <w:right w:val="none" w:sz="0" w:space="0" w:color="auto"/>
          </w:divBdr>
        </w:div>
      </w:divsChild>
    </w:div>
    <w:div w:id="1609124345">
      <w:bodyDiv w:val="1"/>
      <w:marLeft w:val="0"/>
      <w:marRight w:val="0"/>
      <w:marTop w:val="0"/>
      <w:marBottom w:val="0"/>
      <w:divBdr>
        <w:top w:val="none" w:sz="0" w:space="0" w:color="auto"/>
        <w:left w:val="none" w:sz="0" w:space="0" w:color="auto"/>
        <w:bottom w:val="none" w:sz="0" w:space="0" w:color="auto"/>
        <w:right w:val="none" w:sz="0" w:space="0" w:color="auto"/>
      </w:divBdr>
    </w:div>
    <w:div w:id="1661232036">
      <w:bodyDiv w:val="1"/>
      <w:marLeft w:val="0"/>
      <w:marRight w:val="0"/>
      <w:marTop w:val="0"/>
      <w:marBottom w:val="0"/>
      <w:divBdr>
        <w:top w:val="none" w:sz="0" w:space="0" w:color="auto"/>
        <w:left w:val="none" w:sz="0" w:space="0" w:color="auto"/>
        <w:bottom w:val="none" w:sz="0" w:space="0" w:color="auto"/>
        <w:right w:val="none" w:sz="0" w:space="0" w:color="auto"/>
      </w:divBdr>
    </w:div>
    <w:div w:id="1727100972">
      <w:bodyDiv w:val="1"/>
      <w:marLeft w:val="0"/>
      <w:marRight w:val="0"/>
      <w:marTop w:val="0"/>
      <w:marBottom w:val="0"/>
      <w:divBdr>
        <w:top w:val="none" w:sz="0" w:space="0" w:color="auto"/>
        <w:left w:val="none" w:sz="0" w:space="0" w:color="auto"/>
        <w:bottom w:val="none" w:sz="0" w:space="0" w:color="auto"/>
        <w:right w:val="none" w:sz="0" w:space="0" w:color="auto"/>
      </w:divBdr>
    </w:div>
    <w:div w:id="1746754775">
      <w:bodyDiv w:val="1"/>
      <w:marLeft w:val="0"/>
      <w:marRight w:val="0"/>
      <w:marTop w:val="0"/>
      <w:marBottom w:val="0"/>
      <w:divBdr>
        <w:top w:val="none" w:sz="0" w:space="0" w:color="auto"/>
        <w:left w:val="none" w:sz="0" w:space="0" w:color="auto"/>
        <w:bottom w:val="none" w:sz="0" w:space="0" w:color="auto"/>
        <w:right w:val="none" w:sz="0" w:space="0" w:color="auto"/>
      </w:divBdr>
    </w:div>
    <w:div w:id="1759213946">
      <w:bodyDiv w:val="1"/>
      <w:marLeft w:val="0"/>
      <w:marRight w:val="0"/>
      <w:marTop w:val="0"/>
      <w:marBottom w:val="0"/>
      <w:divBdr>
        <w:top w:val="none" w:sz="0" w:space="0" w:color="auto"/>
        <w:left w:val="none" w:sz="0" w:space="0" w:color="auto"/>
        <w:bottom w:val="none" w:sz="0" w:space="0" w:color="auto"/>
        <w:right w:val="none" w:sz="0" w:space="0" w:color="auto"/>
      </w:divBdr>
    </w:div>
    <w:div w:id="1784491836">
      <w:bodyDiv w:val="1"/>
      <w:marLeft w:val="0"/>
      <w:marRight w:val="0"/>
      <w:marTop w:val="0"/>
      <w:marBottom w:val="0"/>
      <w:divBdr>
        <w:top w:val="none" w:sz="0" w:space="0" w:color="auto"/>
        <w:left w:val="none" w:sz="0" w:space="0" w:color="auto"/>
        <w:bottom w:val="none" w:sz="0" w:space="0" w:color="auto"/>
        <w:right w:val="none" w:sz="0" w:space="0" w:color="auto"/>
      </w:divBdr>
    </w:div>
    <w:div w:id="1787701590">
      <w:bodyDiv w:val="1"/>
      <w:marLeft w:val="0"/>
      <w:marRight w:val="0"/>
      <w:marTop w:val="0"/>
      <w:marBottom w:val="0"/>
      <w:divBdr>
        <w:top w:val="none" w:sz="0" w:space="0" w:color="auto"/>
        <w:left w:val="none" w:sz="0" w:space="0" w:color="auto"/>
        <w:bottom w:val="none" w:sz="0" w:space="0" w:color="auto"/>
        <w:right w:val="none" w:sz="0" w:space="0" w:color="auto"/>
      </w:divBdr>
    </w:div>
    <w:div w:id="1795100556">
      <w:bodyDiv w:val="1"/>
      <w:marLeft w:val="0"/>
      <w:marRight w:val="0"/>
      <w:marTop w:val="0"/>
      <w:marBottom w:val="0"/>
      <w:divBdr>
        <w:top w:val="none" w:sz="0" w:space="0" w:color="auto"/>
        <w:left w:val="none" w:sz="0" w:space="0" w:color="auto"/>
        <w:bottom w:val="none" w:sz="0" w:space="0" w:color="auto"/>
        <w:right w:val="none" w:sz="0" w:space="0" w:color="auto"/>
      </w:divBdr>
    </w:div>
    <w:div w:id="1872180561">
      <w:bodyDiv w:val="1"/>
      <w:marLeft w:val="0"/>
      <w:marRight w:val="0"/>
      <w:marTop w:val="0"/>
      <w:marBottom w:val="0"/>
      <w:divBdr>
        <w:top w:val="none" w:sz="0" w:space="0" w:color="auto"/>
        <w:left w:val="none" w:sz="0" w:space="0" w:color="auto"/>
        <w:bottom w:val="none" w:sz="0" w:space="0" w:color="auto"/>
        <w:right w:val="none" w:sz="0" w:space="0" w:color="auto"/>
      </w:divBdr>
    </w:div>
    <w:div w:id="1892569796">
      <w:bodyDiv w:val="1"/>
      <w:marLeft w:val="0"/>
      <w:marRight w:val="0"/>
      <w:marTop w:val="0"/>
      <w:marBottom w:val="0"/>
      <w:divBdr>
        <w:top w:val="none" w:sz="0" w:space="0" w:color="auto"/>
        <w:left w:val="none" w:sz="0" w:space="0" w:color="auto"/>
        <w:bottom w:val="none" w:sz="0" w:space="0" w:color="auto"/>
        <w:right w:val="none" w:sz="0" w:space="0" w:color="auto"/>
      </w:divBdr>
    </w:div>
    <w:div w:id="1895192057">
      <w:bodyDiv w:val="1"/>
      <w:marLeft w:val="0"/>
      <w:marRight w:val="0"/>
      <w:marTop w:val="0"/>
      <w:marBottom w:val="0"/>
      <w:divBdr>
        <w:top w:val="none" w:sz="0" w:space="0" w:color="auto"/>
        <w:left w:val="none" w:sz="0" w:space="0" w:color="auto"/>
        <w:bottom w:val="none" w:sz="0" w:space="0" w:color="auto"/>
        <w:right w:val="none" w:sz="0" w:space="0" w:color="auto"/>
      </w:divBdr>
      <w:divsChild>
        <w:div w:id="109933125">
          <w:marLeft w:val="0"/>
          <w:marRight w:val="0"/>
          <w:marTop w:val="0"/>
          <w:marBottom w:val="0"/>
          <w:divBdr>
            <w:top w:val="none" w:sz="0" w:space="0" w:color="auto"/>
            <w:left w:val="none" w:sz="0" w:space="0" w:color="auto"/>
            <w:bottom w:val="none" w:sz="0" w:space="0" w:color="auto"/>
            <w:right w:val="none" w:sz="0" w:space="0" w:color="auto"/>
          </w:divBdr>
          <w:divsChild>
            <w:div w:id="1797987957">
              <w:marLeft w:val="0"/>
              <w:marRight w:val="0"/>
              <w:marTop w:val="0"/>
              <w:marBottom w:val="0"/>
              <w:divBdr>
                <w:top w:val="none" w:sz="0" w:space="0" w:color="auto"/>
                <w:left w:val="none" w:sz="0" w:space="0" w:color="auto"/>
                <w:bottom w:val="none" w:sz="0" w:space="0" w:color="auto"/>
                <w:right w:val="none" w:sz="0" w:space="0" w:color="auto"/>
              </w:divBdr>
              <w:divsChild>
                <w:div w:id="2003772151">
                  <w:marLeft w:val="0"/>
                  <w:marRight w:val="0"/>
                  <w:marTop w:val="0"/>
                  <w:marBottom w:val="0"/>
                  <w:divBdr>
                    <w:top w:val="none" w:sz="0" w:space="0" w:color="auto"/>
                    <w:left w:val="none" w:sz="0" w:space="0" w:color="auto"/>
                    <w:bottom w:val="none" w:sz="0" w:space="0" w:color="auto"/>
                    <w:right w:val="none" w:sz="0" w:space="0" w:color="auto"/>
                  </w:divBdr>
                  <w:divsChild>
                    <w:div w:id="1817919666">
                      <w:marLeft w:val="0"/>
                      <w:marRight w:val="0"/>
                      <w:marTop w:val="0"/>
                      <w:marBottom w:val="0"/>
                      <w:divBdr>
                        <w:top w:val="none" w:sz="0" w:space="0" w:color="auto"/>
                        <w:left w:val="none" w:sz="0" w:space="0" w:color="auto"/>
                        <w:bottom w:val="none" w:sz="0" w:space="0" w:color="auto"/>
                        <w:right w:val="none" w:sz="0" w:space="0" w:color="auto"/>
                      </w:divBdr>
                      <w:divsChild>
                        <w:div w:id="220482218">
                          <w:marLeft w:val="0"/>
                          <w:marRight w:val="0"/>
                          <w:marTop w:val="300"/>
                          <w:marBottom w:val="0"/>
                          <w:divBdr>
                            <w:top w:val="none" w:sz="0" w:space="0" w:color="auto"/>
                            <w:left w:val="none" w:sz="0" w:space="0" w:color="auto"/>
                            <w:bottom w:val="none" w:sz="0" w:space="0" w:color="auto"/>
                            <w:right w:val="none" w:sz="0" w:space="0" w:color="auto"/>
                          </w:divBdr>
                          <w:divsChild>
                            <w:div w:id="1706439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257230">
      <w:bodyDiv w:val="1"/>
      <w:marLeft w:val="0"/>
      <w:marRight w:val="0"/>
      <w:marTop w:val="0"/>
      <w:marBottom w:val="0"/>
      <w:divBdr>
        <w:top w:val="none" w:sz="0" w:space="0" w:color="auto"/>
        <w:left w:val="none" w:sz="0" w:space="0" w:color="auto"/>
        <w:bottom w:val="none" w:sz="0" w:space="0" w:color="auto"/>
        <w:right w:val="none" w:sz="0" w:space="0" w:color="auto"/>
      </w:divBdr>
    </w:div>
    <w:div w:id="1907377882">
      <w:bodyDiv w:val="1"/>
      <w:marLeft w:val="0"/>
      <w:marRight w:val="0"/>
      <w:marTop w:val="0"/>
      <w:marBottom w:val="0"/>
      <w:divBdr>
        <w:top w:val="none" w:sz="0" w:space="0" w:color="auto"/>
        <w:left w:val="none" w:sz="0" w:space="0" w:color="auto"/>
        <w:bottom w:val="none" w:sz="0" w:space="0" w:color="auto"/>
        <w:right w:val="none" w:sz="0" w:space="0" w:color="auto"/>
      </w:divBdr>
    </w:div>
    <w:div w:id="1908565534">
      <w:bodyDiv w:val="1"/>
      <w:marLeft w:val="0"/>
      <w:marRight w:val="0"/>
      <w:marTop w:val="0"/>
      <w:marBottom w:val="0"/>
      <w:divBdr>
        <w:top w:val="none" w:sz="0" w:space="0" w:color="auto"/>
        <w:left w:val="none" w:sz="0" w:space="0" w:color="auto"/>
        <w:bottom w:val="none" w:sz="0" w:space="0" w:color="auto"/>
        <w:right w:val="none" w:sz="0" w:space="0" w:color="auto"/>
      </w:divBdr>
    </w:div>
    <w:div w:id="1923566311">
      <w:bodyDiv w:val="1"/>
      <w:marLeft w:val="0"/>
      <w:marRight w:val="0"/>
      <w:marTop w:val="0"/>
      <w:marBottom w:val="0"/>
      <w:divBdr>
        <w:top w:val="none" w:sz="0" w:space="0" w:color="auto"/>
        <w:left w:val="none" w:sz="0" w:space="0" w:color="auto"/>
        <w:bottom w:val="none" w:sz="0" w:space="0" w:color="auto"/>
        <w:right w:val="none" w:sz="0" w:space="0" w:color="auto"/>
      </w:divBdr>
      <w:divsChild>
        <w:div w:id="1560094622">
          <w:marLeft w:val="0"/>
          <w:marRight w:val="0"/>
          <w:marTop w:val="0"/>
          <w:marBottom w:val="0"/>
          <w:divBdr>
            <w:top w:val="none" w:sz="0" w:space="0" w:color="auto"/>
            <w:left w:val="none" w:sz="0" w:space="0" w:color="auto"/>
            <w:bottom w:val="none" w:sz="0" w:space="0" w:color="auto"/>
            <w:right w:val="none" w:sz="0" w:space="0" w:color="auto"/>
          </w:divBdr>
          <w:divsChild>
            <w:div w:id="1893274624">
              <w:marLeft w:val="0"/>
              <w:marRight w:val="0"/>
              <w:marTop w:val="0"/>
              <w:marBottom w:val="0"/>
              <w:divBdr>
                <w:top w:val="none" w:sz="0" w:space="0" w:color="auto"/>
                <w:left w:val="none" w:sz="0" w:space="0" w:color="auto"/>
                <w:bottom w:val="none" w:sz="0" w:space="0" w:color="auto"/>
                <w:right w:val="none" w:sz="0" w:space="0" w:color="auto"/>
              </w:divBdr>
              <w:divsChild>
                <w:div w:id="1439256421">
                  <w:marLeft w:val="0"/>
                  <w:marRight w:val="0"/>
                  <w:marTop w:val="0"/>
                  <w:marBottom w:val="0"/>
                  <w:divBdr>
                    <w:top w:val="none" w:sz="0" w:space="0" w:color="auto"/>
                    <w:left w:val="none" w:sz="0" w:space="0" w:color="auto"/>
                    <w:bottom w:val="none" w:sz="0" w:space="0" w:color="auto"/>
                    <w:right w:val="none" w:sz="0" w:space="0" w:color="auto"/>
                  </w:divBdr>
                  <w:divsChild>
                    <w:div w:id="1104302935">
                      <w:marLeft w:val="0"/>
                      <w:marRight w:val="0"/>
                      <w:marTop w:val="0"/>
                      <w:marBottom w:val="0"/>
                      <w:divBdr>
                        <w:top w:val="none" w:sz="0" w:space="0" w:color="auto"/>
                        <w:left w:val="none" w:sz="0" w:space="0" w:color="auto"/>
                        <w:bottom w:val="none" w:sz="0" w:space="0" w:color="auto"/>
                        <w:right w:val="none" w:sz="0" w:space="0" w:color="auto"/>
                      </w:divBdr>
                      <w:divsChild>
                        <w:div w:id="711736212">
                          <w:marLeft w:val="0"/>
                          <w:marRight w:val="0"/>
                          <w:marTop w:val="300"/>
                          <w:marBottom w:val="0"/>
                          <w:divBdr>
                            <w:top w:val="none" w:sz="0" w:space="0" w:color="auto"/>
                            <w:left w:val="none" w:sz="0" w:space="0" w:color="auto"/>
                            <w:bottom w:val="none" w:sz="0" w:space="0" w:color="auto"/>
                            <w:right w:val="none" w:sz="0" w:space="0" w:color="auto"/>
                          </w:divBdr>
                          <w:divsChild>
                            <w:div w:id="11990057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826">
      <w:bodyDiv w:val="1"/>
      <w:marLeft w:val="0"/>
      <w:marRight w:val="0"/>
      <w:marTop w:val="0"/>
      <w:marBottom w:val="0"/>
      <w:divBdr>
        <w:top w:val="none" w:sz="0" w:space="0" w:color="auto"/>
        <w:left w:val="none" w:sz="0" w:space="0" w:color="auto"/>
        <w:bottom w:val="none" w:sz="0" w:space="0" w:color="auto"/>
        <w:right w:val="none" w:sz="0" w:space="0" w:color="auto"/>
      </w:divBdr>
    </w:div>
    <w:div w:id="1962689910">
      <w:bodyDiv w:val="1"/>
      <w:marLeft w:val="0"/>
      <w:marRight w:val="0"/>
      <w:marTop w:val="0"/>
      <w:marBottom w:val="0"/>
      <w:divBdr>
        <w:top w:val="none" w:sz="0" w:space="0" w:color="auto"/>
        <w:left w:val="none" w:sz="0" w:space="0" w:color="auto"/>
        <w:bottom w:val="none" w:sz="0" w:space="0" w:color="auto"/>
        <w:right w:val="none" w:sz="0" w:space="0" w:color="auto"/>
      </w:divBdr>
    </w:div>
    <w:div w:id="1969891079">
      <w:bodyDiv w:val="1"/>
      <w:marLeft w:val="0"/>
      <w:marRight w:val="0"/>
      <w:marTop w:val="0"/>
      <w:marBottom w:val="0"/>
      <w:divBdr>
        <w:top w:val="none" w:sz="0" w:space="0" w:color="auto"/>
        <w:left w:val="none" w:sz="0" w:space="0" w:color="auto"/>
        <w:bottom w:val="none" w:sz="0" w:space="0" w:color="auto"/>
        <w:right w:val="none" w:sz="0" w:space="0" w:color="auto"/>
      </w:divBdr>
    </w:div>
    <w:div w:id="1975060344">
      <w:bodyDiv w:val="1"/>
      <w:marLeft w:val="0"/>
      <w:marRight w:val="0"/>
      <w:marTop w:val="0"/>
      <w:marBottom w:val="0"/>
      <w:divBdr>
        <w:top w:val="none" w:sz="0" w:space="0" w:color="auto"/>
        <w:left w:val="none" w:sz="0" w:space="0" w:color="auto"/>
        <w:bottom w:val="none" w:sz="0" w:space="0" w:color="auto"/>
        <w:right w:val="none" w:sz="0" w:space="0" w:color="auto"/>
      </w:divBdr>
    </w:div>
    <w:div w:id="2114086028">
      <w:bodyDiv w:val="1"/>
      <w:marLeft w:val="0"/>
      <w:marRight w:val="0"/>
      <w:marTop w:val="0"/>
      <w:marBottom w:val="0"/>
      <w:divBdr>
        <w:top w:val="none" w:sz="0" w:space="0" w:color="auto"/>
        <w:left w:val="none" w:sz="0" w:space="0" w:color="auto"/>
        <w:bottom w:val="none" w:sz="0" w:space="0" w:color="auto"/>
        <w:right w:val="none" w:sz="0" w:space="0" w:color="auto"/>
      </w:divBdr>
      <w:divsChild>
        <w:div w:id="1425685585">
          <w:marLeft w:val="0"/>
          <w:marRight w:val="0"/>
          <w:marTop w:val="0"/>
          <w:marBottom w:val="0"/>
          <w:divBdr>
            <w:top w:val="none" w:sz="0" w:space="0" w:color="auto"/>
            <w:left w:val="none" w:sz="0" w:space="0" w:color="auto"/>
            <w:bottom w:val="none" w:sz="0" w:space="0" w:color="auto"/>
            <w:right w:val="none" w:sz="0" w:space="0" w:color="auto"/>
          </w:divBdr>
        </w:div>
      </w:divsChild>
    </w:div>
    <w:div w:id="2115587874">
      <w:bodyDiv w:val="1"/>
      <w:marLeft w:val="0"/>
      <w:marRight w:val="0"/>
      <w:marTop w:val="0"/>
      <w:marBottom w:val="0"/>
      <w:divBdr>
        <w:top w:val="none" w:sz="0" w:space="0" w:color="auto"/>
        <w:left w:val="none" w:sz="0" w:space="0" w:color="auto"/>
        <w:bottom w:val="none" w:sz="0" w:space="0" w:color="auto"/>
        <w:right w:val="none" w:sz="0" w:space="0" w:color="auto"/>
      </w:divBdr>
    </w:div>
    <w:div w:id="2121294571">
      <w:bodyDiv w:val="1"/>
      <w:marLeft w:val="0"/>
      <w:marRight w:val="0"/>
      <w:marTop w:val="0"/>
      <w:marBottom w:val="0"/>
      <w:divBdr>
        <w:top w:val="none" w:sz="0" w:space="0" w:color="auto"/>
        <w:left w:val="none" w:sz="0" w:space="0" w:color="auto"/>
        <w:bottom w:val="none" w:sz="0" w:space="0" w:color="auto"/>
        <w:right w:val="none" w:sz="0" w:space="0" w:color="auto"/>
      </w:divBdr>
    </w:div>
    <w:div w:id="2133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297134-gramatvedibas-uzskaites-kartiba-budzeta-iestade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kumi.lv/ta/id/2824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63545-valsts-parvaldes-iekartas-likum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ikumi.lv/ta/id/63545-valsts-parvaldes-iekartas-likum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fla.gov.lv" TargetMode="External"/><Relationship Id="rId14" Type="http://schemas.openxmlformats.org/officeDocument/2006/relationships/hyperlink" Target="http://www.vm.gov.lv/lv/aktualitates/sabiedribas_lidzdaliba/publiska_apspriesa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24833-noteikumi-par-budzetu-izdevumu-klasifikaciju-atbilstosi-ekonomiskajam-kategor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90E82-AF82-4505-ABD5-407A6D24A063}">
  <ds:schemaRefs>
    <ds:schemaRef ds:uri="http://schemas.openxmlformats.org/officeDocument/2006/bibliography"/>
  </ds:schemaRefs>
</ds:datastoreItem>
</file>

<file path=customXml/itemProps2.xml><?xml version="1.0" encoding="utf-8"?>
<ds:datastoreItem xmlns:ds="http://schemas.openxmlformats.org/officeDocument/2006/customXml" ds:itemID="{02DCEA6F-A9B8-4BA5-BB40-E091CB51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8315</Words>
  <Characters>60934</Characters>
  <Application>Microsoft Office Word</Application>
  <DocSecurity>0</DocSecurity>
  <Lines>507</Lines>
  <Paragraphs>138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Ministru kabineta noteikumu projekta „Grozījumi Ministru kabineta 2016. gada 17. maija noteikumos Nr.310 „Darbības programmas "Izaugsme un nodarbinātība" 9.2.4. specifiskā atbalsta mērķa "Uzlabot pieejamību veselības veicināšanas un slimību profilakses pa</vt:lpstr>
      <vt:lpstr>Ministru kabineta noteikumu projekta „Grozījumi Ministru kabineta 2010.gada 4.augusta noteikumos Nr.726 „Noteikumi par darbības programmas „Infrastruktūra un pakalpojumi” papildinājuma 3.1.5.1.1.apakšaktivitāti „Ģimenes ārstu tīkla attīstība””” sākotnējās</vt:lpstr>
      <vt:lpstr>Noteikumi par darbības programmas „Cilvēkresursi un nodarbinātība” papildinājuma 1.3.2.3. aktivitāti “Veselības aprūpes un veicināšanas procesā iesaistīto institūciju personāla kompetences, prasmju un iemaņu līmeņa paaugstināšana”</vt:lpstr>
    </vt:vector>
  </TitlesOfParts>
  <Company>Veselības minsitrija</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sākotnējās ietekmes novērtējuma ziņojums (anotācija)</dc:title>
  <dc:subject>Anotācija</dc:subject>
  <dc:creator>Dace Ozoliņa</dc:creator>
  <dc:description>Dace Ozoliņa
Investīciju un Eiropas Savienības fondu 
uzraudzības departamenta ES fondu ieviešanas nodaļas vecākā referente
Tālr.:  67 876 085 Dace.Ozolina@vm.gov.lv</dc:description>
  <cp:lastModifiedBy>Līga Žurovska</cp:lastModifiedBy>
  <cp:revision>6</cp:revision>
  <cp:lastPrinted>2019-11-01T06:05:00Z</cp:lastPrinted>
  <dcterms:created xsi:type="dcterms:W3CDTF">2020-03-12T14:43:00Z</dcterms:created>
  <dcterms:modified xsi:type="dcterms:W3CDTF">2020-03-16T14:48:00Z</dcterms:modified>
</cp:coreProperties>
</file>