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C3B67" w14:textId="25671CA1" w:rsidR="009507A7" w:rsidRPr="002D71B6" w:rsidRDefault="009507A7" w:rsidP="009507A7">
      <w:pPr>
        <w:jc w:val="center"/>
      </w:pPr>
      <w:r>
        <w:rPr>
          <w:b/>
          <w:u w:val="single"/>
        </w:rPr>
        <w:t xml:space="preserve">Projektu īstenošanas </w:t>
      </w:r>
      <w:bookmarkStart w:id="0" w:name="_GoBack"/>
      <w:bookmarkEnd w:id="0"/>
      <w:r w:rsidRPr="002D71B6">
        <w:rPr>
          <w:b/>
          <w:u w:val="single"/>
        </w:rPr>
        <w:t>jautājumi</w:t>
      </w:r>
    </w:p>
    <w:p w14:paraId="253566FC" w14:textId="77777777" w:rsidR="003308AD" w:rsidRDefault="003308AD" w:rsidP="00175304">
      <w:pPr>
        <w:jc w:val="both"/>
      </w:pPr>
    </w:p>
    <w:p w14:paraId="0CBC9210" w14:textId="77777777" w:rsidR="003308AD" w:rsidRDefault="003308AD" w:rsidP="003308AD">
      <w:pPr>
        <w:pStyle w:val="ListParagraph"/>
        <w:jc w:val="both"/>
      </w:pPr>
    </w:p>
    <w:p w14:paraId="712B523F" w14:textId="77777777" w:rsidR="00B23656" w:rsidRDefault="00B23656" w:rsidP="00175304">
      <w:pPr>
        <w:pStyle w:val="ListParagraph"/>
        <w:numPr>
          <w:ilvl w:val="0"/>
          <w:numId w:val="1"/>
        </w:numPr>
        <w:jc w:val="both"/>
      </w:pPr>
      <w:r>
        <w:t>Vai būs attiecināmas izmaksas materiāliem, kas iegādāti (apmaksāti) pirms projekta uzsākšanas un atrodas uzņēmuma krājumos, un projekta laikā tiek izmantoti pētījuma vajadzībām (izlietojumu apliecinot ar atbilstošiem materiālu norakstīšanas aktiem). Norādām, ka būtisks ir tieši materiālu izlietojuma brīdis, no kā arī atkarīga tā piederība projektam.   Atzīmējam, ka noteikumu punkts (05.01.2016. MK noteikumu nr.2. punkts 19), kas atbild par pētījumu īstenotāju iespējām piedalīties projektā ar savu mantu ir palicis praktiski tādā pašā redakcijā, kā iepriekšējā KC programmā, līdz ar to nav skaidras šīs izmaiņas noteikumu interpretācijā. Jāņem vērā, ka liels skaits uzņēmumu izejmateriālus un palīgmateriālus iegādājos lielos apjomos gan pamatdarbības, gan P&amp;A vajadzībām, un ir paredzējuši šo krājumu izmantošanu projekta vajadzībām</w:t>
      </w:r>
    </w:p>
    <w:p w14:paraId="25FF22F7" w14:textId="77777777" w:rsidR="00055C2F" w:rsidRPr="00B929F2" w:rsidRDefault="00055C2F" w:rsidP="00175304">
      <w:pPr>
        <w:jc w:val="both"/>
        <w:rPr>
          <w:i/>
          <w:color w:val="538135" w:themeColor="accent6" w:themeShade="BF"/>
        </w:rPr>
      </w:pPr>
      <w:r w:rsidRPr="00B929F2">
        <w:rPr>
          <w:i/>
          <w:color w:val="538135" w:themeColor="accent6" w:themeShade="BF"/>
        </w:rPr>
        <w:t xml:space="preserve">Atbilde: </w:t>
      </w:r>
      <w:r w:rsidR="009E0C6C" w:rsidRPr="00B929F2">
        <w:rPr>
          <w:i/>
          <w:color w:val="538135" w:themeColor="accent6" w:themeShade="BF"/>
        </w:rPr>
        <w:t xml:space="preserve">Ministru kabineta 05.01.2016. noteikumu “Darbības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 Nr.2 (turpmāk - </w:t>
      </w:r>
      <w:r w:rsidRPr="00B929F2">
        <w:rPr>
          <w:i/>
          <w:color w:val="538135" w:themeColor="accent6" w:themeShade="BF"/>
        </w:rPr>
        <w:t>MKN Nr.2</w:t>
      </w:r>
      <w:r w:rsidR="009E0C6C" w:rsidRPr="00B929F2">
        <w:rPr>
          <w:i/>
          <w:color w:val="538135" w:themeColor="accent6" w:themeShade="BF"/>
        </w:rPr>
        <w:t>)</w:t>
      </w:r>
      <w:r w:rsidRPr="00B929F2">
        <w:rPr>
          <w:i/>
          <w:color w:val="538135" w:themeColor="accent6" w:themeShade="BF"/>
        </w:rPr>
        <w:t xml:space="preserve"> 19.punktā noteikts, ka sadarbības partneris var pētniecības projekta īstenošanā iesaistīties ar tā valdījumā vai īpašumā esošu mantu, intelektuālo īpašumu, finansējumu vai cilvēkresursiem</w:t>
      </w:r>
      <w:r w:rsidR="00ED47AA" w:rsidRPr="00B929F2">
        <w:rPr>
          <w:i/>
          <w:color w:val="538135" w:themeColor="accent6" w:themeShade="BF"/>
        </w:rPr>
        <w:t>, kas neliedz komersantam piedalīties projekta īstenošanā ar savā īpašumā esošo mantu vai, piemēram, izejvielām un materiāliem, kuri  iegādāti un apmaksāti pirms projekta uzsākšanas un atrodas uzņēmuma krājumos. Šajā gadījumā kā izmaksu rašanās pamatojošie dokumenti būs rēķins/pavadzīme, pieņemšanas-nodošanas akts (ja attiecināms) par visiem atbilstošiem krājumiem un norakstīšanas akts par projektam paredzēto mantu, kurš datēts ar mantas faktiskās izmantošanas datumu atbilstoši pētījuma periodam</w:t>
      </w:r>
      <w:r w:rsidRPr="00B929F2">
        <w:rPr>
          <w:i/>
          <w:color w:val="538135" w:themeColor="accent6" w:themeShade="BF"/>
        </w:rPr>
        <w:t>. Tomēr vēršam uzmanību, ka, ja sadarbības partneris izmanto esošo materiālus pētījuma veikšanai, tad sadarbības partnerim jāspēj uzrādīt izejvielu izcelsmes dokumentus un papildus jāveic cenu salīdzināšana, lai noteiktu izejvielu pašreizējo standarta tirgus cenu</w:t>
      </w:r>
      <w:r w:rsidR="00DF5548" w:rsidRPr="00B929F2">
        <w:rPr>
          <w:i/>
          <w:color w:val="538135" w:themeColor="accent6" w:themeShade="BF"/>
        </w:rPr>
        <w:t xml:space="preserve">. Minētie dokumenti ir jāuzglabā un jāvar uzrādīt pēc pieprasījuma. Norādām, ka saskaņā ar MKN Nr.2 40.punktu maksājuma pieprasījumā var iekļaut tikai tās izmaksas, kuras ir tieši saistītas ar projekta ietvaros veiktajām darbībām, un ir nosakāma un pierādāma to samērīgā cena, kas atbilst drošas finanšu vadības principiem. </w:t>
      </w:r>
    </w:p>
    <w:p w14:paraId="47ED1CBF" w14:textId="6DD15E61" w:rsidR="00DF5548" w:rsidRPr="00B929F2" w:rsidRDefault="00DF5548" w:rsidP="00175304">
      <w:pPr>
        <w:jc w:val="both"/>
        <w:rPr>
          <w:i/>
          <w:color w:val="538135" w:themeColor="accent6" w:themeShade="BF"/>
        </w:rPr>
      </w:pPr>
      <w:r w:rsidRPr="00B929F2">
        <w:rPr>
          <w:i/>
          <w:color w:val="538135" w:themeColor="accent6" w:themeShade="BF"/>
        </w:rPr>
        <w:tab/>
        <w:t xml:space="preserve">Iepriekš minētā kārtība piemērojama </w:t>
      </w:r>
      <w:r w:rsidR="00FB1195" w:rsidRPr="00B929F2">
        <w:rPr>
          <w:i/>
          <w:color w:val="538135" w:themeColor="accent6" w:themeShade="BF"/>
        </w:rPr>
        <w:t xml:space="preserve">viena veida </w:t>
      </w:r>
      <w:r w:rsidRPr="00B929F2">
        <w:rPr>
          <w:i/>
          <w:color w:val="538135" w:themeColor="accent6" w:themeShade="BF"/>
        </w:rPr>
        <w:t xml:space="preserve">izmaksām </w:t>
      </w:r>
      <w:r w:rsidR="00FB1195" w:rsidRPr="00B929F2">
        <w:rPr>
          <w:i/>
          <w:color w:val="538135" w:themeColor="accent6" w:themeShade="BF"/>
        </w:rPr>
        <w:t xml:space="preserve">(piemēram, par konkrētām </w:t>
      </w:r>
      <w:r w:rsidRPr="00B929F2">
        <w:rPr>
          <w:i/>
          <w:color w:val="538135" w:themeColor="accent6" w:themeShade="BF"/>
        </w:rPr>
        <w:t xml:space="preserve">izejvielām </w:t>
      </w:r>
      <w:r w:rsidR="00FB1195" w:rsidRPr="00B929F2">
        <w:rPr>
          <w:i/>
          <w:color w:val="538135" w:themeColor="accent6" w:themeShade="BF"/>
        </w:rPr>
        <w:t xml:space="preserve">vai </w:t>
      </w:r>
      <w:r w:rsidRPr="00B929F2">
        <w:rPr>
          <w:i/>
          <w:color w:val="538135" w:themeColor="accent6" w:themeShade="BF"/>
        </w:rPr>
        <w:t>materiāliem</w:t>
      </w:r>
      <w:r w:rsidR="00FB1195" w:rsidRPr="00B929F2">
        <w:rPr>
          <w:i/>
          <w:color w:val="538135" w:themeColor="accent6" w:themeShade="BF"/>
        </w:rPr>
        <w:t>)</w:t>
      </w:r>
      <w:r w:rsidRPr="00B929F2">
        <w:rPr>
          <w:i/>
          <w:color w:val="538135" w:themeColor="accent6" w:themeShade="BF"/>
        </w:rPr>
        <w:t xml:space="preserve">, kas </w:t>
      </w:r>
      <w:r w:rsidR="00FB1195" w:rsidRPr="00B929F2">
        <w:rPr>
          <w:i/>
          <w:color w:val="538135" w:themeColor="accent6" w:themeShade="BF"/>
        </w:rPr>
        <w:t xml:space="preserve">kopsummā pētījuma laikā </w:t>
      </w:r>
      <w:r w:rsidRPr="00B929F2">
        <w:rPr>
          <w:i/>
          <w:color w:val="538135" w:themeColor="accent6" w:themeShade="BF"/>
        </w:rPr>
        <w:t xml:space="preserve">nepārsniedz </w:t>
      </w:r>
      <w:r w:rsidR="00FB1195" w:rsidRPr="00B929F2">
        <w:rPr>
          <w:i/>
          <w:color w:val="538135" w:themeColor="accent6" w:themeShade="BF"/>
        </w:rPr>
        <w:t xml:space="preserve">Ministru kabineta 04.06.2013. noteikumu Nr.299 “Par iepirkuma procedūru un tās piemērošanas kārtību pasūtītāja finansētiem projektiem” (turpmāk – </w:t>
      </w:r>
      <w:r w:rsidRPr="00B929F2">
        <w:rPr>
          <w:i/>
          <w:color w:val="538135" w:themeColor="accent6" w:themeShade="BF"/>
        </w:rPr>
        <w:t>MKN Nr.299</w:t>
      </w:r>
      <w:r w:rsidR="00FB1195" w:rsidRPr="00B929F2">
        <w:rPr>
          <w:i/>
          <w:color w:val="538135" w:themeColor="accent6" w:themeShade="BF"/>
        </w:rPr>
        <w:t>)</w:t>
      </w:r>
      <w:r w:rsidRPr="00B929F2">
        <w:rPr>
          <w:i/>
          <w:color w:val="538135" w:themeColor="accent6" w:themeShade="BF"/>
        </w:rPr>
        <w:t xml:space="preserve"> </w:t>
      </w:r>
      <w:r w:rsidR="00B64969" w:rsidRPr="00B929F2">
        <w:rPr>
          <w:i/>
          <w:color w:val="538135" w:themeColor="accent6" w:themeShade="BF"/>
        </w:rPr>
        <w:t>6.punktā noteikto slieksni. Ja piegādes vai pakalpojuma izmaksām, kas attiecināmas uz projektu</w:t>
      </w:r>
      <w:r w:rsidR="00FB1195" w:rsidRPr="00B929F2">
        <w:rPr>
          <w:i/>
          <w:color w:val="538135" w:themeColor="accent6" w:themeShade="BF"/>
        </w:rPr>
        <w:t>,</w:t>
      </w:r>
      <w:r w:rsidR="00B64969" w:rsidRPr="00B929F2">
        <w:rPr>
          <w:i/>
          <w:color w:val="538135" w:themeColor="accent6" w:themeShade="BF"/>
        </w:rPr>
        <w:t xml:space="preserve"> paredzamā līgumcena pārsniedz 70 000 EUR, tad saskaņā ar MKN Nr.299 4.nodaļu arī sadarbības partnerim ir jāpiemēro iepirkuma līguma slēgšanas tiesību piešķiršanas kārtība – faktiski jāpiemēro iepirkumu procedūra MKN Nr.299 izpratnē.</w:t>
      </w:r>
    </w:p>
    <w:p w14:paraId="6E749C02" w14:textId="77777777" w:rsidR="00B64969" w:rsidRPr="00B64969" w:rsidRDefault="00B64969" w:rsidP="00175304">
      <w:pPr>
        <w:jc w:val="both"/>
        <w:rPr>
          <w:i/>
          <w:color w:val="538135" w:themeColor="accent6" w:themeShade="BF"/>
        </w:rPr>
      </w:pPr>
      <w:r w:rsidRPr="00B929F2">
        <w:rPr>
          <w:i/>
          <w:color w:val="538135" w:themeColor="accent6" w:themeShade="BF"/>
        </w:rPr>
        <w:t>Papildus informējam, ka sadarbības partneris – individuālā pētījuma īstenotājs, kas ir MKN Nr.299 subjekts, saskaņā ar MKN Nr.2 34.punktu ir tiesīgs nepiemērot normatīvos aktus (MKN Nr.299) par iepirkuma procedūru un tās piemērošanas</w:t>
      </w:r>
      <w:r w:rsidRPr="00B64969">
        <w:rPr>
          <w:i/>
          <w:color w:val="538135" w:themeColor="accent6" w:themeShade="BF"/>
        </w:rPr>
        <w:t xml:space="preserve"> kārtību pasūtītāja finansētiem projektiem, ja informācija par potenciālo materiālu (fizikālie, bioloģiskie, ķīmiskie un citi materiāli, izmēģinājuma dzīvnieki, reaktīvi, ķimikālijas, laboratorijas trauki, medikamenti </w:t>
      </w:r>
      <w:r w:rsidRPr="00B64969">
        <w:rPr>
          <w:i/>
          <w:color w:val="538135" w:themeColor="accent6" w:themeShade="BF"/>
        </w:rPr>
        <w:lastRenderedPageBreak/>
        <w:t>pētniecībai), piegādātāju piedāvātajām cenām ir pieejama publiski (piemēram, biržā, tīmekļa vietnēs) un tiek izvēlēts piegādātājs, kurš piedāvā zemāko cenu. Šajā gadījumā individuālā pētījuma īstenotāja pienākums ir sagatavot un uzglabāt rakstisku pamatojumu par zemākās cenas noteikšanu. Šis punkts skaidrojams ar unikālu materiālu iegādi (zinātniskā literatūra, kas nepieciešama pētījuma veikšanai), kas būtu pieejami uzticamās tīmekļ</w:t>
      </w:r>
      <w:r w:rsidR="00F32B60">
        <w:rPr>
          <w:i/>
          <w:color w:val="538135" w:themeColor="accent6" w:themeShade="BF"/>
        </w:rPr>
        <w:t>a vietnēs, tādās kā Amazon vai E</w:t>
      </w:r>
      <w:r w:rsidRPr="00B64969">
        <w:rPr>
          <w:i/>
          <w:color w:val="538135" w:themeColor="accent6" w:themeShade="BF"/>
        </w:rPr>
        <w:t>bay. Pēc šāda principa iespējams iegādāties arī citas 34.punktā uzskaitītās izejvielas, taču mājas lapai</w:t>
      </w:r>
      <w:r w:rsidR="00FB1195">
        <w:rPr>
          <w:i/>
          <w:color w:val="538135" w:themeColor="accent6" w:themeShade="BF"/>
        </w:rPr>
        <w:t>,</w:t>
      </w:r>
      <w:r w:rsidRPr="00B64969">
        <w:rPr>
          <w:i/>
          <w:color w:val="538135" w:themeColor="accent6" w:themeShade="BF"/>
        </w:rPr>
        <w:t xml:space="preserve"> kurā veikta konkrētās izejvielas cenas salīdzināšana ar tajā pašā lapā norādītajām citu izejvielu cenām</w:t>
      </w:r>
      <w:r w:rsidR="00FB1195">
        <w:rPr>
          <w:i/>
          <w:color w:val="538135" w:themeColor="accent6" w:themeShade="BF"/>
        </w:rPr>
        <w:t>,</w:t>
      </w:r>
      <w:r w:rsidRPr="00B64969">
        <w:rPr>
          <w:i/>
          <w:color w:val="538135" w:themeColor="accent6" w:themeShade="BF"/>
        </w:rPr>
        <w:t xml:space="preserve"> jābūt uzticamai un pārbaudāmai.</w:t>
      </w:r>
    </w:p>
    <w:p w14:paraId="0A91E3A7" w14:textId="77777777" w:rsidR="00B23656" w:rsidRDefault="00B23656" w:rsidP="00175304">
      <w:pPr>
        <w:pStyle w:val="ListParagraph"/>
        <w:numPr>
          <w:ilvl w:val="0"/>
          <w:numId w:val="1"/>
        </w:numPr>
        <w:jc w:val="both"/>
      </w:pPr>
      <w:r>
        <w:t>Vai ir attiecināmas komunālo pakalpojumu, telpu nomas un citu pakalpojumu izmaksas, pamatojoties uz jau esošiem ilgtermiņa līgumiem, kas uzņēmumam ir parakstīti ar pakalpojumu sniedzējiem? Norādām, ka tirgus izpētes vai cenu salīdzinājuma sagatavošana nav pamatota, ja uzņēmumam jau ir līgums par šādu pakalpojumu saņemšanu.</w:t>
      </w:r>
    </w:p>
    <w:p w14:paraId="19D738F0" w14:textId="77777777" w:rsidR="00053F86" w:rsidRPr="00F32B60" w:rsidRDefault="00B64969" w:rsidP="00175304">
      <w:pPr>
        <w:jc w:val="both"/>
        <w:rPr>
          <w:i/>
          <w:color w:val="538135" w:themeColor="accent6" w:themeShade="BF"/>
        </w:rPr>
      </w:pPr>
      <w:r w:rsidRPr="00F32B60">
        <w:rPr>
          <w:i/>
          <w:color w:val="538135" w:themeColor="accent6" w:themeShade="BF"/>
        </w:rPr>
        <w:t xml:space="preserve">Atbilde: </w:t>
      </w:r>
      <w:r w:rsidR="00053F86" w:rsidRPr="00F32B60">
        <w:rPr>
          <w:i/>
          <w:color w:val="538135" w:themeColor="accent6" w:themeShade="BF"/>
        </w:rPr>
        <w:t>Sadarbības partneriem saskaņā ar MKN Nr.2 30.1.1.3. un 30.1.1.4.apakšpunktiem iepriekš minētās izmaksas ir uzskatāmas par attiecināmām ciktāl tos izmanto pētniecības vai tehnoloģiski ekonomiskās priekšizpētes darbiem. Līdz ar to, skaidrojam, ka šajos gadījumos ir pieļaujams attiecināt daļu izmaksu uz projektu pamatojoties uz jau esošajiem noslēgtajiem līgumiem minēto pakalpojuma izmaksu segšanai, ja uz projektu attiecināmās izmaksas  nepārsniedz MKN Nr.299 6.punktā noteikto slieksni. Ja piegādes vai pakalpojuma izmaksām, kas attiecināmas uz projektu paredzamā līgumcena pārsniedz 70 000 EUR, tad saskaņā ar MKN Nr.299 4.nodaļu arī sadarbības partnerim ir jāpiemēro iepirkuma līguma slēgšanas tiesību piešķiršanas kārtība – faktiski jāpiemēro iepirkumu procedūra MKN Nr.299 izpratnē.</w:t>
      </w:r>
    </w:p>
    <w:p w14:paraId="70B01CA9" w14:textId="77777777" w:rsidR="00B23656" w:rsidRDefault="00B23656" w:rsidP="009C4515">
      <w:pPr>
        <w:pStyle w:val="ListParagraph"/>
        <w:numPr>
          <w:ilvl w:val="0"/>
          <w:numId w:val="7"/>
        </w:numPr>
        <w:jc w:val="both"/>
      </w:pPr>
      <w:r>
        <w:t>Nepieciešamība veikt maksājumus no atsevišķa konta šādos gadījumos:</w:t>
      </w:r>
    </w:p>
    <w:p w14:paraId="2F48788E" w14:textId="77777777" w:rsidR="00B23656" w:rsidRDefault="00B23656" w:rsidP="00175304">
      <w:pPr>
        <w:pStyle w:val="ListParagraph"/>
        <w:numPr>
          <w:ilvl w:val="1"/>
          <w:numId w:val="2"/>
        </w:numPr>
        <w:jc w:val="both"/>
      </w:pPr>
      <w:r>
        <w:t>Darbinieki strādā projektā uz daļēju slodzi</w:t>
      </w:r>
    </w:p>
    <w:p w14:paraId="0A45AE7D" w14:textId="77777777" w:rsidR="00B23656" w:rsidRDefault="00B23656" w:rsidP="00175304">
      <w:pPr>
        <w:pStyle w:val="ListParagraph"/>
        <w:numPr>
          <w:ilvl w:val="1"/>
          <w:numId w:val="2"/>
        </w:numPr>
        <w:jc w:val="both"/>
      </w:pPr>
      <w:r>
        <w:t>Komunālo un sakaru pakalpojumu apmaksa (neliels % attiecināms uz projektu)</w:t>
      </w:r>
    </w:p>
    <w:p w14:paraId="2E43AF27" w14:textId="77777777" w:rsidR="00B23656" w:rsidRDefault="00B23656" w:rsidP="00175304">
      <w:pPr>
        <w:pStyle w:val="ListParagraph"/>
        <w:numPr>
          <w:ilvl w:val="1"/>
          <w:numId w:val="2"/>
        </w:numPr>
        <w:jc w:val="both"/>
      </w:pPr>
      <w:r>
        <w:t>Nodokļu maksājumi</w:t>
      </w:r>
    </w:p>
    <w:p w14:paraId="75A3386B" w14:textId="7D771726" w:rsidR="00053F86" w:rsidRPr="00F32B60" w:rsidRDefault="00053F86" w:rsidP="00175304">
      <w:pPr>
        <w:jc w:val="both"/>
        <w:rPr>
          <w:i/>
          <w:color w:val="538135" w:themeColor="accent6" w:themeShade="BF"/>
        </w:rPr>
      </w:pPr>
      <w:r w:rsidRPr="00F32B60">
        <w:rPr>
          <w:i/>
          <w:color w:val="538135" w:themeColor="accent6" w:themeShade="BF"/>
        </w:rPr>
        <w:t>Atbilde: Gadījumos, kad secināms, ka uz projekta attiecināmā</w:t>
      </w:r>
      <w:r w:rsidR="009A32A1">
        <w:rPr>
          <w:i/>
          <w:color w:val="538135" w:themeColor="accent6" w:themeShade="BF"/>
        </w:rPr>
        <w:t>s</w:t>
      </w:r>
      <w:r w:rsidRPr="00F32B60">
        <w:rPr>
          <w:i/>
          <w:color w:val="538135" w:themeColor="accent6" w:themeShade="BF"/>
        </w:rPr>
        <w:t xml:space="preserve"> daļas izmaksas veikt no atsevišķa konta</w:t>
      </w:r>
      <w:r w:rsidR="009A32A1">
        <w:rPr>
          <w:i/>
          <w:color w:val="538135" w:themeColor="accent6" w:themeShade="BF"/>
        </w:rPr>
        <w:t xml:space="preserve"> </w:t>
      </w:r>
      <w:r w:rsidRPr="00F32B60">
        <w:rPr>
          <w:i/>
          <w:color w:val="538135" w:themeColor="accent6" w:themeShade="BF"/>
        </w:rPr>
        <w:t>nav samērīgi</w:t>
      </w:r>
      <w:r w:rsidR="009A32A1">
        <w:rPr>
          <w:i/>
          <w:color w:val="538135" w:themeColor="accent6" w:themeShade="BF"/>
        </w:rPr>
        <w:t xml:space="preserve"> vai</w:t>
      </w:r>
      <w:r w:rsidRPr="00F32B60">
        <w:rPr>
          <w:i/>
          <w:color w:val="538135" w:themeColor="accent6" w:themeShade="BF"/>
        </w:rPr>
        <w:t xml:space="preserve"> arī tehniskas nepieciešamības gadījumos ir pieļaujams, ka daļa izmaksu tiek veikta no sadarbības partnera cita norēķinu konta, piemēram, pamatdarbības norēķina konta. Vēršam uzmanību, ka sadarbības partnerim ir jāspēj pierādīt, ka izmaksas  ir veiktas, iesniedzot finansējuma saņēmējam</w:t>
      </w:r>
      <w:r w:rsidR="00D93B36" w:rsidRPr="00F32B60">
        <w:rPr>
          <w:i/>
          <w:color w:val="538135" w:themeColor="accent6" w:themeShade="BF"/>
        </w:rPr>
        <w:t>,</w:t>
      </w:r>
      <w:r w:rsidRPr="00F32B60">
        <w:rPr>
          <w:i/>
          <w:color w:val="538135" w:themeColor="accent6" w:themeShade="BF"/>
        </w:rPr>
        <w:t xml:space="preserve"> un</w:t>
      </w:r>
      <w:r w:rsidR="00D93B36" w:rsidRPr="00F32B60">
        <w:rPr>
          <w:i/>
          <w:color w:val="538135" w:themeColor="accent6" w:themeShade="BF"/>
        </w:rPr>
        <w:t xml:space="preserve"> arī </w:t>
      </w:r>
      <w:r w:rsidRPr="00F32B60">
        <w:rPr>
          <w:i/>
          <w:color w:val="538135" w:themeColor="accent6" w:themeShade="BF"/>
        </w:rPr>
        <w:t xml:space="preserve"> attiecīgi CFLA, apliecinošus dokumentus, par kuriem uzskatāms ir bankas apstiprināts konkrētā norēķinu konta izraksts par veiktajām izmaksām.</w:t>
      </w:r>
    </w:p>
    <w:p w14:paraId="11B84521" w14:textId="77777777" w:rsidR="00B23656" w:rsidRPr="00964442" w:rsidRDefault="00B23656" w:rsidP="00175304">
      <w:pPr>
        <w:pStyle w:val="ListParagraph"/>
        <w:numPr>
          <w:ilvl w:val="0"/>
          <w:numId w:val="2"/>
        </w:numPr>
        <w:jc w:val="both"/>
      </w:pPr>
      <w:r w:rsidRPr="00964442">
        <w:t>Nepieciešamība veikt iepirkumu procedūru/cenu salīdzinājumu komandējumu izmaksām</w:t>
      </w:r>
    </w:p>
    <w:p w14:paraId="6540B7F6" w14:textId="24D45082" w:rsidR="00053F86" w:rsidRPr="00F32B60" w:rsidRDefault="00053F86" w:rsidP="00175304">
      <w:pPr>
        <w:jc w:val="both"/>
        <w:rPr>
          <w:i/>
          <w:color w:val="538135" w:themeColor="accent6" w:themeShade="BF"/>
        </w:rPr>
      </w:pPr>
      <w:r w:rsidRPr="00964442">
        <w:rPr>
          <w:i/>
          <w:color w:val="538135" w:themeColor="accent6" w:themeShade="BF"/>
        </w:rPr>
        <w:t xml:space="preserve">Atbilde: </w:t>
      </w:r>
      <w:r w:rsidR="00D93B36" w:rsidRPr="00964442">
        <w:rPr>
          <w:i/>
          <w:color w:val="538135" w:themeColor="accent6" w:themeShade="BF"/>
        </w:rPr>
        <w:t>Jā, ir nepieciešams veikt iepirkumu procedūru vai tirgus izpēti</w:t>
      </w:r>
      <w:r w:rsidR="00964442">
        <w:rPr>
          <w:i/>
          <w:color w:val="538135" w:themeColor="accent6" w:themeShade="BF"/>
        </w:rPr>
        <w:t xml:space="preserve"> </w:t>
      </w:r>
      <w:r w:rsidR="00D93B36" w:rsidRPr="00964442">
        <w:rPr>
          <w:i/>
          <w:color w:val="538135" w:themeColor="accent6" w:themeShade="BF"/>
        </w:rPr>
        <w:t xml:space="preserve">– cenu salīdzinājumu </w:t>
      </w:r>
      <w:r w:rsidR="00964442">
        <w:rPr>
          <w:i/>
          <w:color w:val="538135" w:themeColor="accent6" w:themeShade="BF"/>
        </w:rPr>
        <w:t xml:space="preserve">(atkarībā no pakalpojuma summas) </w:t>
      </w:r>
      <w:r w:rsidR="00D93B36" w:rsidRPr="00964442">
        <w:rPr>
          <w:i/>
          <w:color w:val="538135" w:themeColor="accent6" w:themeShade="BF"/>
        </w:rPr>
        <w:t>komandējuma izmaksām</w:t>
      </w:r>
      <w:r w:rsidR="00964442">
        <w:rPr>
          <w:i/>
          <w:color w:val="538135" w:themeColor="accent6" w:themeShade="BF"/>
        </w:rPr>
        <w:t xml:space="preserve"> (lidmašīnas biļetēm un viesnīcas pakalpojumiem)</w:t>
      </w:r>
      <w:r w:rsidR="00D93B36" w:rsidRPr="00964442">
        <w:rPr>
          <w:i/>
          <w:color w:val="538135" w:themeColor="accent6" w:themeShade="BF"/>
        </w:rPr>
        <w:t>. Minētās darbības ir jādokumentē</w:t>
      </w:r>
      <w:r w:rsidR="00964442">
        <w:rPr>
          <w:i/>
          <w:color w:val="538135" w:themeColor="accent6" w:themeShade="BF"/>
        </w:rPr>
        <w:t>,</w:t>
      </w:r>
      <w:r w:rsidR="00D93B36" w:rsidRPr="00964442">
        <w:rPr>
          <w:i/>
          <w:color w:val="538135" w:themeColor="accent6" w:themeShade="BF"/>
        </w:rPr>
        <w:t xml:space="preserve"> jāuzglabā pie projekta dokumentācijas</w:t>
      </w:r>
      <w:r w:rsidR="00964442">
        <w:rPr>
          <w:i/>
          <w:color w:val="538135" w:themeColor="accent6" w:themeShade="BF"/>
        </w:rPr>
        <w:t xml:space="preserve"> </w:t>
      </w:r>
      <w:r w:rsidR="00964442" w:rsidRPr="00B64969">
        <w:rPr>
          <w:i/>
          <w:color w:val="538135" w:themeColor="accent6" w:themeShade="BF"/>
        </w:rPr>
        <w:t>un jāvar uzrādīt pēc pieprasījuma</w:t>
      </w:r>
      <w:r w:rsidR="00964442">
        <w:rPr>
          <w:i/>
          <w:color w:val="538135" w:themeColor="accent6" w:themeShade="BF"/>
        </w:rPr>
        <w:t>.</w:t>
      </w:r>
    </w:p>
    <w:p w14:paraId="7EDE4250" w14:textId="77777777" w:rsidR="00B23656" w:rsidRDefault="00B23656" w:rsidP="00175304">
      <w:pPr>
        <w:pStyle w:val="ListParagraph"/>
        <w:numPr>
          <w:ilvl w:val="0"/>
          <w:numId w:val="2"/>
        </w:numPr>
        <w:jc w:val="both"/>
      </w:pPr>
      <w:r>
        <w:t xml:space="preserve">Apdrošināšanas izmaksu skaidrojums – kas attiecināms šajā pozīcijā? </w:t>
      </w:r>
    </w:p>
    <w:p w14:paraId="2FA2F11F" w14:textId="77777777" w:rsidR="00D93B36" w:rsidRPr="00F32B60" w:rsidRDefault="00D93B36" w:rsidP="00175304">
      <w:pPr>
        <w:jc w:val="both"/>
        <w:rPr>
          <w:i/>
          <w:color w:val="538135" w:themeColor="accent6" w:themeShade="BF"/>
        </w:rPr>
      </w:pPr>
      <w:r w:rsidRPr="00F32B60">
        <w:rPr>
          <w:i/>
          <w:color w:val="538135" w:themeColor="accent6" w:themeShade="BF"/>
        </w:rPr>
        <w:t>Atbilde: Apdrošināšanas izmaksas finansējuma saņēmējam un sadarbības partneriem var tikt attiecinātas, ja to nepieciešamību nosaka Latvijas Republikas normatīvie akti.</w:t>
      </w:r>
    </w:p>
    <w:p w14:paraId="1909080F" w14:textId="77777777" w:rsidR="00B23656" w:rsidRDefault="00B23656" w:rsidP="00175304">
      <w:pPr>
        <w:pStyle w:val="ListParagraph"/>
        <w:numPr>
          <w:ilvl w:val="0"/>
          <w:numId w:val="2"/>
        </w:numPr>
        <w:jc w:val="both"/>
      </w:pPr>
      <w:r>
        <w:t xml:space="preserve">Netiešās izmaksas pētījumu īstenotājiem – kā tās ir attiecināmas? </w:t>
      </w:r>
    </w:p>
    <w:p w14:paraId="0A86DA1B" w14:textId="77777777" w:rsidR="00D93B36" w:rsidRDefault="00D93B36" w:rsidP="00175304">
      <w:pPr>
        <w:pStyle w:val="ListParagraph"/>
        <w:jc w:val="both"/>
      </w:pPr>
    </w:p>
    <w:p w14:paraId="7269E930" w14:textId="00213F75" w:rsidR="00D93B36" w:rsidRPr="00F32B60" w:rsidRDefault="00D93B36" w:rsidP="00175304">
      <w:pPr>
        <w:jc w:val="both"/>
        <w:rPr>
          <w:i/>
          <w:color w:val="538135" w:themeColor="accent6" w:themeShade="BF"/>
        </w:rPr>
      </w:pPr>
      <w:r w:rsidRPr="00F32B60">
        <w:rPr>
          <w:i/>
          <w:color w:val="538135" w:themeColor="accent6" w:themeShade="BF"/>
        </w:rPr>
        <w:lastRenderedPageBreak/>
        <w:t>Atbilde: Saskaņā ar MKN Nr.2 sadarbības partneriem – pētījumu īstenotājiem netiešās izmaksas nav paredzētas. Saskaņā ar MKN Nr.2 30.1.3. apakšpunktu un 31.punktu finansējuma saņēmējam – kompetences centam ir attiecināmas netiešās izmaksas saskaņā ar vienotu izmaksu lik</w:t>
      </w:r>
      <w:r w:rsidR="009A32A1">
        <w:rPr>
          <w:i/>
          <w:color w:val="538135" w:themeColor="accent6" w:themeShade="BF"/>
        </w:rPr>
        <w:t>m</w:t>
      </w:r>
      <w:r w:rsidRPr="00F32B60">
        <w:rPr>
          <w:i/>
          <w:color w:val="538135" w:themeColor="accent6" w:themeShade="BF"/>
        </w:rPr>
        <w:t>i 15% apmērā no 30.1.2.2.apakšpunkt</w:t>
      </w:r>
      <w:r w:rsidR="00F32B60" w:rsidRPr="00F32B60">
        <w:rPr>
          <w:i/>
          <w:color w:val="538135" w:themeColor="accent6" w:themeShade="BF"/>
        </w:rPr>
        <w:t xml:space="preserve">ā norādītajām izmaksām. Netiešās </w:t>
      </w:r>
      <w:r w:rsidRPr="00F32B60">
        <w:rPr>
          <w:i/>
          <w:color w:val="538135" w:themeColor="accent6" w:themeShade="BF"/>
        </w:rPr>
        <w:t>izmaksas maksājuma pieprasījumā norāda kā vienu atsevišķu pozīciju</w:t>
      </w:r>
      <w:r w:rsidR="009A32A1">
        <w:rPr>
          <w:i/>
          <w:color w:val="538135" w:themeColor="accent6" w:themeShade="BF"/>
        </w:rPr>
        <w:t>,</w:t>
      </w:r>
      <w:r w:rsidR="00F32B60" w:rsidRPr="00F32B60">
        <w:rPr>
          <w:i/>
          <w:color w:val="538135" w:themeColor="accent6" w:themeShade="BF"/>
        </w:rPr>
        <w:t xml:space="preserve"> un </w:t>
      </w:r>
      <w:r w:rsidR="009A32A1">
        <w:rPr>
          <w:i/>
          <w:color w:val="538135" w:themeColor="accent6" w:themeShade="BF"/>
        </w:rPr>
        <w:t xml:space="preserve">tās </w:t>
      </w:r>
      <w:r w:rsidR="00F32B60" w:rsidRPr="00F32B60">
        <w:rPr>
          <w:i/>
          <w:color w:val="538135" w:themeColor="accent6" w:themeShade="BF"/>
        </w:rPr>
        <w:t>finansējuma saņēmēja finanšu grāmatvedībā nodalāmas atsevišķi no pārējām projekta izmaksām.</w:t>
      </w:r>
    </w:p>
    <w:p w14:paraId="6423DD28" w14:textId="77777777" w:rsidR="00B23656" w:rsidRDefault="002C5A58" w:rsidP="00175304">
      <w:pPr>
        <w:pStyle w:val="ListParagraph"/>
        <w:numPr>
          <w:ilvl w:val="0"/>
          <w:numId w:val="3"/>
        </w:numPr>
        <w:jc w:val="both"/>
      </w:pPr>
      <w:r>
        <w:t>Vai tiks uzskatīts, ka nosacījums ir izpildīts, ja partneri veikuši savstarpēju norēķinu, lai nodrošinātu projekta izmaksu sadalījumu. Piemēram, ja pētījumam nepieciešams ārpakalpojums, to pasūta un apmaksā viens no īstenotājiem un sadarbības partneris šim īstenotājam uz atbilstoša rēķina pamata samaksā vismaz 30% no šī līguma summas, lai izpildītu efektīvas sadarbības nosacījumu.</w:t>
      </w:r>
    </w:p>
    <w:p w14:paraId="4EE83826" w14:textId="77777777" w:rsidR="002C5A58" w:rsidRDefault="002C5A58" w:rsidP="00175304">
      <w:pPr>
        <w:jc w:val="both"/>
      </w:pPr>
    </w:p>
    <w:p w14:paraId="3DBEE3DE" w14:textId="77777777" w:rsidR="002C5A58" w:rsidRPr="009C4515" w:rsidRDefault="002C5A58" w:rsidP="00175304">
      <w:pPr>
        <w:jc w:val="both"/>
        <w:rPr>
          <w:i/>
          <w:color w:val="538135" w:themeColor="accent6" w:themeShade="BF"/>
        </w:rPr>
      </w:pPr>
      <w:r w:rsidRPr="009C4515">
        <w:rPr>
          <w:i/>
          <w:color w:val="538135" w:themeColor="accent6" w:themeShade="BF"/>
        </w:rPr>
        <w:t>Atbilde: Jā, jautāju</w:t>
      </w:r>
      <w:r w:rsidR="00B44DBC" w:rsidRPr="009C4515">
        <w:rPr>
          <w:i/>
          <w:color w:val="538135" w:themeColor="accent6" w:themeShade="BF"/>
        </w:rPr>
        <w:t>mā aprakstītā situācija atbilst</w:t>
      </w:r>
      <w:r w:rsidRPr="009C4515">
        <w:rPr>
          <w:i/>
          <w:color w:val="538135" w:themeColor="accent6" w:themeShade="BF"/>
        </w:rPr>
        <w:t xml:space="preserve"> MKN Nr.2 80.1.apakšpunkta prasībām un, pamatojoties uz to</w:t>
      </w:r>
      <w:r w:rsidR="00B44DBC" w:rsidRPr="009C4515">
        <w:rPr>
          <w:i/>
          <w:color w:val="538135" w:themeColor="accent6" w:themeShade="BF"/>
        </w:rPr>
        <w:t>,</w:t>
      </w:r>
      <w:r w:rsidRPr="009C4515">
        <w:rPr>
          <w:i/>
          <w:color w:val="538135" w:themeColor="accent6" w:themeShade="BF"/>
        </w:rPr>
        <w:t xml:space="preserve"> </w:t>
      </w:r>
      <w:r w:rsidR="00B44DBC" w:rsidRPr="009C4515">
        <w:rPr>
          <w:i/>
          <w:color w:val="538135" w:themeColor="accent6" w:themeShade="BF"/>
        </w:rPr>
        <w:t>finansējuma</w:t>
      </w:r>
      <w:r w:rsidRPr="009C4515">
        <w:rPr>
          <w:i/>
          <w:color w:val="538135" w:themeColor="accent6" w:themeShade="BF"/>
        </w:rPr>
        <w:t xml:space="preserve"> intensitāte </w:t>
      </w:r>
      <w:r w:rsidR="00B44DBC" w:rsidRPr="009C4515">
        <w:rPr>
          <w:i/>
          <w:color w:val="538135" w:themeColor="accent6" w:themeShade="BF"/>
        </w:rPr>
        <w:t xml:space="preserve">var tikt paaugstināta </w:t>
      </w:r>
      <w:r w:rsidRPr="009C4515">
        <w:rPr>
          <w:i/>
          <w:color w:val="538135" w:themeColor="accent6" w:themeShade="BF"/>
        </w:rPr>
        <w:t>atbilstoši MKN Nr.2 nosacījumiem.</w:t>
      </w:r>
    </w:p>
    <w:p w14:paraId="5F38A239" w14:textId="77777777" w:rsidR="002C5A58" w:rsidRPr="00F34E07" w:rsidRDefault="002C5A58" w:rsidP="00175304">
      <w:pPr>
        <w:jc w:val="both"/>
        <w:rPr>
          <w:i/>
          <w:color w:val="FF0000"/>
        </w:rPr>
      </w:pPr>
    </w:p>
    <w:p w14:paraId="1AB45819" w14:textId="168C0FC6" w:rsidR="002C5A58" w:rsidRDefault="002C5A58" w:rsidP="00175304">
      <w:pPr>
        <w:pStyle w:val="ListParagraph"/>
        <w:numPr>
          <w:ilvl w:val="0"/>
          <w:numId w:val="3"/>
        </w:numPr>
        <w:jc w:val="both"/>
      </w:pPr>
      <w:r>
        <w:t xml:space="preserve">Vai KP VIS sistēmu ir iespējams savienot ar finansējuma saņēmēja IT sistēmu, lai būtu iespēja importēt projekta datus? </w:t>
      </w:r>
    </w:p>
    <w:p w14:paraId="13A4866F" w14:textId="77777777" w:rsidR="00BE28FB" w:rsidRDefault="00BE28FB" w:rsidP="00175304">
      <w:pPr>
        <w:jc w:val="both"/>
      </w:pPr>
    </w:p>
    <w:p w14:paraId="29C61183" w14:textId="77777777" w:rsidR="00BE28FB" w:rsidRPr="009C4515" w:rsidRDefault="00BE28FB" w:rsidP="00175304">
      <w:pPr>
        <w:jc w:val="both"/>
        <w:rPr>
          <w:color w:val="538135" w:themeColor="accent6" w:themeShade="BF"/>
        </w:rPr>
      </w:pPr>
      <w:r w:rsidRPr="009C4515">
        <w:rPr>
          <w:color w:val="538135" w:themeColor="accent6" w:themeShade="BF"/>
        </w:rPr>
        <w:t>Atbilde: Primāri KP VIS ir jānodrošina funkcionalitāte, ko nosaka E</w:t>
      </w:r>
      <w:r w:rsidR="009A32A1" w:rsidRPr="009C4515">
        <w:rPr>
          <w:color w:val="538135" w:themeColor="accent6" w:themeShade="BF"/>
        </w:rPr>
        <w:t xml:space="preserve">iropas </w:t>
      </w:r>
      <w:r w:rsidRPr="009C4515">
        <w:rPr>
          <w:color w:val="538135" w:themeColor="accent6" w:themeShade="BF"/>
        </w:rPr>
        <w:t>S</w:t>
      </w:r>
      <w:r w:rsidR="009A32A1" w:rsidRPr="009C4515">
        <w:rPr>
          <w:color w:val="538135" w:themeColor="accent6" w:themeShade="BF"/>
        </w:rPr>
        <w:t>avienības</w:t>
      </w:r>
      <w:r w:rsidRPr="009C4515">
        <w:rPr>
          <w:color w:val="538135" w:themeColor="accent6" w:themeShade="BF"/>
        </w:rPr>
        <w:t xml:space="preserve"> un L</w:t>
      </w:r>
      <w:r w:rsidR="009A32A1" w:rsidRPr="009C4515">
        <w:rPr>
          <w:color w:val="538135" w:themeColor="accent6" w:themeShade="BF"/>
        </w:rPr>
        <w:t xml:space="preserve">atvijas </w:t>
      </w:r>
      <w:r w:rsidRPr="009C4515">
        <w:rPr>
          <w:color w:val="538135" w:themeColor="accent6" w:themeShade="BF"/>
        </w:rPr>
        <w:t>R</w:t>
      </w:r>
      <w:r w:rsidR="009A32A1" w:rsidRPr="009C4515">
        <w:rPr>
          <w:color w:val="538135" w:themeColor="accent6" w:themeShade="BF"/>
        </w:rPr>
        <w:t>epublikas</w:t>
      </w:r>
      <w:r w:rsidRPr="009C4515">
        <w:rPr>
          <w:color w:val="538135" w:themeColor="accent6" w:themeShade="BF"/>
        </w:rPr>
        <w:t xml:space="preserve"> normatīvie akti, t.sk. Komisijas deleģētās regulas Nr.480/2014 prasības. Pašlaik KP VIS sistēmu nav paredzēts savietot ar finansējuma saņēmējiem pieejamām sistēmām. Šobrīd klientiem viņu projektu administrēšanai ir paredzēta KPVIS e-vide, kur klients var ievadīt informāciju pakāpeniski. Pašlaik netiek izskatīta iespēja KPVIS veidot individuālus saslēgumus ar finansējuma saņēmēja lokālajām sistēmām, jo tā ir papildus funkcionalitāte, kas nav saistīta ar pamatprasību nodrošināšanu sistēmā.</w:t>
      </w:r>
    </w:p>
    <w:p w14:paraId="2E9AA97B" w14:textId="77777777" w:rsidR="002C5A58" w:rsidRDefault="002C5A58" w:rsidP="00175304">
      <w:pPr>
        <w:pStyle w:val="ListParagraph"/>
        <w:numPr>
          <w:ilvl w:val="0"/>
          <w:numId w:val="4"/>
        </w:numPr>
        <w:jc w:val="both"/>
      </w:pPr>
      <w:r>
        <w:t>Ja komersantam ir izveidojusies ilgstoša un veiksmīga sadarbība ar zinātnieku, vai ir iespējams to turpināt arī projekta (pētījuma) ietvaros?</w:t>
      </w:r>
    </w:p>
    <w:p w14:paraId="7E6493D2" w14:textId="77777777" w:rsidR="00986755" w:rsidRPr="009C4515" w:rsidRDefault="00986755" w:rsidP="00175304">
      <w:pPr>
        <w:jc w:val="both"/>
        <w:rPr>
          <w:i/>
          <w:color w:val="538135" w:themeColor="accent6" w:themeShade="BF"/>
        </w:rPr>
      </w:pPr>
      <w:r w:rsidRPr="009C4515">
        <w:rPr>
          <w:i/>
          <w:color w:val="538135" w:themeColor="accent6" w:themeShade="BF"/>
        </w:rPr>
        <w:t xml:space="preserve">Atbilde: Jā, var. Tomēr informējam, ka šādu kārtību sadarbības partneris var piemērot pakalpojumiem, kuru izmaksas </w:t>
      </w:r>
      <w:r w:rsidRPr="009C4515">
        <w:rPr>
          <w:b/>
          <w:i/>
          <w:color w:val="538135" w:themeColor="accent6" w:themeShade="BF"/>
        </w:rPr>
        <w:t>nepārsniedz</w:t>
      </w:r>
      <w:r w:rsidRPr="009C4515">
        <w:rPr>
          <w:i/>
          <w:color w:val="538135" w:themeColor="accent6" w:themeShade="BF"/>
        </w:rPr>
        <w:t xml:space="preserve"> MKN Nr.299 6.punktā </w:t>
      </w:r>
      <w:r w:rsidRPr="009C4515">
        <w:rPr>
          <w:b/>
          <w:i/>
          <w:color w:val="538135" w:themeColor="accent6" w:themeShade="BF"/>
        </w:rPr>
        <w:t>noteikto slieksni</w:t>
      </w:r>
      <w:r w:rsidRPr="009C4515">
        <w:rPr>
          <w:i/>
          <w:color w:val="538135" w:themeColor="accent6" w:themeShade="BF"/>
        </w:rPr>
        <w:t>. Ja piegādes vai pakalpojuma izmaksām, kas attiecināmas uz projektu, paredzamā līgumcena pārsniedz 70 000 EUR, tad saskaņā ar MKN Nr.299 4.nodaļu arī sadarbības partnerim ir jāpiemēro iepirkuma līguma slēgšanas tiesību piešķiršanas kārtība – faktiski jāpiemēro iepirkumu procedūra MKN Nr.299 izpratnē.</w:t>
      </w:r>
    </w:p>
    <w:p w14:paraId="7387CBB5" w14:textId="77777777" w:rsidR="00986755" w:rsidRPr="009C4515" w:rsidRDefault="00986755" w:rsidP="00175304">
      <w:pPr>
        <w:jc w:val="both"/>
        <w:rPr>
          <w:i/>
          <w:color w:val="538135" w:themeColor="accent6" w:themeShade="BF"/>
        </w:rPr>
      </w:pPr>
      <w:r w:rsidRPr="009C4515">
        <w:rPr>
          <w:i/>
          <w:color w:val="538135" w:themeColor="accent6" w:themeShade="BF"/>
        </w:rPr>
        <w:t xml:space="preserve">Norādām, ka saskaņā ar MKN Nr.2 40.punktu maksājuma pieprasījumā var iekļaut tikai tās izmaksas, kuras ir tieši saistītas ar projekta ietvaros veiktajām darbībām, un ir nosakāma un pierādāma to samērīgā cena, kas atbilst drošas finanšu vadības principiem. </w:t>
      </w:r>
    </w:p>
    <w:p w14:paraId="3B9ED8AA" w14:textId="77777777" w:rsidR="00986755" w:rsidRPr="009C4515" w:rsidRDefault="00986755" w:rsidP="00175304">
      <w:pPr>
        <w:jc w:val="both"/>
        <w:rPr>
          <w:i/>
          <w:color w:val="538135" w:themeColor="accent6" w:themeShade="BF"/>
        </w:rPr>
      </w:pPr>
      <w:r w:rsidRPr="009C4515">
        <w:rPr>
          <w:i/>
          <w:color w:val="538135" w:themeColor="accent6" w:themeShade="BF"/>
        </w:rPr>
        <w:t xml:space="preserve">Tas nozīmē, ka sadarbības partnerim ir jāspēj uzrādīt dokumenti, kas apliecina, ka pakalpojuma izmaksas ir samērīgas un atbilst pašreizējai tirgus situācijai. Minētie dokumenti ir jāuzglabā un jāvar uzrādīt pēc pieprasījuma. </w:t>
      </w:r>
    </w:p>
    <w:p w14:paraId="57EAB99D" w14:textId="77777777" w:rsidR="00986755" w:rsidRDefault="00986755" w:rsidP="00175304">
      <w:pPr>
        <w:pStyle w:val="ListParagraph"/>
        <w:jc w:val="both"/>
      </w:pPr>
    </w:p>
    <w:p w14:paraId="62DF9D4A" w14:textId="77777777" w:rsidR="002C5A58" w:rsidRDefault="002C5A58" w:rsidP="00175304">
      <w:pPr>
        <w:pStyle w:val="ListParagraph"/>
        <w:numPr>
          <w:ilvl w:val="0"/>
          <w:numId w:val="4"/>
        </w:numPr>
        <w:jc w:val="both"/>
      </w:pPr>
      <w:r>
        <w:lastRenderedPageBreak/>
        <w:t>Vai ir iespējams neveikt iepirkuma procedūru, ja komersants pamato cenu ar sadarbību ar konkrētu piegādātāju (piemēram, iepērk savai saimnieciskās darbības nodrošināšanai tik pat daudz izejvielu, kā tiks attiecināts uz projektu (pētījumu)?</w:t>
      </w:r>
    </w:p>
    <w:p w14:paraId="37A2173F" w14:textId="77777777" w:rsidR="00F34E07" w:rsidRPr="009C4515" w:rsidRDefault="00986755" w:rsidP="00175304">
      <w:pPr>
        <w:jc w:val="both"/>
        <w:rPr>
          <w:i/>
          <w:color w:val="538135" w:themeColor="accent6" w:themeShade="BF"/>
        </w:rPr>
      </w:pPr>
      <w:r w:rsidRPr="009C4515">
        <w:rPr>
          <w:i/>
          <w:color w:val="538135" w:themeColor="accent6" w:themeShade="BF"/>
        </w:rPr>
        <w:t>Atbilde:  Jā, šajā gadījumā ir iespējams neveikt iepirkumu procedūru</w:t>
      </w:r>
      <w:r w:rsidR="00140C28" w:rsidRPr="009C4515">
        <w:rPr>
          <w:i/>
          <w:color w:val="538135" w:themeColor="accent6" w:themeShade="BF"/>
        </w:rPr>
        <w:t xml:space="preserve"> MNK Nr.299 izp</w:t>
      </w:r>
      <w:r w:rsidR="003B5950" w:rsidRPr="009C4515">
        <w:rPr>
          <w:i/>
          <w:color w:val="538135" w:themeColor="accent6" w:themeShade="BF"/>
        </w:rPr>
        <w:t>ra</w:t>
      </w:r>
      <w:r w:rsidR="00140C28" w:rsidRPr="009C4515">
        <w:rPr>
          <w:i/>
          <w:color w:val="538135" w:themeColor="accent6" w:themeShade="BF"/>
        </w:rPr>
        <w:t>tnē</w:t>
      </w:r>
      <w:r w:rsidRPr="009C4515">
        <w:rPr>
          <w:i/>
          <w:color w:val="538135" w:themeColor="accent6" w:themeShade="BF"/>
        </w:rPr>
        <w:t xml:space="preserve">. Tomēr informējam, ka šādu kārtību sadarbības partneris var piemērot piegādēm, kuru izmaksas nepārsniedz MKN Nr.299 6.punktā noteikto slieksni. Ja piegādes vai pakalpojuma izmaksām, kas attiecināmas uz projektu, paredzamā līgumcena pārsniedz 70 000 EUR, tad saskaņā ar MKN Nr.299 4.nodaļu arī sadarbības partnerim ir jāpiemēro iepirkuma līguma slēgšanas tiesību piešķiršanas kārtība – faktiski jāpiemēro iepirkumu procedūra MKN Nr.299 izpratnē. </w:t>
      </w:r>
    </w:p>
    <w:p w14:paraId="3FC52D0D" w14:textId="623009CB" w:rsidR="00986755" w:rsidRPr="009C4515" w:rsidRDefault="00986755" w:rsidP="00175304">
      <w:pPr>
        <w:jc w:val="both"/>
        <w:rPr>
          <w:i/>
          <w:color w:val="538135" w:themeColor="accent6" w:themeShade="BF"/>
        </w:rPr>
      </w:pPr>
      <w:r w:rsidRPr="009C4515">
        <w:rPr>
          <w:i/>
          <w:color w:val="538135" w:themeColor="accent6" w:themeShade="BF"/>
        </w:rPr>
        <w:t xml:space="preserve">Papildus norādām, ka saskaņā ar MKN Nr.2 40.punktu maksājuma pieprasījumā var iekļaut tikai tās izmaksas, kuras ir tieši saistītas ar projekta ietvaros veiktajām darbībām, un ir nosakāma un pierādāma to samērīgā cena, kas atbilst drošas finanšu vadības principiem. </w:t>
      </w:r>
    </w:p>
    <w:p w14:paraId="0A5E141B" w14:textId="77777777" w:rsidR="00986755" w:rsidRPr="009C4515" w:rsidRDefault="00986755" w:rsidP="00175304">
      <w:pPr>
        <w:jc w:val="both"/>
        <w:rPr>
          <w:i/>
          <w:color w:val="538135" w:themeColor="accent6" w:themeShade="BF"/>
        </w:rPr>
      </w:pPr>
      <w:r w:rsidRPr="009C4515">
        <w:rPr>
          <w:i/>
          <w:color w:val="538135" w:themeColor="accent6" w:themeShade="BF"/>
        </w:rPr>
        <w:t>Tas nozīmē, ka sadarbības partnerim ir jāspēj uzrād</w:t>
      </w:r>
      <w:r w:rsidR="00316314" w:rsidRPr="009C4515">
        <w:rPr>
          <w:i/>
          <w:color w:val="538135" w:themeColor="accent6" w:themeShade="BF"/>
        </w:rPr>
        <w:t xml:space="preserve">īt dokumenti, kas apliecina, ka </w:t>
      </w:r>
      <w:r w:rsidRPr="009C4515">
        <w:rPr>
          <w:i/>
          <w:color w:val="538135" w:themeColor="accent6" w:themeShade="BF"/>
        </w:rPr>
        <w:t xml:space="preserve">izmaksas ir samērīgas un atbilst pašreizējai tirgus situācijai. Minētie dokumenti ir jāuzglabā un jāvar uzrādīt pēc pieprasījuma. </w:t>
      </w:r>
    </w:p>
    <w:p w14:paraId="5636151E" w14:textId="77777777" w:rsidR="002C5A58" w:rsidRDefault="002C5A58" w:rsidP="00175304">
      <w:pPr>
        <w:pStyle w:val="ListParagraph"/>
        <w:numPr>
          <w:ilvl w:val="0"/>
          <w:numId w:val="4"/>
        </w:numPr>
        <w:jc w:val="both"/>
      </w:pPr>
      <w:r>
        <w:t>Kā rīkoties gadījumā, ja projekta (pētījuma) īstenošanai ir nepieciešams piesaistīt zinātnieku ar tādu kvalifikāciju, kurai, iespējams, atbilst viens cilvēks Latvijā?</w:t>
      </w:r>
    </w:p>
    <w:p w14:paraId="73D4FA69" w14:textId="77777777" w:rsidR="00316314" w:rsidRPr="009C4515" w:rsidRDefault="00316314" w:rsidP="00175304">
      <w:pPr>
        <w:ind w:left="360"/>
        <w:jc w:val="both"/>
        <w:rPr>
          <w:i/>
          <w:color w:val="538135" w:themeColor="accent6" w:themeShade="BF"/>
        </w:rPr>
      </w:pPr>
      <w:r w:rsidRPr="009C4515">
        <w:rPr>
          <w:i/>
          <w:color w:val="538135" w:themeColor="accent6" w:themeShade="BF"/>
        </w:rPr>
        <w:t xml:space="preserve">Atbilde: Saskaņā ar MKN Nr.2 34.punktu finansējuma saņēmējs ir tiesīgs nepiemērot normatīvos aktus par iepirkumu procedūru un tās piemērošanas kārtību pasūtītāja finansētiem projektiem, ja tehnisku, māksliniecisku vai ar izņēmuma tiesību saistītu iemeslu dēļ līgumu var noslēgt vienīgi ar konkrētu piegādātāju vai pakalpojuma sniedzēju. </w:t>
      </w:r>
      <w:r w:rsidR="00A713C8" w:rsidRPr="009C4515">
        <w:rPr>
          <w:i/>
          <w:color w:val="538135" w:themeColor="accent6" w:themeShade="BF"/>
        </w:rPr>
        <w:t>Tomēr norādām, ka finansējuma saņēm</w:t>
      </w:r>
      <w:r w:rsidR="00F34E07" w:rsidRPr="009C4515">
        <w:rPr>
          <w:i/>
          <w:color w:val="538135" w:themeColor="accent6" w:themeShade="BF"/>
        </w:rPr>
        <w:t xml:space="preserve">ējam ir jāspēj pēc pieprasījuma </w:t>
      </w:r>
      <w:r w:rsidR="00A713C8" w:rsidRPr="009C4515">
        <w:rPr>
          <w:i/>
          <w:color w:val="538135" w:themeColor="accent6" w:themeShade="BF"/>
        </w:rPr>
        <w:t xml:space="preserve">uzrādīt dokumentus, kas apliecina izņēmuma tiesības </w:t>
      </w:r>
      <w:r w:rsidR="00F34E07" w:rsidRPr="009C4515">
        <w:rPr>
          <w:i/>
          <w:color w:val="538135" w:themeColor="accent6" w:themeShade="BF"/>
        </w:rPr>
        <w:t xml:space="preserve">vai faktu, ka līgumu ir iespējams noslēgt tikai ar vienu piegādātāju vai pakalpojuma sniedzēju, kas attiecīgi dod tiesības </w:t>
      </w:r>
      <w:r w:rsidR="00A713C8" w:rsidRPr="009C4515">
        <w:rPr>
          <w:i/>
          <w:color w:val="538135" w:themeColor="accent6" w:themeShade="BF"/>
        </w:rPr>
        <w:t>nepiemērot procedūru</w:t>
      </w:r>
      <w:r w:rsidR="00F34E07" w:rsidRPr="009C4515">
        <w:rPr>
          <w:i/>
          <w:color w:val="538135" w:themeColor="accent6" w:themeShade="BF"/>
        </w:rPr>
        <w:t xml:space="preserve">. </w:t>
      </w:r>
    </w:p>
    <w:p w14:paraId="4C97782B" w14:textId="77777777" w:rsidR="002C5A58" w:rsidRDefault="002C5A58" w:rsidP="00175304">
      <w:pPr>
        <w:pStyle w:val="ListParagraph"/>
        <w:numPr>
          <w:ilvl w:val="0"/>
          <w:numId w:val="4"/>
        </w:numPr>
        <w:jc w:val="both"/>
      </w:pPr>
      <w:r>
        <w:t>Vai ir iespējams, ka gadījumā, kad pārbaudot maksājuma pieprasījumu, ir konstatēts nodokļu parāds, CFLA pati sazinās ar VID vai veic aprēķinu par parāda neesamību?</w:t>
      </w:r>
    </w:p>
    <w:p w14:paraId="69E9E45B" w14:textId="77777777" w:rsidR="00F34E07" w:rsidRPr="009C4515" w:rsidRDefault="00C603E5" w:rsidP="00175304">
      <w:pPr>
        <w:ind w:left="360"/>
        <w:jc w:val="both"/>
        <w:rPr>
          <w:i/>
          <w:color w:val="538135" w:themeColor="accent6" w:themeShade="BF"/>
        </w:rPr>
      </w:pPr>
      <w:r w:rsidRPr="009C4515">
        <w:rPr>
          <w:i/>
          <w:color w:val="538135" w:themeColor="accent6" w:themeShade="BF"/>
        </w:rPr>
        <w:t xml:space="preserve">Atbilde:  </w:t>
      </w:r>
      <w:r w:rsidR="00937785" w:rsidRPr="009C4515">
        <w:rPr>
          <w:i/>
          <w:color w:val="538135" w:themeColor="accent6" w:themeShade="BF"/>
        </w:rPr>
        <w:t xml:space="preserve">Pārmaksāto nodokļu novirzīšanu citu nodokļu maksājumu veikšanai veic Valsts ieņēmumu dienests saskaņā ar </w:t>
      </w:r>
      <w:r w:rsidR="00F34E07" w:rsidRPr="009C4515">
        <w:rPr>
          <w:i/>
          <w:color w:val="538135" w:themeColor="accent6" w:themeShade="BF"/>
        </w:rPr>
        <w:t xml:space="preserve">tā </w:t>
      </w:r>
      <w:r w:rsidR="00937785" w:rsidRPr="009C4515">
        <w:rPr>
          <w:i/>
          <w:color w:val="538135" w:themeColor="accent6" w:themeShade="BF"/>
        </w:rPr>
        <w:t xml:space="preserve">noteikto kārtību, kas nosaka, ka nodokļu maksātājam pašam jāvēršas pie VID un jāveic noteiktās darbības, lai pārmaksātie nodokļi tiktu novirzīti citu nodokļu maksājumu veikšanai. </w:t>
      </w:r>
    </w:p>
    <w:p w14:paraId="4CEA75FD" w14:textId="77777777" w:rsidR="00937785" w:rsidRPr="009C4515" w:rsidRDefault="00937785" w:rsidP="00175304">
      <w:pPr>
        <w:ind w:left="360"/>
        <w:jc w:val="both"/>
        <w:rPr>
          <w:i/>
          <w:color w:val="538135" w:themeColor="accent6" w:themeShade="BF"/>
        </w:rPr>
      </w:pPr>
      <w:r w:rsidRPr="009C4515">
        <w:rPr>
          <w:i/>
          <w:color w:val="538135" w:themeColor="accent6" w:themeShade="BF"/>
        </w:rPr>
        <w:t xml:space="preserve">Nodokļu parāda neesamību CFLA pārbaudīs izmantojot VID administrēto nodokļu (nodevu) parādnieku datu bāzi, kas </w:t>
      </w:r>
      <w:r w:rsidR="00F17853" w:rsidRPr="009C4515">
        <w:rPr>
          <w:i/>
          <w:color w:val="538135" w:themeColor="accent6" w:themeShade="BF"/>
        </w:rPr>
        <w:t xml:space="preserve">ir </w:t>
      </w:r>
      <w:r w:rsidRPr="009C4515">
        <w:rPr>
          <w:i/>
          <w:color w:val="538135" w:themeColor="accent6" w:themeShade="BF"/>
        </w:rPr>
        <w:t>publiski pieejama</w:t>
      </w:r>
      <w:r w:rsidR="00F34E07" w:rsidRPr="009C4515">
        <w:rPr>
          <w:i/>
          <w:color w:val="538135" w:themeColor="accent6" w:themeShade="BF"/>
        </w:rPr>
        <w:t xml:space="preserve"> vai pamatojoties uz komersanta iesniegtu izdruku no EDS sistēmas par nodokļu nomaksu</w:t>
      </w:r>
      <w:r w:rsidR="00F17853" w:rsidRPr="009C4515">
        <w:rPr>
          <w:i/>
          <w:color w:val="538135" w:themeColor="accent6" w:themeShade="BF"/>
        </w:rPr>
        <w:t>.</w:t>
      </w:r>
    </w:p>
    <w:p w14:paraId="59BD3935" w14:textId="77777777" w:rsidR="00937785" w:rsidRDefault="00937785" w:rsidP="00175304">
      <w:pPr>
        <w:pStyle w:val="ListParagraph"/>
        <w:jc w:val="both"/>
      </w:pPr>
    </w:p>
    <w:p w14:paraId="4B489F56" w14:textId="306ED4E0" w:rsidR="002C5A58" w:rsidRDefault="00F34E07" w:rsidP="00175304">
      <w:pPr>
        <w:pStyle w:val="ListParagraph"/>
        <w:numPr>
          <w:ilvl w:val="0"/>
          <w:numId w:val="4"/>
        </w:numPr>
        <w:jc w:val="both"/>
      </w:pPr>
      <w:r>
        <w:t xml:space="preserve">Jautājums: </w:t>
      </w:r>
      <w:r w:rsidR="002C5A58">
        <w:t xml:space="preserve">Vai ir iespējams, ka komersanta maksātnespējas gadījumā CFLA vēršas pie attiecīgā sadarbības partnera, nevis atgūst līdzekļus no kompetences centra? </w:t>
      </w:r>
    </w:p>
    <w:p w14:paraId="3C159476" w14:textId="77777777" w:rsidR="00F17853" w:rsidRDefault="00F17853" w:rsidP="00175304">
      <w:pPr>
        <w:pStyle w:val="ListParagraph"/>
        <w:jc w:val="both"/>
      </w:pPr>
    </w:p>
    <w:p w14:paraId="22ED5420" w14:textId="26E95837" w:rsidR="003B5950" w:rsidRPr="009C4515" w:rsidRDefault="00F17853" w:rsidP="00175304">
      <w:pPr>
        <w:autoSpaceDE w:val="0"/>
        <w:autoSpaceDN w:val="0"/>
        <w:adjustRightInd w:val="0"/>
        <w:spacing w:after="0" w:line="240" w:lineRule="auto"/>
        <w:jc w:val="both"/>
        <w:rPr>
          <w:i/>
          <w:color w:val="538135" w:themeColor="accent6" w:themeShade="BF"/>
        </w:rPr>
      </w:pPr>
      <w:r w:rsidRPr="009C4515">
        <w:rPr>
          <w:i/>
          <w:color w:val="538135" w:themeColor="accent6" w:themeShade="BF"/>
        </w:rPr>
        <w:t>Atbilde:</w:t>
      </w:r>
      <w:r w:rsidR="00F34E07" w:rsidRPr="009C4515">
        <w:rPr>
          <w:i/>
          <w:color w:val="538135" w:themeColor="accent6" w:themeShade="BF"/>
          <w:sz w:val="24"/>
          <w:szCs w:val="24"/>
        </w:rPr>
        <w:t xml:space="preserve"> Skaidrojam, ka 1.2.1.1.pasākumam nav paredzēts </w:t>
      </w:r>
      <w:r w:rsidR="00F34E07" w:rsidRPr="009C4515">
        <w:rPr>
          <w:b/>
          <w:i/>
          <w:color w:val="538135" w:themeColor="accent6" w:themeShade="BF"/>
          <w:sz w:val="24"/>
          <w:szCs w:val="24"/>
          <w:u w:val="single"/>
        </w:rPr>
        <w:t>pēcuzraudzības periods</w:t>
      </w:r>
      <w:r w:rsidR="00F34E07" w:rsidRPr="009C4515">
        <w:rPr>
          <w:i/>
          <w:color w:val="538135" w:themeColor="accent6" w:themeShade="BF"/>
          <w:sz w:val="24"/>
          <w:szCs w:val="24"/>
        </w:rPr>
        <w:t>, līdz ar to minētā situācija ir aktuāla pētījuma īstenošanas laikā.  Norādām, ka finansējuma saņēmēja – kompetences centra pienākums pirms sadarbības partnera iesaistīšanas projektā</w:t>
      </w:r>
      <w:r w:rsidR="003B5950" w:rsidRPr="009C4515">
        <w:rPr>
          <w:i/>
          <w:color w:val="538135" w:themeColor="accent6" w:themeShade="BF"/>
          <w:sz w:val="24"/>
          <w:szCs w:val="24"/>
        </w:rPr>
        <w:t xml:space="preserve"> ir</w:t>
      </w:r>
      <w:r w:rsidR="00F34E07" w:rsidRPr="009C4515">
        <w:rPr>
          <w:i/>
          <w:color w:val="538135" w:themeColor="accent6" w:themeShade="BF"/>
          <w:sz w:val="24"/>
          <w:szCs w:val="24"/>
        </w:rPr>
        <w:t xml:space="preserve"> pārliecināties gan par uzņēmuma, gan pētījuma dzīvotspēju</w:t>
      </w:r>
      <w:r w:rsidR="00964442" w:rsidRPr="009C4515">
        <w:rPr>
          <w:i/>
          <w:color w:val="538135" w:themeColor="accent6" w:themeShade="BF"/>
          <w:sz w:val="24"/>
          <w:szCs w:val="24"/>
        </w:rPr>
        <w:t>,</w:t>
      </w:r>
      <w:r w:rsidR="00F34E07" w:rsidRPr="009C4515">
        <w:rPr>
          <w:i/>
          <w:color w:val="538135" w:themeColor="accent6" w:themeShade="BF"/>
          <w:sz w:val="24"/>
          <w:szCs w:val="24"/>
        </w:rPr>
        <w:t xml:space="preserve"> balstoties uz objektīviem un pārbaudāmiem finanšu un citiem datiem</w:t>
      </w:r>
      <w:r w:rsidR="003B5950" w:rsidRPr="009C4515">
        <w:rPr>
          <w:i/>
          <w:color w:val="538135" w:themeColor="accent6" w:themeShade="BF"/>
          <w:sz w:val="24"/>
          <w:szCs w:val="24"/>
        </w:rPr>
        <w:t xml:space="preserve">, </w:t>
      </w:r>
      <w:r w:rsidR="003B5950" w:rsidRPr="009C4515">
        <w:rPr>
          <w:i/>
          <w:color w:val="538135" w:themeColor="accent6" w:themeShade="BF"/>
        </w:rPr>
        <w:t>t.i. jāievēro drošas finanšu vadības principi un jāizvērtē visi iespējamie riski, kas attiecas uz</w:t>
      </w:r>
    </w:p>
    <w:p w14:paraId="05C120A0" w14:textId="77777777" w:rsidR="00964442" w:rsidRPr="009C4515" w:rsidRDefault="003B5950" w:rsidP="00175304">
      <w:pPr>
        <w:autoSpaceDE w:val="0"/>
        <w:autoSpaceDN w:val="0"/>
        <w:adjustRightInd w:val="0"/>
        <w:spacing w:after="0" w:line="240" w:lineRule="auto"/>
        <w:jc w:val="both"/>
        <w:rPr>
          <w:color w:val="538135" w:themeColor="accent6" w:themeShade="BF"/>
        </w:rPr>
      </w:pPr>
      <w:r w:rsidRPr="009C4515">
        <w:rPr>
          <w:i/>
          <w:color w:val="538135" w:themeColor="accent6" w:themeShade="BF"/>
        </w:rPr>
        <w:lastRenderedPageBreak/>
        <w:t xml:space="preserve">konkrēto </w:t>
      </w:r>
      <w:r w:rsidR="00964442" w:rsidRPr="009C4515">
        <w:rPr>
          <w:i/>
          <w:color w:val="538135" w:themeColor="accent6" w:themeShade="BF"/>
        </w:rPr>
        <w:t>sadarbības partneru, piemēram, vērtējot komersanta finanšu datus, reputāciju, kredītvēsturi, atbilstošas zināšanas un pieredzes konkrētā nozarē. Minēto kritēriju izvērtējums uzskatāms par vispārpieņemtu nozares praksi un atbilst drošas finanšu vadības principiem</w:t>
      </w:r>
      <w:r w:rsidR="00964442" w:rsidRPr="009C4515">
        <w:rPr>
          <w:rFonts w:ascii="Times New Roman" w:hAnsi="Times New Roman" w:cs="Times New Roman"/>
          <w:color w:val="538135" w:themeColor="accent6" w:themeShade="BF"/>
        </w:rPr>
        <w:t>.</w:t>
      </w:r>
    </w:p>
    <w:p w14:paraId="5D0D5B29" w14:textId="77777777" w:rsidR="003B5950" w:rsidRPr="009C4515" w:rsidRDefault="00964442" w:rsidP="00175304">
      <w:pPr>
        <w:jc w:val="both"/>
        <w:rPr>
          <w:i/>
          <w:color w:val="538135" w:themeColor="accent6" w:themeShade="BF"/>
        </w:rPr>
      </w:pPr>
      <w:r w:rsidRPr="009C4515">
        <w:rPr>
          <w:i/>
          <w:color w:val="538135" w:themeColor="accent6" w:themeShade="BF"/>
        </w:rPr>
        <w:t xml:space="preserve"> </w:t>
      </w:r>
    </w:p>
    <w:p w14:paraId="646F2735" w14:textId="77777777" w:rsidR="00F34E07" w:rsidRPr="009C4515" w:rsidRDefault="00F34E07" w:rsidP="00175304">
      <w:pPr>
        <w:spacing w:after="0" w:line="240" w:lineRule="auto"/>
        <w:ind w:firstLine="720"/>
        <w:jc w:val="both"/>
        <w:rPr>
          <w:i/>
          <w:color w:val="538135" w:themeColor="accent6" w:themeShade="BF"/>
          <w:sz w:val="24"/>
          <w:szCs w:val="24"/>
        </w:rPr>
      </w:pPr>
      <w:r w:rsidRPr="009C4515">
        <w:rPr>
          <w:i/>
          <w:color w:val="538135" w:themeColor="accent6" w:themeShade="BF"/>
          <w:sz w:val="24"/>
          <w:szCs w:val="24"/>
          <w:shd w:val="clear" w:color="auto" w:fill="FFFFFF"/>
        </w:rPr>
        <w:t xml:space="preserve">Turklāt </w:t>
      </w:r>
      <w:r w:rsidRPr="009C4515">
        <w:rPr>
          <w:i/>
          <w:color w:val="538135" w:themeColor="accent6" w:themeShade="BF"/>
          <w:sz w:val="24"/>
          <w:szCs w:val="24"/>
        </w:rPr>
        <w:t xml:space="preserve">MKN Nr.2 30.1.2.apakšpunkts paredz segt kompetences centra tiešās attiecināmās izmaksas, tostarp arī kompetences centra projekta vadības izmaksas par projekta ietvaros veicamo darbību plānošanu, koordinēšanu un </w:t>
      </w:r>
      <w:r w:rsidRPr="009C4515">
        <w:rPr>
          <w:b/>
          <w:i/>
          <w:color w:val="538135" w:themeColor="accent6" w:themeShade="BF"/>
          <w:sz w:val="24"/>
          <w:szCs w:val="24"/>
          <w:u w:val="single"/>
        </w:rPr>
        <w:t>kontroli</w:t>
      </w:r>
      <w:r w:rsidRPr="009C4515">
        <w:rPr>
          <w:i/>
          <w:color w:val="538135" w:themeColor="accent6" w:themeShade="BF"/>
          <w:sz w:val="24"/>
          <w:szCs w:val="24"/>
        </w:rPr>
        <w:t xml:space="preserve">, tai skaitā arī izmaksas par projekta dokumentācijas nodrošināšanu atbilstoši Eiropas Savienības un nacionālā līmeņa tiesību aktos noteiktajām prasībām, projekta iepirkumu organizēšanu un </w:t>
      </w:r>
      <w:r w:rsidRPr="009C4515">
        <w:rPr>
          <w:b/>
          <w:i/>
          <w:color w:val="538135" w:themeColor="accent6" w:themeShade="BF"/>
          <w:sz w:val="24"/>
          <w:szCs w:val="24"/>
          <w:u w:val="single"/>
        </w:rPr>
        <w:t>kontroli</w:t>
      </w:r>
      <w:r w:rsidRPr="009C4515">
        <w:rPr>
          <w:i/>
          <w:color w:val="538135" w:themeColor="accent6" w:themeShade="BF"/>
          <w:sz w:val="24"/>
          <w:szCs w:val="24"/>
        </w:rPr>
        <w:t>.</w:t>
      </w:r>
    </w:p>
    <w:p w14:paraId="17400B00" w14:textId="77777777" w:rsidR="00F34E07" w:rsidRPr="009C4515" w:rsidRDefault="00F34E07" w:rsidP="00175304">
      <w:pPr>
        <w:spacing w:after="0" w:line="240" w:lineRule="auto"/>
        <w:ind w:firstLine="720"/>
        <w:jc w:val="both"/>
        <w:rPr>
          <w:i/>
          <w:color w:val="538135" w:themeColor="accent6" w:themeShade="BF"/>
        </w:rPr>
      </w:pPr>
    </w:p>
    <w:p w14:paraId="0EF2C450" w14:textId="77777777" w:rsidR="00F17853" w:rsidRPr="009C4515" w:rsidRDefault="00F17853" w:rsidP="00175304">
      <w:pPr>
        <w:spacing w:after="0" w:line="240" w:lineRule="auto"/>
        <w:ind w:firstLine="720"/>
        <w:jc w:val="both"/>
        <w:rPr>
          <w:i/>
          <w:color w:val="538135" w:themeColor="accent6" w:themeShade="BF"/>
          <w:sz w:val="24"/>
          <w:szCs w:val="24"/>
          <w:shd w:val="clear" w:color="auto" w:fill="FFFFFF"/>
        </w:rPr>
      </w:pPr>
      <w:r w:rsidRPr="009C4515">
        <w:rPr>
          <w:i/>
          <w:color w:val="538135" w:themeColor="accent6" w:themeShade="BF"/>
        </w:rPr>
        <w:t xml:space="preserve"> </w:t>
      </w:r>
      <w:r w:rsidR="00F34E07" w:rsidRPr="009C4515">
        <w:rPr>
          <w:i/>
          <w:color w:val="538135" w:themeColor="accent6" w:themeShade="BF"/>
        </w:rPr>
        <w:t>Papildus s</w:t>
      </w:r>
      <w:r w:rsidRPr="009C4515">
        <w:rPr>
          <w:i/>
          <w:color w:val="538135" w:themeColor="accent6" w:themeShade="BF"/>
          <w:sz w:val="24"/>
          <w:szCs w:val="24"/>
          <w:shd w:val="clear" w:color="auto" w:fill="FFFFFF"/>
        </w:rPr>
        <w:t xml:space="preserve">kaidrojam, ka </w:t>
      </w:r>
      <w:r w:rsidRPr="009C4515">
        <w:rPr>
          <w:i/>
          <w:color w:val="538135" w:themeColor="accent6" w:themeShade="BF"/>
          <w:sz w:val="24"/>
          <w:szCs w:val="24"/>
        </w:rPr>
        <w:t xml:space="preserve">Eiropas Savienības struktūrfondu un Kohēzijas fonda 2014.-2020.gada plānošanas perioda vadības likuma (turpmāk – likums) 31.pants nosaka, ka </w:t>
      </w:r>
      <w:r w:rsidRPr="009C4515">
        <w:rPr>
          <w:i/>
          <w:color w:val="538135" w:themeColor="accent6" w:themeShade="BF"/>
          <w:sz w:val="24"/>
          <w:szCs w:val="24"/>
          <w:shd w:val="clear" w:color="auto" w:fill="FFFFFF"/>
        </w:rPr>
        <w:t xml:space="preserve">strīdus, kas attiecas uz līguma par projekta īstenošanu izpildi, tai skaitā piešķirto finanšu līdzekļu izmaksāšanu, izmaksāšanas turpināšanu vai atgūšanu, risina civiltiesiskā kārtībā un saskaņā ar Civillikuma 1519.panta otro daļu divpusējs līgums, kas šajā gadījumā tiks noslēgts starp CFLA un finansējuma saņēmēju, nav saistošs trešajai personai, par kādu šajā gadījumā uzskatāms sadarbības partneris.  </w:t>
      </w:r>
      <w:r w:rsidR="00F34E07" w:rsidRPr="009C4515">
        <w:rPr>
          <w:i/>
          <w:color w:val="538135" w:themeColor="accent6" w:themeShade="BF"/>
          <w:sz w:val="24"/>
          <w:szCs w:val="24"/>
          <w:shd w:val="clear" w:color="auto" w:fill="FFFFFF"/>
        </w:rPr>
        <w:t>Līdz ar to CFLA nav juridisku tiesību vērsties pie sadarbības partnera ar jebkādām finansiālā</w:t>
      </w:r>
      <w:r w:rsidR="00964442" w:rsidRPr="009C4515">
        <w:rPr>
          <w:i/>
          <w:color w:val="538135" w:themeColor="accent6" w:themeShade="BF"/>
          <w:sz w:val="24"/>
          <w:szCs w:val="24"/>
          <w:shd w:val="clear" w:color="auto" w:fill="FFFFFF"/>
        </w:rPr>
        <w:t>m</w:t>
      </w:r>
      <w:r w:rsidR="00F34E07" w:rsidRPr="009C4515">
        <w:rPr>
          <w:i/>
          <w:color w:val="538135" w:themeColor="accent6" w:themeShade="BF"/>
          <w:sz w:val="24"/>
          <w:szCs w:val="24"/>
          <w:shd w:val="clear" w:color="auto" w:fill="FFFFFF"/>
        </w:rPr>
        <w:t xml:space="preserve"> prasībām.</w:t>
      </w:r>
    </w:p>
    <w:p w14:paraId="1261E537" w14:textId="77777777" w:rsidR="00F17853" w:rsidRPr="00F34E07" w:rsidRDefault="00F17853" w:rsidP="00175304">
      <w:pPr>
        <w:spacing w:after="0" w:line="240" w:lineRule="auto"/>
        <w:ind w:firstLine="720"/>
        <w:jc w:val="both"/>
        <w:rPr>
          <w:i/>
          <w:color w:val="FF0000"/>
          <w:sz w:val="24"/>
          <w:szCs w:val="24"/>
          <w:shd w:val="clear" w:color="auto" w:fill="FFFFFF"/>
        </w:rPr>
      </w:pPr>
    </w:p>
    <w:p w14:paraId="50A332A4" w14:textId="77777777" w:rsidR="00F17853" w:rsidRPr="00F34E07" w:rsidRDefault="00F17853" w:rsidP="00175304">
      <w:pPr>
        <w:spacing w:after="0" w:line="240" w:lineRule="auto"/>
        <w:ind w:firstLine="720"/>
        <w:jc w:val="both"/>
        <w:rPr>
          <w:i/>
          <w:color w:val="FF0000"/>
          <w:sz w:val="24"/>
          <w:szCs w:val="24"/>
          <w:shd w:val="clear" w:color="auto" w:fill="FFFFFF"/>
        </w:rPr>
      </w:pPr>
      <w:r w:rsidRPr="00F34E07">
        <w:rPr>
          <w:i/>
          <w:color w:val="FF0000"/>
          <w:sz w:val="24"/>
          <w:szCs w:val="24"/>
          <w:shd w:val="clear" w:color="auto" w:fill="FFFFFF"/>
        </w:rPr>
        <w:t xml:space="preserve"> </w:t>
      </w:r>
    </w:p>
    <w:p w14:paraId="556661D7" w14:textId="77777777" w:rsidR="0091669F" w:rsidRPr="00294AF2" w:rsidRDefault="0091669F" w:rsidP="00294AF2">
      <w:pPr>
        <w:pStyle w:val="ListParagraph"/>
        <w:numPr>
          <w:ilvl w:val="0"/>
          <w:numId w:val="8"/>
        </w:numPr>
        <w:jc w:val="both"/>
      </w:pPr>
      <w:r w:rsidRPr="00294AF2">
        <w:t>Vai iepirkumu dokumentāciju ir iespējams iesniegt CFLA e-sistēmā?</w:t>
      </w:r>
    </w:p>
    <w:p w14:paraId="306016C1" w14:textId="457B35FC" w:rsidR="007A77B4" w:rsidRPr="00294AF2" w:rsidRDefault="007A77B4" w:rsidP="00294AF2">
      <w:pPr>
        <w:jc w:val="both"/>
        <w:rPr>
          <w:i/>
          <w:color w:val="538135" w:themeColor="accent6" w:themeShade="BF"/>
        </w:rPr>
      </w:pPr>
      <w:r w:rsidRPr="00294AF2">
        <w:rPr>
          <w:i/>
          <w:color w:val="538135" w:themeColor="accent6" w:themeShade="BF"/>
        </w:rPr>
        <w:t>Atbilde:  Jā, iepirkumu dokumentāciju ir iespējams iesniegt KP VIS sistēmā, izmantojot sadaļu “Sarakste”.</w:t>
      </w:r>
    </w:p>
    <w:p w14:paraId="53C44581" w14:textId="77777777" w:rsidR="0091669F" w:rsidRPr="00294AF2" w:rsidRDefault="0091669F" w:rsidP="00294AF2">
      <w:pPr>
        <w:pStyle w:val="ListParagraph"/>
        <w:numPr>
          <w:ilvl w:val="0"/>
          <w:numId w:val="8"/>
        </w:numPr>
        <w:jc w:val="both"/>
      </w:pPr>
      <w:r w:rsidRPr="00294AF2">
        <w:t xml:space="preserve">Iepriekš LIAA pārskatīja e-pastos nosūtītās specifikācijas un sniedza savu atzinumu e-pastā (iesniedzām TS bez paraksta, Word formātā). Vai CFLA saskaņos specifikācijas līdzīgi vai caurskatīs tikai pēc oficiālas iesniegšanas? </w:t>
      </w:r>
    </w:p>
    <w:p w14:paraId="7DBA28E3" w14:textId="77777777" w:rsidR="003308AD" w:rsidRPr="003308AD" w:rsidRDefault="003308AD" w:rsidP="003308AD">
      <w:pPr>
        <w:jc w:val="both"/>
        <w:rPr>
          <w:i/>
          <w:iCs/>
          <w:color w:val="538135" w:themeColor="accent6" w:themeShade="BF"/>
        </w:rPr>
      </w:pPr>
      <w:r w:rsidRPr="003308AD">
        <w:rPr>
          <w:i/>
          <w:iCs/>
          <w:color w:val="538135" w:themeColor="accent6" w:themeShade="BF"/>
        </w:rPr>
        <w:t>Atbilde: Savstarpējai saziņai, kā arī komunikācijas ātrākai apritei, t.sk. iepirkumu dokumentāciju un tehnisko specifikāciju nosūtīšanai CFLA, aicinām izmanto KP VIS sadaļu ”Sarakste” vai arī e-pastu. Atzinumus par iesniegto iepirkumu un tās norises dokumentāciju, arī e-pastā iesniegto, CFLA sniegs ar oficiālu dokumentu.</w:t>
      </w:r>
    </w:p>
    <w:p w14:paraId="69BF7BA8" w14:textId="77777777" w:rsidR="003308AD" w:rsidRPr="003308AD" w:rsidRDefault="003308AD" w:rsidP="003308AD">
      <w:pPr>
        <w:jc w:val="both"/>
        <w:rPr>
          <w:i/>
          <w:iCs/>
          <w:color w:val="538135" w:themeColor="accent6" w:themeShade="BF"/>
        </w:rPr>
      </w:pPr>
      <w:r w:rsidRPr="003308AD">
        <w:rPr>
          <w:i/>
          <w:iCs/>
          <w:color w:val="538135" w:themeColor="accent6" w:themeShade="BF"/>
        </w:rPr>
        <w:t xml:space="preserve">Papildus tam bez CFLA oficiālā saskaņojuma, </w:t>
      </w:r>
      <w:r w:rsidRPr="003308AD">
        <w:rPr>
          <w:i/>
          <w:iCs/>
          <w:color w:val="538135" w:themeColor="accent6" w:themeShade="BF"/>
          <w:u w:val="single"/>
        </w:rPr>
        <w:t>atsevišķi vienojoties ar projektu vadītāju</w:t>
      </w:r>
      <w:r w:rsidRPr="003308AD">
        <w:rPr>
          <w:i/>
          <w:iCs/>
          <w:color w:val="538135" w:themeColor="accent6" w:themeShade="BF"/>
        </w:rPr>
        <w:t>, ir iespējams iesniegt projekta dokumentāciju elektroniski un saņemt konsultāciju par dokumentu nepilnībām.</w:t>
      </w:r>
    </w:p>
    <w:p w14:paraId="71F7CB26" w14:textId="77777777" w:rsidR="003308AD" w:rsidRPr="003308AD" w:rsidRDefault="003308AD" w:rsidP="003308AD">
      <w:pPr>
        <w:pStyle w:val="ListParagraph"/>
        <w:numPr>
          <w:ilvl w:val="0"/>
          <w:numId w:val="9"/>
        </w:numPr>
        <w:jc w:val="both"/>
      </w:pPr>
      <w:r w:rsidRPr="003308AD">
        <w:t xml:space="preserve">Vai veikto iepirkumu dokumentācija jāiesniedz noteiktā laikā pēc procedūras veikšanai vai arī jāiesniedz kopā ar maksājuma pieprasījumu? </w:t>
      </w:r>
    </w:p>
    <w:p w14:paraId="4A3958F4" w14:textId="77777777" w:rsidR="003308AD" w:rsidRPr="003308AD" w:rsidRDefault="003308AD" w:rsidP="003308AD">
      <w:pPr>
        <w:jc w:val="both"/>
        <w:rPr>
          <w:i/>
          <w:iCs/>
          <w:color w:val="538135" w:themeColor="accent6" w:themeShade="BF"/>
        </w:rPr>
      </w:pPr>
      <w:r w:rsidRPr="003308AD">
        <w:rPr>
          <w:i/>
          <w:iCs/>
          <w:color w:val="538135" w:themeColor="accent6" w:themeShade="BF"/>
        </w:rPr>
        <w:t xml:space="preserve">Atbilde: Informējam, ka pastāv divu veidu pārbaudes: </w:t>
      </w:r>
    </w:p>
    <w:p w14:paraId="15167511" w14:textId="7D1C80D1" w:rsidR="003308AD" w:rsidRPr="003308AD" w:rsidRDefault="003308AD" w:rsidP="003308AD">
      <w:pPr>
        <w:pStyle w:val="ListParagraph"/>
        <w:numPr>
          <w:ilvl w:val="0"/>
          <w:numId w:val="10"/>
        </w:numPr>
        <w:jc w:val="both"/>
        <w:rPr>
          <w:i/>
          <w:iCs/>
          <w:color w:val="538135" w:themeColor="accent6" w:themeShade="BF"/>
        </w:rPr>
      </w:pPr>
      <w:r w:rsidRPr="003308AD">
        <w:rPr>
          <w:i/>
          <w:iCs/>
          <w:color w:val="538135" w:themeColor="accent6" w:themeShade="BF"/>
          <w:u w:val="single"/>
        </w:rPr>
        <w:t>iepirkumu pirmspārbaudes - t</w:t>
      </w:r>
      <w:r w:rsidRPr="003308AD">
        <w:rPr>
          <w:i/>
          <w:iCs/>
          <w:color w:val="538135" w:themeColor="accent6" w:themeShade="BF"/>
        </w:rPr>
        <w:t xml:space="preserve">o  apjomu CFLA nosaka pēc finansējuma saņēmēja iesniegtā Iepirkuma plāna. CFLA atsevišķi informē finansējuma saņēmēju, kādas iepirkumu procedūras ir iekļautas iepirkumu pirmspārbaudēs. Iepirkumu dokumentācija pirmspārbaudei jāiesniedz vai nu pirms ir izsludināts iepirkums Iepirkumu uzraudzības biroja (turpmāk – IUB) mājas lapā vai dažu dienu laikā pēc iepirkuma izsludināšanas IUB mājas lapā. Savukārt iepirkumu norises dokumentācija jāiesniedz pēc lēmuma par līguma slēgšanas tiesību piešķiršanu, tomēr pirms ir noslēgts iepirkuma līgums. </w:t>
      </w:r>
      <w:r w:rsidRPr="003308AD">
        <w:rPr>
          <w:i/>
          <w:iCs/>
          <w:color w:val="538135" w:themeColor="accent6" w:themeShade="BF"/>
        </w:rPr>
        <w:lastRenderedPageBreak/>
        <w:t xml:space="preserve">Papildus vēršam uzmanību, ka MKN Nr.299 neparedz iespēju veikt labojumus iepirkuma dokumentācijā pēc </w:t>
      </w:r>
      <w:r>
        <w:rPr>
          <w:i/>
          <w:iCs/>
          <w:color w:val="538135" w:themeColor="accent6" w:themeShade="BF"/>
        </w:rPr>
        <w:t>iep</w:t>
      </w:r>
      <w:r w:rsidRPr="003308AD">
        <w:rPr>
          <w:i/>
          <w:iCs/>
          <w:color w:val="538135" w:themeColor="accent6" w:themeShade="BF"/>
        </w:rPr>
        <w:t>i</w:t>
      </w:r>
      <w:r>
        <w:rPr>
          <w:i/>
          <w:iCs/>
          <w:color w:val="538135" w:themeColor="accent6" w:themeShade="BF"/>
        </w:rPr>
        <w:t>r</w:t>
      </w:r>
      <w:r w:rsidRPr="003308AD">
        <w:rPr>
          <w:i/>
          <w:iCs/>
          <w:color w:val="538135" w:themeColor="accent6" w:themeShade="BF"/>
        </w:rPr>
        <w:t xml:space="preserve">kuma izsludināšanas IUB mājas lapā. </w:t>
      </w:r>
    </w:p>
    <w:p w14:paraId="1995BA49" w14:textId="2212A9D0" w:rsidR="003308AD" w:rsidRPr="003308AD" w:rsidRDefault="003308AD" w:rsidP="003308AD">
      <w:pPr>
        <w:pStyle w:val="ListParagraph"/>
        <w:numPr>
          <w:ilvl w:val="0"/>
          <w:numId w:val="10"/>
        </w:numPr>
        <w:jc w:val="both"/>
        <w:rPr>
          <w:i/>
          <w:iCs/>
          <w:color w:val="538135" w:themeColor="accent6" w:themeShade="BF"/>
        </w:rPr>
      </w:pPr>
      <w:r w:rsidRPr="003308AD">
        <w:rPr>
          <w:i/>
          <w:iCs/>
          <w:color w:val="538135" w:themeColor="accent6" w:themeShade="BF"/>
          <w:u w:val="single"/>
        </w:rPr>
        <w:t>pārbaudes pie maksājuma pieprasījuma</w:t>
      </w:r>
      <w:r w:rsidRPr="003308AD">
        <w:rPr>
          <w:i/>
          <w:iCs/>
          <w:color w:val="538135" w:themeColor="accent6" w:themeShade="BF"/>
        </w:rPr>
        <w:t xml:space="preserve"> - iepirkumi, kas nav iekļauti iepirkumu pirmspārbaudēs, izlases kārtībā var tikt pārbaudīti pie maksājuma pieprasījuma. Šajā gadījumā iepirkumu procedūras un tās norises dokumentācija jāiesniedz pēc pieprasījuma maksājuma pieprasījuma pārbaudes procesa ietvaros.</w:t>
      </w:r>
    </w:p>
    <w:p w14:paraId="200F541F" w14:textId="77777777" w:rsidR="002C5A58" w:rsidRPr="00294AF2" w:rsidRDefault="002C5A58" w:rsidP="003308AD">
      <w:pPr>
        <w:jc w:val="both"/>
        <w:rPr>
          <w:i/>
          <w:color w:val="538135" w:themeColor="accent6" w:themeShade="BF"/>
        </w:rPr>
      </w:pPr>
    </w:p>
    <w:sectPr w:rsidR="002C5A58" w:rsidRPr="00294AF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5F7AD" w14:textId="77777777" w:rsidR="00294AF2" w:rsidRDefault="00294AF2" w:rsidP="00F17853">
      <w:pPr>
        <w:spacing w:after="0" w:line="240" w:lineRule="auto"/>
      </w:pPr>
      <w:r>
        <w:separator/>
      </w:r>
    </w:p>
  </w:endnote>
  <w:endnote w:type="continuationSeparator" w:id="0">
    <w:p w14:paraId="0EFCB569" w14:textId="77777777" w:rsidR="00294AF2" w:rsidRDefault="00294AF2" w:rsidP="00F1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C331E" w14:textId="77777777" w:rsidR="00294AF2" w:rsidRDefault="00294AF2" w:rsidP="00F17853">
      <w:pPr>
        <w:spacing w:after="0" w:line="240" w:lineRule="auto"/>
      </w:pPr>
      <w:r>
        <w:separator/>
      </w:r>
    </w:p>
  </w:footnote>
  <w:footnote w:type="continuationSeparator" w:id="0">
    <w:p w14:paraId="67EF56EC" w14:textId="77777777" w:rsidR="00294AF2" w:rsidRDefault="00294AF2" w:rsidP="00F17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755A1"/>
    <w:multiLevelType w:val="hybridMultilevel"/>
    <w:tmpl w:val="987660FC"/>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 w15:restartNumberingAfterBreak="0">
    <w:nsid w:val="07A5011A"/>
    <w:multiLevelType w:val="hybridMultilevel"/>
    <w:tmpl w:val="E12E65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A5512A"/>
    <w:multiLevelType w:val="hybridMultilevel"/>
    <w:tmpl w:val="09345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BE09CC"/>
    <w:multiLevelType w:val="hybridMultilevel"/>
    <w:tmpl w:val="CB8EA2F8"/>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79F040E"/>
    <w:multiLevelType w:val="hybridMultilevel"/>
    <w:tmpl w:val="68260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8226AD"/>
    <w:multiLevelType w:val="multilevel"/>
    <w:tmpl w:val="E572C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9850F9"/>
    <w:multiLevelType w:val="hybridMultilevel"/>
    <w:tmpl w:val="27F40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B0B42EE"/>
    <w:multiLevelType w:val="hybridMultilevel"/>
    <w:tmpl w:val="C11CC202"/>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3"/>
  </w:num>
  <w:num w:numId="7">
    <w:abstractNumId w:val="1"/>
  </w:num>
  <w:num w:numId="8">
    <w:abstractNumId w:val="6"/>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56"/>
    <w:rsid w:val="00053F86"/>
    <w:rsid w:val="00055C2F"/>
    <w:rsid w:val="000C736B"/>
    <w:rsid w:val="00140C28"/>
    <w:rsid w:val="00175304"/>
    <w:rsid w:val="00294AF2"/>
    <w:rsid w:val="002C5A58"/>
    <w:rsid w:val="00316314"/>
    <w:rsid w:val="003308AD"/>
    <w:rsid w:val="003B5950"/>
    <w:rsid w:val="00783A23"/>
    <w:rsid w:val="007A77B4"/>
    <w:rsid w:val="00876865"/>
    <w:rsid w:val="00906F03"/>
    <w:rsid w:val="009137D3"/>
    <w:rsid w:val="0091669F"/>
    <w:rsid w:val="00937785"/>
    <w:rsid w:val="009507A7"/>
    <w:rsid w:val="00964442"/>
    <w:rsid w:val="00986755"/>
    <w:rsid w:val="009A32A1"/>
    <w:rsid w:val="009C4515"/>
    <w:rsid w:val="009E0C6C"/>
    <w:rsid w:val="00A713C8"/>
    <w:rsid w:val="00B23656"/>
    <w:rsid w:val="00B44DBC"/>
    <w:rsid w:val="00B64969"/>
    <w:rsid w:val="00B929F2"/>
    <w:rsid w:val="00BE28FB"/>
    <w:rsid w:val="00C603E5"/>
    <w:rsid w:val="00D25E95"/>
    <w:rsid w:val="00D93B36"/>
    <w:rsid w:val="00DC6078"/>
    <w:rsid w:val="00DF5548"/>
    <w:rsid w:val="00ED47AA"/>
    <w:rsid w:val="00F17853"/>
    <w:rsid w:val="00F32B60"/>
    <w:rsid w:val="00F34E07"/>
    <w:rsid w:val="00F530D8"/>
    <w:rsid w:val="00F9623E"/>
    <w:rsid w:val="00FB1195"/>
    <w:rsid w:val="00FD0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68A2"/>
  <w15:chartTrackingRefBased/>
  <w15:docId w15:val="{5F4D99AC-2EC2-4B98-AE8B-523132B1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656"/>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F17853"/>
    <w:pPr>
      <w:widowControl w:val="0"/>
      <w:spacing w:after="200" w:line="276" w:lineRule="auto"/>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F17853"/>
    <w:rPr>
      <w:rFonts w:ascii="Times New Roman" w:eastAsia="Calibri" w:hAnsi="Times New Roman" w:cs="Times New Roman"/>
      <w:sz w:val="20"/>
      <w:szCs w:val="20"/>
      <w:lang w:val="en-US"/>
    </w:rPr>
  </w:style>
  <w:style w:type="character" w:styleId="FootnoteReference">
    <w:name w:val="footnote reference"/>
    <w:uiPriority w:val="99"/>
    <w:semiHidden/>
    <w:unhideWhenUsed/>
    <w:rsid w:val="00F17853"/>
    <w:rPr>
      <w:vertAlign w:val="superscript"/>
    </w:rPr>
  </w:style>
  <w:style w:type="character" w:styleId="CommentReference">
    <w:name w:val="annotation reference"/>
    <w:basedOn w:val="DefaultParagraphFont"/>
    <w:uiPriority w:val="99"/>
    <w:semiHidden/>
    <w:unhideWhenUsed/>
    <w:rsid w:val="00F34E07"/>
    <w:rPr>
      <w:sz w:val="16"/>
      <w:szCs w:val="16"/>
    </w:rPr>
  </w:style>
  <w:style w:type="paragraph" w:styleId="CommentText">
    <w:name w:val="annotation text"/>
    <w:basedOn w:val="Normal"/>
    <w:link w:val="CommentTextChar"/>
    <w:uiPriority w:val="99"/>
    <w:semiHidden/>
    <w:unhideWhenUsed/>
    <w:rsid w:val="00F34E07"/>
    <w:pPr>
      <w:spacing w:line="240" w:lineRule="auto"/>
    </w:pPr>
    <w:rPr>
      <w:sz w:val="20"/>
      <w:szCs w:val="20"/>
    </w:rPr>
  </w:style>
  <w:style w:type="character" w:customStyle="1" w:styleId="CommentTextChar">
    <w:name w:val="Comment Text Char"/>
    <w:basedOn w:val="DefaultParagraphFont"/>
    <w:link w:val="CommentText"/>
    <w:uiPriority w:val="99"/>
    <w:semiHidden/>
    <w:rsid w:val="00F34E07"/>
    <w:rPr>
      <w:sz w:val="20"/>
      <w:szCs w:val="20"/>
    </w:rPr>
  </w:style>
  <w:style w:type="paragraph" w:styleId="CommentSubject">
    <w:name w:val="annotation subject"/>
    <w:basedOn w:val="CommentText"/>
    <w:next w:val="CommentText"/>
    <w:link w:val="CommentSubjectChar"/>
    <w:uiPriority w:val="99"/>
    <w:semiHidden/>
    <w:unhideWhenUsed/>
    <w:rsid w:val="00F34E07"/>
    <w:rPr>
      <w:b/>
      <w:bCs/>
    </w:rPr>
  </w:style>
  <w:style w:type="character" w:customStyle="1" w:styleId="CommentSubjectChar">
    <w:name w:val="Comment Subject Char"/>
    <w:basedOn w:val="CommentTextChar"/>
    <w:link w:val="CommentSubject"/>
    <w:uiPriority w:val="99"/>
    <w:semiHidden/>
    <w:rsid w:val="00F34E07"/>
    <w:rPr>
      <w:b/>
      <w:bCs/>
      <w:sz w:val="20"/>
      <w:szCs w:val="20"/>
    </w:rPr>
  </w:style>
  <w:style w:type="paragraph" w:styleId="BalloonText">
    <w:name w:val="Balloon Text"/>
    <w:basedOn w:val="Normal"/>
    <w:link w:val="BalloonTextChar"/>
    <w:uiPriority w:val="99"/>
    <w:semiHidden/>
    <w:unhideWhenUsed/>
    <w:rsid w:val="00F34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E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922824">
      <w:bodyDiv w:val="1"/>
      <w:marLeft w:val="0"/>
      <w:marRight w:val="0"/>
      <w:marTop w:val="0"/>
      <w:marBottom w:val="0"/>
      <w:divBdr>
        <w:top w:val="none" w:sz="0" w:space="0" w:color="auto"/>
        <w:left w:val="none" w:sz="0" w:space="0" w:color="auto"/>
        <w:bottom w:val="none" w:sz="0" w:space="0" w:color="auto"/>
        <w:right w:val="none" w:sz="0" w:space="0" w:color="auto"/>
      </w:divBdr>
    </w:div>
    <w:div w:id="695498523">
      <w:bodyDiv w:val="1"/>
      <w:marLeft w:val="0"/>
      <w:marRight w:val="0"/>
      <w:marTop w:val="0"/>
      <w:marBottom w:val="0"/>
      <w:divBdr>
        <w:top w:val="none" w:sz="0" w:space="0" w:color="auto"/>
        <w:left w:val="none" w:sz="0" w:space="0" w:color="auto"/>
        <w:bottom w:val="none" w:sz="0" w:space="0" w:color="auto"/>
        <w:right w:val="none" w:sz="0" w:space="0" w:color="auto"/>
      </w:divBdr>
    </w:div>
    <w:div w:id="763115333">
      <w:bodyDiv w:val="1"/>
      <w:marLeft w:val="0"/>
      <w:marRight w:val="0"/>
      <w:marTop w:val="0"/>
      <w:marBottom w:val="0"/>
      <w:divBdr>
        <w:top w:val="none" w:sz="0" w:space="0" w:color="auto"/>
        <w:left w:val="none" w:sz="0" w:space="0" w:color="auto"/>
        <w:bottom w:val="none" w:sz="0" w:space="0" w:color="auto"/>
        <w:right w:val="none" w:sz="0" w:space="0" w:color="auto"/>
      </w:divBdr>
    </w:div>
    <w:div w:id="922765945">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699356513">
      <w:bodyDiv w:val="1"/>
      <w:marLeft w:val="0"/>
      <w:marRight w:val="0"/>
      <w:marTop w:val="0"/>
      <w:marBottom w:val="0"/>
      <w:divBdr>
        <w:top w:val="none" w:sz="0" w:space="0" w:color="auto"/>
        <w:left w:val="none" w:sz="0" w:space="0" w:color="auto"/>
        <w:bottom w:val="none" w:sz="0" w:space="0" w:color="auto"/>
        <w:right w:val="none" w:sz="0" w:space="0" w:color="auto"/>
      </w:divBdr>
    </w:div>
    <w:div w:id="1722822357">
      <w:bodyDiv w:val="1"/>
      <w:marLeft w:val="0"/>
      <w:marRight w:val="0"/>
      <w:marTop w:val="0"/>
      <w:marBottom w:val="0"/>
      <w:divBdr>
        <w:top w:val="none" w:sz="0" w:space="0" w:color="auto"/>
        <w:left w:val="none" w:sz="0" w:space="0" w:color="auto"/>
        <w:bottom w:val="none" w:sz="0" w:space="0" w:color="auto"/>
        <w:right w:val="none" w:sz="0" w:space="0" w:color="auto"/>
      </w:divBdr>
    </w:div>
    <w:div w:id="1939097577">
      <w:bodyDiv w:val="1"/>
      <w:marLeft w:val="0"/>
      <w:marRight w:val="0"/>
      <w:marTop w:val="0"/>
      <w:marBottom w:val="0"/>
      <w:divBdr>
        <w:top w:val="none" w:sz="0" w:space="0" w:color="auto"/>
        <w:left w:val="none" w:sz="0" w:space="0" w:color="auto"/>
        <w:bottom w:val="none" w:sz="0" w:space="0" w:color="auto"/>
        <w:right w:val="none" w:sz="0" w:space="0" w:color="auto"/>
      </w:divBdr>
      <w:divsChild>
        <w:div w:id="519590183">
          <w:marLeft w:val="0"/>
          <w:marRight w:val="0"/>
          <w:marTop w:val="75"/>
          <w:marBottom w:val="0"/>
          <w:divBdr>
            <w:top w:val="none" w:sz="0" w:space="0" w:color="auto"/>
            <w:left w:val="none" w:sz="0" w:space="0" w:color="auto"/>
            <w:bottom w:val="none" w:sz="0" w:space="0" w:color="auto"/>
            <w:right w:val="none" w:sz="0" w:space="0" w:color="auto"/>
          </w:divBdr>
          <w:divsChild>
            <w:div w:id="282002253">
              <w:marLeft w:val="0"/>
              <w:marRight w:val="0"/>
              <w:marTop w:val="0"/>
              <w:marBottom w:val="0"/>
              <w:divBdr>
                <w:top w:val="none" w:sz="0" w:space="0" w:color="auto"/>
                <w:left w:val="none" w:sz="0" w:space="0" w:color="auto"/>
                <w:bottom w:val="none" w:sz="0" w:space="0" w:color="auto"/>
                <w:right w:val="none" w:sz="0" w:space="0" w:color="auto"/>
              </w:divBdr>
              <w:divsChild>
                <w:div w:id="1618178403">
                  <w:marLeft w:val="0"/>
                  <w:marRight w:val="0"/>
                  <w:marTop w:val="375"/>
                  <w:marBottom w:val="75"/>
                  <w:divBdr>
                    <w:top w:val="none" w:sz="0" w:space="0" w:color="auto"/>
                    <w:left w:val="none" w:sz="0" w:space="0" w:color="auto"/>
                    <w:bottom w:val="none" w:sz="0" w:space="0" w:color="auto"/>
                    <w:right w:val="none" w:sz="0" w:space="0" w:color="auto"/>
                  </w:divBdr>
                </w:div>
              </w:divsChild>
            </w:div>
          </w:divsChild>
        </w:div>
      </w:divsChild>
    </w:div>
    <w:div w:id="20668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1031-E335-4773-9C51-2B7FADB0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D259C9D7</Template>
  <TotalTime>47</TotalTime>
  <Pages>6</Pages>
  <Words>10612</Words>
  <Characters>6049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Siliņa</dc:creator>
  <cp:keywords/>
  <dc:description/>
  <cp:lastModifiedBy>Ieva Siliņa</cp:lastModifiedBy>
  <cp:revision>7</cp:revision>
  <dcterms:created xsi:type="dcterms:W3CDTF">2016-08-26T12:12:00Z</dcterms:created>
  <dcterms:modified xsi:type="dcterms:W3CDTF">2016-08-29T10:36:00Z</dcterms:modified>
</cp:coreProperties>
</file>