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AC64" w14:textId="77777777" w:rsidR="00107D4E" w:rsidRPr="00150CDD" w:rsidRDefault="00107D4E" w:rsidP="0055034A">
      <w:pPr>
        <w:spacing w:after="0"/>
        <w:jc w:val="center"/>
        <w:rPr>
          <w:rFonts w:asciiTheme="majorHAnsi" w:eastAsia="Times New Roman" w:hAnsiTheme="majorHAnsi" w:cs="Times New Roman"/>
          <w:b/>
          <w:bCs/>
          <w:sz w:val="28"/>
          <w:szCs w:val="28"/>
        </w:rPr>
      </w:pPr>
      <w:r w:rsidRPr="00150CDD">
        <w:rPr>
          <w:rFonts w:asciiTheme="majorHAnsi" w:eastAsia="Times New Roman" w:hAnsiTheme="majorHAnsi" w:cs="Times New Roman"/>
          <w:b/>
          <w:bCs/>
          <w:sz w:val="28"/>
          <w:szCs w:val="28"/>
        </w:rPr>
        <w:t>Atbildes uz jautājumiem par</w:t>
      </w:r>
    </w:p>
    <w:p w14:paraId="609C3AC7" w14:textId="155863E1" w:rsidR="006E2B9A" w:rsidRDefault="00107D4E" w:rsidP="00152BC2">
      <w:pPr>
        <w:jc w:val="center"/>
        <w:rPr>
          <w:rFonts w:asciiTheme="majorHAnsi" w:eastAsia="Times New Roman" w:hAnsiTheme="majorHAnsi" w:cs="Times New Roman"/>
          <w:b/>
          <w:bCs/>
          <w:sz w:val="28"/>
          <w:szCs w:val="28"/>
        </w:rPr>
      </w:pPr>
      <w:r w:rsidRPr="00150CDD">
        <w:rPr>
          <w:rFonts w:asciiTheme="majorHAnsi" w:eastAsia="Times New Roman" w:hAnsiTheme="majorHAnsi" w:cs="Times New Roman"/>
          <w:b/>
          <w:bCs/>
          <w:sz w:val="28"/>
          <w:szCs w:val="28"/>
        </w:rPr>
        <w:t>1.3.1.1. pasākumu “</w:t>
      </w:r>
      <w:r w:rsidR="00152BC2" w:rsidRPr="00150CDD">
        <w:rPr>
          <w:rFonts w:asciiTheme="majorHAnsi" w:eastAsia="Times New Roman" w:hAnsiTheme="majorHAnsi" w:cs="Times New Roman"/>
          <w:b/>
          <w:bCs/>
          <w:sz w:val="28"/>
          <w:szCs w:val="28"/>
        </w:rPr>
        <w:t>IKT risinājumu un pakalpojumu attīstība un iespēju radīšana privātajam sektoram</w:t>
      </w:r>
      <w:r w:rsidRPr="00150CDD">
        <w:rPr>
          <w:rFonts w:asciiTheme="majorHAnsi" w:eastAsia="Times New Roman" w:hAnsiTheme="majorHAnsi" w:cs="Times New Roman"/>
          <w:b/>
          <w:bCs/>
          <w:sz w:val="28"/>
          <w:szCs w:val="28"/>
        </w:rPr>
        <w:t>”</w:t>
      </w:r>
    </w:p>
    <w:p w14:paraId="4317FE7C" w14:textId="162CEA99" w:rsidR="00B165E8" w:rsidRPr="001775E8" w:rsidRDefault="00533950" w:rsidP="001775E8">
      <w:pPr>
        <w:spacing w:after="0" w:line="264" w:lineRule="auto"/>
        <w:jc w:val="both"/>
        <w:rPr>
          <w:rFonts w:asciiTheme="majorHAnsi" w:eastAsia="Times New Roman" w:hAnsiTheme="majorHAnsi" w:cs="Times New Roman"/>
          <w:b/>
          <w:bCs/>
          <w:color w:val="0F4761" w:themeColor="accent1" w:themeShade="BF"/>
          <w:u w:val="single"/>
        </w:rPr>
      </w:pPr>
      <w:r w:rsidRPr="00533950">
        <w:rPr>
          <w:rFonts w:asciiTheme="majorHAnsi" w:eastAsia="Times New Roman" w:hAnsiTheme="majorHAnsi" w:cs="Times New Roman"/>
          <w:b/>
          <w:bCs/>
          <w:color w:val="0F4761" w:themeColor="accent1" w:themeShade="BF"/>
          <w:u w:val="single"/>
        </w:rPr>
        <w:t>Izmantotie saīsinājumi:</w:t>
      </w:r>
    </w:p>
    <w:p w14:paraId="4ACDD8E5" w14:textId="1043AE9C" w:rsidR="001775E8" w:rsidRDefault="001775E8" w:rsidP="001775E8">
      <w:pPr>
        <w:spacing w:after="0" w:line="264" w:lineRule="auto"/>
        <w:jc w:val="both"/>
        <w:rPr>
          <w:rFonts w:asciiTheme="majorHAnsi" w:eastAsia="Times New Roman" w:hAnsiTheme="majorHAnsi" w:cs="Times New Roman"/>
        </w:rPr>
      </w:pPr>
      <w:r>
        <w:rPr>
          <w:rFonts w:asciiTheme="majorHAnsi" w:eastAsia="Times New Roman" w:hAnsiTheme="majorHAnsi" w:cs="Times New Roman"/>
          <w:b/>
          <w:bCs/>
        </w:rPr>
        <w:t xml:space="preserve">CFLA </w:t>
      </w:r>
      <w:r w:rsidRPr="001775E8">
        <w:rPr>
          <w:rFonts w:asciiTheme="majorHAnsi" w:eastAsia="Times New Roman" w:hAnsiTheme="majorHAnsi" w:cs="Times New Roman"/>
        </w:rPr>
        <w:t>– Centrālā finanšu un līgumu aģentūra</w:t>
      </w:r>
    </w:p>
    <w:p w14:paraId="08B17578" w14:textId="60659920" w:rsidR="00B165E8" w:rsidRDefault="001775E8" w:rsidP="00354710">
      <w:pPr>
        <w:spacing w:after="0" w:line="264" w:lineRule="auto"/>
        <w:jc w:val="both"/>
        <w:rPr>
          <w:rFonts w:asciiTheme="majorHAnsi" w:eastAsia="Times New Roman" w:hAnsiTheme="majorHAnsi" w:cs="Times New Roman"/>
        </w:rPr>
      </w:pPr>
      <w:r w:rsidRPr="003227EC">
        <w:rPr>
          <w:rFonts w:asciiTheme="majorHAnsi" w:eastAsia="Times New Roman" w:hAnsiTheme="majorHAnsi" w:cs="Times New Roman"/>
          <w:b/>
          <w:bCs/>
        </w:rPr>
        <w:t>MK noteikumi Nr.338</w:t>
      </w:r>
      <w:r w:rsidRPr="003227EC">
        <w:rPr>
          <w:rFonts w:asciiTheme="majorHAnsi" w:eastAsia="Times New Roman" w:hAnsiTheme="majorHAnsi" w:cs="Times New Roman"/>
        </w:rPr>
        <w:t xml:space="preserve"> - </w:t>
      </w:r>
      <w:r w:rsidR="003227EC" w:rsidRPr="003227EC">
        <w:rPr>
          <w:rFonts w:asciiTheme="majorHAnsi" w:eastAsia="Times New Roman" w:hAnsiTheme="majorHAnsi" w:cs="Times New Roman"/>
        </w:rPr>
        <w:t xml:space="preserve">Ministru kabineta 2024. gada 4. jūnija noteikumi Nr. 338 </w:t>
      </w:r>
      <w:r w:rsidR="003227EC">
        <w:rPr>
          <w:rFonts w:asciiTheme="majorHAnsi" w:eastAsia="Times New Roman" w:hAnsiTheme="majorHAnsi" w:cs="Times New Roman"/>
        </w:rPr>
        <w:t>“</w:t>
      </w:r>
      <w:r w:rsidR="003227EC" w:rsidRPr="003227EC">
        <w:rPr>
          <w:rFonts w:asciiTheme="majorHAnsi" w:eastAsia="Times New Roman" w:hAnsiTheme="majorHAnsi" w:cs="Times New Roman"/>
        </w:rPr>
        <w:t xml:space="preserve">Eiropas Savienības kohēzijas politikas programmas 2021.–2027. gadam 1.3.1. specifiskā atbalsta mērķa </w:t>
      </w:r>
      <w:r w:rsidR="003227EC">
        <w:rPr>
          <w:rFonts w:asciiTheme="majorHAnsi" w:eastAsia="Times New Roman" w:hAnsiTheme="majorHAnsi" w:cs="Times New Roman"/>
        </w:rPr>
        <w:t>“</w:t>
      </w:r>
      <w:r w:rsidR="003227EC" w:rsidRPr="003227EC">
        <w:rPr>
          <w:rFonts w:asciiTheme="majorHAnsi" w:eastAsia="Times New Roman" w:hAnsiTheme="majorHAnsi" w:cs="Times New Roman"/>
        </w:rPr>
        <w:t>Izmantot d</w:t>
      </w:r>
      <w:proofErr w:type="spellStart"/>
      <w:r w:rsidR="003227EC" w:rsidRPr="003227EC">
        <w:rPr>
          <w:rFonts w:asciiTheme="majorHAnsi" w:eastAsia="Times New Roman" w:hAnsiTheme="majorHAnsi" w:cs="Times New Roman"/>
        </w:rPr>
        <w:t>igitalizācijas</w:t>
      </w:r>
      <w:proofErr w:type="spellEnd"/>
      <w:r w:rsidR="003227EC" w:rsidRPr="003227EC">
        <w:rPr>
          <w:rFonts w:asciiTheme="majorHAnsi" w:eastAsia="Times New Roman" w:hAnsiTheme="majorHAnsi" w:cs="Times New Roman"/>
        </w:rPr>
        <w:t xml:space="preserve"> priekšrocības iedzīvotājiem, uzņēmumiem, pētniecības organizācijām un publiskajām iestādēm</w:t>
      </w:r>
      <w:r w:rsidR="003227EC">
        <w:rPr>
          <w:rFonts w:asciiTheme="majorHAnsi" w:eastAsia="Times New Roman" w:hAnsiTheme="majorHAnsi" w:cs="Times New Roman"/>
        </w:rPr>
        <w:t xml:space="preserve">” </w:t>
      </w:r>
      <w:r w:rsidR="003227EC" w:rsidRPr="003227EC">
        <w:rPr>
          <w:rFonts w:asciiTheme="majorHAnsi" w:eastAsia="Times New Roman" w:hAnsiTheme="majorHAnsi" w:cs="Times New Roman"/>
        </w:rPr>
        <w:t xml:space="preserve">1.3.1.1. pasākuma </w:t>
      </w:r>
      <w:r w:rsidR="003227EC">
        <w:rPr>
          <w:rFonts w:asciiTheme="majorHAnsi" w:eastAsia="Times New Roman" w:hAnsiTheme="majorHAnsi" w:cs="Times New Roman"/>
        </w:rPr>
        <w:t>“</w:t>
      </w:r>
      <w:r w:rsidR="003227EC" w:rsidRPr="003227EC">
        <w:rPr>
          <w:rFonts w:asciiTheme="majorHAnsi" w:eastAsia="Times New Roman" w:hAnsiTheme="majorHAnsi" w:cs="Times New Roman"/>
        </w:rPr>
        <w:t>IKT risinājumu un pakalpojumu attīstība un iespēju radīšana privātajam sektoram</w:t>
      </w:r>
      <w:r w:rsidR="003227EC">
        <w:rPr>
          <w:rFonts w:asciiTheme="majorHAnsi" w:eastAsia="Times New Roman" w:hAnsiTheme="majorHAnsi" w:cs="Times New Roman"/>
        </w:rPr>
        <w:t>”</w:t>
      </w:r>
      <w:r w:rsidR="003227EC" w:rsidRPr="003227EC">
        <w:rPr>
          <w:rFonts w:asciiTheme="majorHAnsi" w:eastAsia="Times New Roman" w:hAnsiTheme="majorHAnsi" w:cs="Times New Roman"/>
        </w:rPr>
        <w:t xml:space="preserve"> īstenošanas noteikumi</w:t>
      </w:r>
      <w:r w:rsidR="003227EC">
        <w:rPr>
          <w:rFonts w:asciiTheme="majorHAnsi" w:eastAsia="Times New Roman" w:hAnsiTheme="majorHAnsi" w:cs="Times New Roman"/>
        </w:rPr>
        <w:t>”</w:t>
      </w:r>
      <w:r w:rsidR="00AD754E">
        <w:rPr>
          <w:rStyle w:val="FootnoteReference"/>
          <w:rFonts w:asciiTheme="majorHAnsi" w:eastAsia="Times New Roman" w:hAnsiTheme="majorHAnsi" w:cs="Times New Roman"/>
        </w:rPr>
        <w:footnoteReference w:id="1"/>
      </w:r>
    </w:p>
    <w:p w14:paraId="6A7FF937" w14:textId="77777777" w:rsidR="00354710" w:rsidRPr="00354710" w:rsidRDefault="00354710" w:rsidP="00354710">
      <w:pPr>
        <w:spacing w:after="0" w:line="264" w:lineRule="auto"/>
        <w:jc w:val="both"/>
        <w:rPr>
          <w:rFonts w:asciiTheme="majorHAnsi" w:eastAsia="Times New Roman" w:hAnsiTheme="majorHAnsi" w:cs="Times New Roman"/>
        </w:rPr>
      </w:pPr>
    </w:p>
    <w:tbl>
      <w:tblPr>
        <w:tblW w:w="5516" w:type="pct"/>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4"/>
        <w:gridCol w:w="6032"/>
        <w:gridCol w:w="8291"/>
      </w:tblGrid>
      <w:tr w:rsidR="00944988" w:rsidRPr="00150CDD" w14:paraId="6E97093A" w14:textId="77777777" w:rsidTr="00944988">
        <w:tc>
          <w:tcPr>
            <w:tcW w:w="346" w:type="pct"/>
            <w:tcBorders>
              <w:bottom w:val="single" w:sz="4" w:space="0" w:color="000000" w:themeColor="text1"/>
              <w:right w:val="single" w:sz="4" w:space="0" w:color="auto"/>
            </w:tcBorders>
            <w:shd w:val="clear" w:color="auto" w:fill="D1D1D1" w:themeFill="background2" w:themeFillShade="E6"/>
            <w:vAlign w:val="center"/>
          </w:tcPr>
          <w:p w14:paraId="37E447CF" w14:textId="77777777" w:rsidR="00944988" w:rsidRPr="00150CDD" w:rsidRDefault="00944988" w:rsidP="00150CDD">
            <w:pPr>
              <w:pStyle w:val="PlainText"/>
              <w:jc w:val="center"/>
              <w:rPr>
                <w:rFonts w:asciiTheme="majorHAnsi" w:hAnsiTheme="majorHAnsi" w:cs="Times New Roman"/>
                <w:b/>
                <w:bCs/>
                <w:sz w:val="24"/>
                <w:szCs w:val="24"/>
                <w:lang w:val="lv-LV"/>
              </w:rPr>
            </w:pPr>
            <w:proofErr w:type="spellStart"/>
            <w:r w:rsidRPr="00150CDD">
              <w:rPr>
                <w:rFonts w:asciiTheme="majorHAnsi" w:hAnsiTheme="majorHAnsi" w:cs="Times New Roman"/>
                <w:b/>
                <w:bCs/>
                <w:sz w:val="24"/>
                <w:szCs w:val="24"/>
                <w:lang w:val="lv-LV"/>
              </w:rPr>
              <w:t>Nr.p.k</w:t>
            </w:r>
            <w:proofErr w:type="spellEnd"/>
            <w:r w:rsidRPr="00150CDD">
              <w:rPr>
                <w:rFonts w:asciiTheme="majorHAnsi" w:hAnsiTheme="majorHAnsi" w:cs="Times New Roman"/>
                <w:b/>
                <w:bCs/>
                <w:sz w:val="24"/>
                <w:szCs w:val="24"/>
                <w:lang w:val="lv-LV"/>
              </w:rPr>
              <w:t>.</w:t>
            </w:r>
          </w:p>
        </w:tc>
        <w:tc>
          <w:tcPr>
            <w:tcW w:w="1960" w:type="pct"/>
            <w:tcBorders>
              <w:bottom w:val="single" w:sz="4" w:space="0" w:color="000000" w:themeColor="text1"/>
              <w:right w:val="single" w:sz="4" w:space="0" w:color="auto"/>
            </w:tcBorders>
            <w:shd w:val="clear" w:color="auto" w:fill="D1D1D1" w:themeFill="background2" w:themeFillShade="E6"/>
            <w:vAlign w:val="center"/>
          </w:tcPr>
          <w:p w14:paraId="4BA39522" w14:textId="77777777" w:rsidR="00944988" w:rsidRPr="00150CDD" w:rsidRDefault="00944988" w:rsidP="00150CDD">
            <w:pPr>
              <w:pStyle w:val="PlainText"/>
              <w:jc w:val="center"/>
              <w:rPr>
                <w:rFonts w:asciiTheme="majorHAnsi" w:hAnsiTheme="majorHAnsi" w:cs="Times New Roman"/>
                <w:b/>
                <w:bCs/>
                <w:sz w:val="24"/>
                <w:szCs w:val="24"/>
                <w:lang w:val="lv-LV"/>
              </w:rPr>
            </w:pPr>
            <w:r w:rsidRPr="00150CDD">
              <w:rPr>
                <w:rFonts w:asciiTheme="majorHAnsi" w:hAnsiTheme="majorHAnsi" w:cs="Times New Roman"/>
                <w:b/>
                <w:bCs/>
                <w:sz w:val="24"/>
                <w:szCs w:val="24"/>
                <w:lang w:val="lv-LV"/>
              </w:rPr>
              <w:t>Jautājumi</w:t>
            </w:r>
          </w:p>
        </w:tc>
        <w:tc>
          <w:tcPr>
            <w:tcW w:w="2694" w:type="pct"/>
            <w:tcBorders>
              <w:left w:val="single" w:sz="4" w:space="0" w:color="auto"/>
              <w:bottom w:val="single" w:sz="4" w:space="0" w:color="000000" w:themeColor="text1"/>
            </w:tcBorders>
            <w:shd w:val="clear" w:color="auto" w:fill="D1D1D1" w:themeFill="background2" w:themeFillShade="E6"/>
            <w:vAlign w:val="center"/>
          </w:tcPr>
          <w:p w14:paraId="5D9D1763" w14:textId="77777777" w:rsidR="00944988" w:rsidRPr="00150CDD" w:rsidRDefault="00944988" w:rsidP="00150CDD">
            <w:pPr>
              <w:pStyle w:val="PlainText"/>
              <w:jc w:val="center"/>
              <w:rPr>
                <w:rFonts w:asciiTheme="majorHAnsi" w:hAnsiTheme="majorHAnsi" w:cs="Times New Roman"/>
                <w:b/>
                <w:bCs/>
                <w:sz w:val="24"/>
                <w:szCs w:val="24"/>
              </w:rPr>
            </w:pPr>
            <w:r w:rsidRPr="00150CDD">
              <w:rPr>
                <w:rFonts w:asciiTheme="majorHAnsi" w:eastAsia="Times New Roman" w:hAnsiTheme="majorHAnsi" w:cs="Times New Roman"/>
                <w:b/>
                <w:bCs/>
                <w:sz w:val="24"/>
                <w:szCs w:val="24"/>
                <w:lang w:val="lv"/>
              </w:rPr>
              <w:t>Atbildes</w:t>
            </w:r>
          </w:p>
        </w:tc>
      </w:tr>
      <w:tr w:rsidR="00944988" w:rsidRPr="00150CDD" w14:paraId="4BB97883" w14:textId="77777777" w:rsidTr="00944988">
        <w:tc>
          <w:tcPr>
            <w:tcW w:w="346" w:type="pct"/>
            <w:tcBorders>
              <w:bottom w:val="single" w:sz="4" w:space="0" w:color="000000" w:themeColor="text1"/>
              <w:right w:val="single" w:sz="4" w:space="0" w:color="auto"/>
            </w:tcBorders>
            <w:shd w:val="clear" w:color="auto" w:fill="FFFFFF" w:themeFill="background1"/>
            <w:vAlign w:val="center"/>
          </w:tcPr>
          <w:p w14:paraId="59A89194" w14:textId="77777777" w:rsidR="00944988" w:rsidRPr="00150CDD" w:rsidRDefault="00944988">
            <w:pPr>
              <w:pStyle w:val="PlainText"/>
              <w:jc w:val="center"/>
              <w:rPr>
                <w:rFonts w:asciiTheme="majorHAnsi" w:hAnsiTheme="majorHAnsi" w:cs="Times New Roman"/>
                <w:b/>
                <w:bCs/>
                <w:lang w:val="lv-LV"/>
              </w:rPr>
            </w:pPr>
            <w:r w:rsidRPr="00150CDD">
              <w:rPr>
                <w:rFonts w:asciiTheme="majorHAnsi" w:hAnsiTheme="majorHAnsi" w:cs="Times New Roman"/>
                <w:b/>
                <w:bCs/>
                <w:lang w:val="lv-LV"/>
              </w:rPr>
              <w:t>1.</w:t>
            </w:r>
          </w:p>
          <w:p w14:paraId="43531A56" w14:textId="30E205F7" w:rsidR="00944988" w:rsidRPr="00150CDD" w:rsidRDefault="00944988">
            <w:pPr>
              <w:pStyle w:val="PlainText"/>
              <w:jc w:val="center"/>
              <w:rPr>
                <w:rFonts w:asciiTheme="majorHAnsi" w:hAnsiTheme="majorHAnsi" w:cs="Times New Roman"/>
                <w:b/>
                <w:bCs/>
                <w:lang w:val="lv-LV"/>
              </w:rPr>
            </w:pPr>
          </w:p>
        </w:tc>
        <w:tc>
          <w:tcPr>
            <w:tcW w:w="1960" w:type="pct"/>
            <w:tcBorders>
              <w:bottom w:val="single" w:sz="4" w:space="0" w:color="000000" w:themeColor="text1"/>
              <w:right w:val="single" w:sz="4" w:space="0" w:color="auto"/>
            </w:tcBorders>
            <w:shd w:val="clear" w:color="auto" w:fill="FFFFFF" w:themeFill="background1"/>
            <w:vAlign w:val="center"/>
          </w:tcPr>
          <w:p w14:paraId="66263EBD" w14:textId="2C870BC6" w:rsidR="00944988" w:rsidRPr="00150CDD" w:rsidRDefault="00A7037E" w:rsidP="00150CDD">
            <w:pPr>
              <w:pStyle w:val="PlainText"/>
              <w:rPr>
                <w:rFonts w:asciiTheme="majorHAnsi" w:hAnsiTheme="majorHAnsi" w:cs="Times New Roman"/>
                <w:b/>
                <w:bCs/>
                <w:lang w:val="lv-LV"/>
              </w:rPr>
            </w:pPr>
            <w:r w:rsidRPr="00150CDD">
              <w:rPr>
                <w:rFonts w:asciiTheme="majorHAnsi" w:hAnsiTheme="majorHAnsi"/>
                <w:lang w:val="lv-LV"/>
              </w:rPr>
              <w:t xml:space="preserve">Atbilstoši veiktajiem grozījumiem MK noteikumos Nr.338, vēlos noskaidrot vai MK 338 29.17 punktā pie projekta īstenošanas var iekļaut darbinieku, kas tiek iekļauts ar iestādes rīkojumu pēc </w:t>
            </w:r>
            <w:proofErr w:type="spellStart"/>
            <w:r w:rsidRPr="00150CDD">
              <w:rPr>
                <w:rFonts w:asciiTheme="majorHAnsi" w:hAnsiTheme="majorHAnsi"/>
                <w:lang w:val="lv-LV"/>
              </w:rPr>
              <w:t>daļlaika</w:t>
            </w:r>
            <w:proofErr w:type="spellEnd"/>
            <w:r w:rsidRPr="00150CDD">
              <w:rPr>
                <w:rFonts w:asciiTheme="majorHAnsi" w:hAnsiTheme="majorHAnsi"/>
                <w:lang w:val="lv-LV"/>
              </w:rPr>
              <w:t xml:space="preserve"> </w:t>
            </w:r>
            <w:proofErr w:type="spellStart"/>
            <w:r w:rsidRPr="00150CDD">
              <w:rPr>
                <w:rFonts w:asciiTheme="majorHAnsi" w:hAnsiTheme="majorHAnsi"/>
                <w:lang w:val="lv-LV"/>
              </w:rPr>
              <w:t>attiecināmības</w:t>
            </w:r>
            <w:proofErr w:type="spellEnd"/>
            <w:r w:rsidRPr="00150CDD">
              <w:rPr>
                <w:rFonts w:asciiTheme="majorHAnsi" w:hAnsiTheme="majorHAnsi"/>
                <w:lang w:val="lv-LV"/>
              </w:rPr>
              <w:t xml:space="preserve"> principa?</w:t>
            </w:r>
          </w:p>
        </w:tc>
        <w:tc>
          <w:tcPr>
            <w:tcW w:w="2694" w:type="pct"/>
            <w:tcBorders>
              <w:left w:val="single" w:sz="4" w:space="0" w:color="auto"/>
              <w:bottom w:val="single" w:sz="4" w:space="0" w:color="000000" w:themeColor="text1"/>
            </w:tcBorders>
            <w:shd w:val="clear" w:color="auto" w:fill="FFFFFF" w:themeFill="background1"/>
            <w:vAlign w:val="center"/>
          </w:tcPr>
          <w:p w14:paraId="06C1BDD1" w14:textId="151CB78F" w:rsidR="00073E1C" w:rsidRPr="00150CDD" w:rsidRDefault="00073E1C" w:rsidP="00150CDD">
            <w:pPr>
              <w:jc w:val="both"/>
              <w:rPr>
                <w:rFonts w:asciiTheme="majorHAnsi" w:hAnsiTheme="majorHAnsi"/>
              </w:rPr>
            </w:pPr>
            <w:r w:rsidRPr="00150CDD">
              <w:rPr>
                <w:rFonts w:asciiTheme="majorHAnsi" w:hAnsiTheme="majorHAnsi"/>
              </w:rPr>
              <w:t xml:space="preserve">Jā, projekta attiecināmajās izmaksās ir iekļaujamas atalgojuma izmaksas projekta īstenošanā iesaistītajam darbiniekam, ja ir </w:t>
            </w:r>
            <w:proofErr w:type="spellStart"/>
            <w:r w:rsidRPr="00150CDD">
              <w:rPr>
                <w:rFonts w:asciiTheme="majorHAnsi" w:hAnsiTheme="majorHAnsi"/>
              </w:rPr>
              <w:t>daļlaika</w:t>
            </w:r>
            <w:proofErr w:type="spellEnd"/>
            <w:r w:rsidRPr="00150CDD">
              <w:rPr>
                <w:rFonts w:asciiTheme="majorHAnsi" w:hAnsiTheme="majorHAnsi"/>
              </w:rPr>
              <w:t xml:space="preserve"> noslodze.</w:t>
            </w:r>
          </w:p>
          <w:p w14:paraId="5AE64974" w14:textId="64273493" w:rsidR="00073E1C" w:rsidRPr="00150CDD" w:rsidRDefault="00073E1C" w:rsidP="00150CDD">
            <w:pPr>
              <w:jc w:val="both"/>
              <w:rPr>
                <w:rFonts w:asciiTheme="majorHAnsi" w:hAnsiTheme="majorHAnsi"/>
              </w:rPr>
            </w:pPr>
            <w:r w:rsidRPr="00150CDD">
              <w:rPr>
                <w:rFonts w:asciiTheme="majorHAnsi" w:hAnsiTheme="majorHAnsi"/>
              </w:rPr>
              <w:t>Jo kā skaidrots MK noteikumu Nr. 338  anotācijā: “[..] 29.16. un 29.17. apakšpunktā, svītroti apakšpunktā noteiktie projekta vadības un īstenošanas personāla izmaksu apmēra ierobežojumu limiti, ievērojot ka Finanšu ministrijas 2025.gada 9.jūnija vadlīnijas “Vadlīnijas attiecināmo izmaksu noteikšanai Eiropas Savienības kohēzijas politikas programmas 2021.-2027.gada plānošanas periodā” vairs šādus ierobežojumus neparedz, kā arī MK noteikumu Nr. 338 32.punkts jau nosaka projekta vadības un īstenošanas izmaksu kopējā apmēra ierobežojumu[..]”</w:t>
            </w:r>
          </w:p>
          <w:p w14:paraId="6441CF45" w14:textId="4A0C9CC2" w:rsidR="00944988" w:rsidRPr="00150CDD" w:rsidRDefault="00073E1C" w:rsidP="00150CDD">
            <w:pPr>
              <w:jc w:val="both"/>
              <w:rPr>
                <w:rFonts w:asciiTheme="majorHAnsi" w:hAnsiTheme="majorHAnsi"/>
              </w:rPr>
            </w:pPr>
            <w:r w:rsidRPr="00150CDD">
              <w:rPr>
                <w:rFonts w:asciiTheme="majorHAnsi" w:hAnsiTheme="majorHAnsi"/>
              </w:rPr>
              <w:t> </w:t>
            </w:r>
            <w:hyperlink r:id="rId11" w:history="1">
              <w:r w:rsidRPr="00150CDD">
                <w:rPr>
                  <w:rStyle w:val="Hyperlink"/>
                  <w:rFonts w:asciiTheme="majorHAnsi" w:hAnsiTheme="majorHAnsi"/>
                </w:rPr>
                <w:t>Vadlīnijas attiecināmo izmaksu noteikšanai Eiropas Savienības kohēzijas politikas programmas 2021.-2027.gada plānošanas periodā - ES fondi</w:t>
              </w:r>
            </w:hyperlink>
          </w:p>
        </w:tc>
      </w:tr>
      <w:tr w:rsidR="00A42B6B" w:rsidRPr="00150CDD" w14:paraId="46C7F600" w14:textId="77777777">
        <w:tc>
          <w:tcPr>
            <w:tcW w:w="346" w:type="pct"/>
            <w:tcBorders>
              <w:bottom w:val="single" w:sz="4" w:space="0" w:color="000000" w:themeColor="text1"/>
              <w:right w:val="single" w:sz="4" w:space="0" w:color="auto"/>
            </w:tcBorders>
            <w:shd w:val="clear" w:color="auto" w:fill="FFFFFF" w:themeFill="background1"/>
            <w:vAlign w:val="center"/>
          </w:tcPr>
          <w:p w14:paraId="796133BB" w14:textId="4468FFE3" w:rsidR="00A42B6B" w:rsidRPr="00150CDD" w:rsidRDefault="00A42B6B" w:rsidP="00A42B6B">
            <w:pPr>
              <w:pStyle w:val="PlainText"/>
              <w:jc w:val="center"/>
              <w:rPr>
                <w:rFonts w:asciiTheme="majorHAnsi" w:hAnsiTheme="majorHAnsi" w:cs="Times New Roman"/>
                <w:b/>
                <w:bCs/>
                <w:lang w:val="lv-LV"/>
              </w:rPr>
            </w:pPr>
            <w:r w:rsidRPr="00150CDD">
              <w:rPr>
                <w:rFonts w:asciiTheme="majorHAnsi" w:hAnsiTheme="majorHAnsi" w:cs="Times New Roman"/>
                <w:b/>
                <w:bCs/>
                <w:lang w:val="lv-LV"/>
              </w:rPr>
              <w:t>2.</w:t>
            </w:r>
          </w:p>
        </w:tc>
        <w:tc>
          <w:tcPr>
            <w:tcW w:w="1960" w:type="pct"/>
            <w:tcBorders>
              <w:bottom w:val="single" w:sz="4" w:space="0" w:color="000000" w:themeColor="text1"/>
              <w:right w:val="single" w:sz="4" w:space="0" w:color="auto"/>
            </w:tcBorders>
            <w:shd w:val="clear" w:color="auto" w:fill="FFFFFF" w:themeFill="background1"/>
          </w:tcPr>
          <w:p w14:paraId="3C24144E" w14:textId="77777777" w:rsidR="00A42B6B" w:rsidRPr="00150CDD" w:rsidRDefault="00A42B6B" w:rsidP="00150CDD">
            <w:pPr>
              <w:jc w:val="both"/>
              <w:rPr>
                <w:rFonts w:asciiTheme="majorHAnsi" w:hAnsiTheme="majorHAnsi"/>
              </w:rPr>
            </w:pPr>
            <w:r w:rsidRPr="00150CDD">
              <w:rPr>
                <w:rFonts w:asciiTheme="majorHAnsi" w:hAnsiTheme="majorHAnsi"/>
              </w:rPr>
              <w:t xml:space="preserve">Situācija ir sekojoša: ir sācies izmaksu </w:t>
            </w:r>
            <w:proofErr w:type="spellStart"/>
            <w:r w:rsidRPr="00150CDD">
              <w:rPr>
                <w:rFonts w:asciiTheme="majorHAnsi" w:hAnsiTheme="majorHAnsi"/>
              </w:rPr>
              <w:t>attiecināmības</w:t>
            </w:r>
            <w:proofErr w:type="spellEnd"/>
            <w:r w:rsidRPr="00150CDD">
              <w:rPr>
                <w:rFonts w:asciiTheme="majorHAnsi" w:hAnsiTheme="majorHAnsi"/>
              </w:rPr>
              <w:t xml:space="preserve"> periods un, lai arī līgums ar CFLA vēl nav noslēgts, daļa projekta komandas jau ir uzsākusi darbu, lai termiņā būtu iespējams īstenot laikietilpīgākās aktivitātes. Uzsākot šos darbus, katram komandas dalībniekam ar iesaisti vismaz 30%, tika sagatavota un noslēgta vienošanās par iesaisti projektā, lai veiktu konkrētus uzdevumus un pildītu konkrētas lomas, t.sk., vienošanās nosaka iesaistes gala termiņu - 31.12.2029., kas ir arī projekta pasē u.c. saistošajā dokumentācijā noteiktais gala projekta ieviešanas termiņš. </w:t>
            </w:r>
          </w:p>
          <w:p w14:paraId="210A83B2" w14:textId="4F2BB9F2" w:rsidR="00A42B6B" w:rsidRPr="00150CDD" w:rsidRDefault="00A42B6B" w:rsidP="00150CDD">
            <w:pPr>
              <w:pStyle w:val="PlainText"/>
              <w:rPr>
                <w:rFonts w:asciiTheme="majorHAnsi" w:hAnsiTheme="majorHAnsi" w:cs="Times New Roman"/>
                <w:b/>
                <w:bCs/>
                <w:lang w:val="lv-LV"/>
              </w:rPr>
            </w:pPr>
            <w:r w:rsidRPr="00150CDD">
              <w:rPr>
                <w:rFonts w:asciiTheme="majorHAnsi" w:hAnsiTheme="majorHAnsi"/>
                <w:lang w:val="lv-LV"/>
              </w:rPr>
              <w:t xml:space="preserve">Tomēr šī gada sākumā uzņēmumā notika reorganizācija un tās rezultātā atsevišķiem kolēģiem mainījās pienākumi, struktūrvienības </w:t>
            </w:r>
            <w:proofErr w:type="spellStart"/>
            <w:r w:rsidRPr="00150CDD">
              <w:rPr>
                <w:rFonts w:asciiTheme="majorHAnsi" w:hAnsiTheme="majorHAnsi"/>
                <w:lang w:val="lv-LV"/>
              </w:rPr>
              <w:t>u.tmldz</w:t>
            </w:r>
            <w:proofErr w:type="spellEnd"/>
            <w:r w:rsidRPr="00150CDD">
              <w:rPr>
                <w:rFonts w:asciiTheme="majorHAnsi" w:hAnsiTheme="majorHAnsi"/>
                <w:lang w:val="lv-LV"/>
              </w:rPr>
              <w:t>., kas nozīmē, ka viņi saglabā darbu uzņēmumā, nav norīkoti citos projektos, bet konkrētajā projektā šobrīd darbus vairs neveic. Vai ir jāsagatavo vēl kādas papildu izmaiņas bez uzņēmuma sagatavotajām standarta izmaiņām darba līgumos/ pamata darba aprakstos, kur ir papildus norādīts, ka darbs projektā ar xx datumu tiek pārtraukts? Vai arī ir pietiekami, ka par šiem kolēģiem nav aktuālu DLU un tādējādi ir secināms, ka viņi darbu neturpina?</w:t>
            </w:r>
          </w:p>
        </w:tc>
        <w:tc>
          <w:tcPr>
            <w:tcW w:w="2694" w:type="pct"/>
            <w:tcBorders>
              <w:left w:val="single" w:sz="4" w:space="0" w:color="auto"/>
              <w:bottom w:val="single" w:sz="4" w:space="0" w:color="000000" w:themeColor="text1"/>
            </w:tcBorders>
            <w:shd w:val="clear" w:color="auto" w:fill="FFFFFF" w:themeFill="background1"/>
          </w:tcPr>
          <w:p w14:paraId="5B8948F0" w14:textId="77777777" w:rsidR="00A42B6B" w:rsidRPr="00150CDD" w:rsidRDefault="00A42B6B" w:rsidP="00150CDD">
            <w:pPr>
              <w:jc w:val="both"/>
              <w:rPr>
                <w:rFonts w:asciiTheme="majorHAnsi" w:hAnsiTheme="majorHAnsi"/>
              </w:rPr>
            </w:pPr>
            <w:r w:rsidRPr="00150CDD">
              <w:rPr>
                <w:rFonts w:asciiTheme="majorHAnsi" w:hAnsiTheme="majorHAnsi"/>
              </w:rPr>
              <w:t xml:space="preserve">Ņemot vērā uzņēmumā īstenoto reorganizāciju, pieņemam, ka ir izdoti attiecīgi rīkojumi vai citi līdzvērtīgi iekšējie normatīvie akti, kas pamato konkrētu darbinieku amata pienākumu, struktūrvienības piederības un, ja attiecināms, arī atalgojuma izmaiņas. Līdz ar to </w:t>
            </w:r>
            <w:proofErr w:type="spellStart"/>
            <w:r w:rsidRPr="00150CDD">
              <w:rPr>
                <w:rFonts w:asciiTheme="majorHAnsi" w:hAnsiTheme="majorHAnsi"/>
              </w:rPr>
              <w:t>pirmšķietami</w:t>
            </w:r>
            <w:proofErr w:type="spellEnd"/>
            <w:r w:rsidRPr="00150CDD">
              <w:rPr>
                <w:rFonts w:asciiTheme="majorHAnsi" w:hAnsiTheme="majorHAnsi"/>
              </w:rPr>
              <w:t xml:space="preserve"> būtu nepieciešams izvērtēt un veikt grozījumus noslēgtajās vienošanās par darbinieku iesaisti projektā ar 30</w:t>
            </w:r>
            <w:r w:rsidRPr="00150CDD">
              <w:rPr>
                <w:rFonts w:ascii="Arial" w:hAnsi="Arial" w:cs="Arial"/>
              </w:rPr>
              <w:t> </w:t>
            </w:r>
            <w:r w:rsidRPr="00150CDD">
              <w:rPr>
                <w:rFonts w:asciiTheme="majorHAnsi" w:hAnsiTheme="majorHAnsi"/>
              </w:rPr>
              <w:t>% noslodzi, kur</w:t>
            </w:r>
            <w:r w:rsidRPr="00150CDD">
              <w:rPr>
                <w:rFonts w:asciiTheme="majorHAnsi" w:hAnsiTheme="majorHAnsi" w:cs="Aptos"/>
              </w:rPr>
              <w:t>ā</w:t>
            </w:r>
            <w:r w:rsidRPr="00150CDD">
              <w:rPr>
                <w:rFonts w:asciiTheme="majorHAnsi" w:hAnsiTheme="majorHAnsi"/>
              </w:rPr>
              <w:t>s tika noteikti konkr</w:t>
            </w:r>
            <w:r w:rsidRPr="00150CDD">
              <w:rPr>
                <w:rFonts w:asciiTheme="majorHAnsi" w:hAnsiTheme="majorHAnsi" w:cs="Aptos"/>
              </w:rPr>
              <w:t>ē</w:t>
            </w:r>
            <w:r w:rsidRPr="00150CDD">
              <w:rPr>
                <w:rFonts w:asciiTheme="majorHAnsi" w:hAnsiTheme="majorHAnsi"/>
              </w:rPr>
              <w:t>ti uzdevumi, lomas un atbild</w:t>
            </w:r>
            <w:r w:rsidRPr="00150CDD">
              <w:rPr>
                <w:rFonts w:asciiTheme="majorHAnsi" w:hAnsiTheme="majorHAnsi" w:cs="Aptos"/>
              </w:rPr>
              <w:t>ī</w:t>
            </w:r>
            <w:r w:rsidRPr="00150CDD">
              <w:rPr>
                <w:rFonts w:asciiTheme="majorHAnsi" w:hAnsiTheme="majorHAnsi"/>
              </w:rPr>
              <w:t>bas, k</w:t>
            </w:r>
            <w:r w:rsidRPr="00150CDD">
              <w:rPr>
                <w:rFonts w:asciiTheme="majorHAnsi" w:hAnsiTheme="majorHAnsi" w:cs="Aptos"/>
              </w:rPr>
              <w:t>ā</w:t>
            </w:r>
            <w:r w:rsidRPr="00150CDD">
              <w:rPr>
                <w:rFonts w:asciiTheme="majorHAnsi" w:hAnsiTheme="majorHAnsi"/>
              </w:rPr>
              <w:t xml:space="preserve"> ar</w:t>
            </w:r>
            <w:r w:rsidRPr="00150CDD">
              <w:rPr>
                <w:rFonts w:asciiTheme="majorHAnsi" w:hAnsiTheme="majorHAnsi" w:cs="Aptos"/>
              </w:rPr>
              <w:t>ī</w:t>
            </w:r>
            <w:r w:rsidRPr="00150CDD">
              <w:rPr>
                <w:rFonts w:asciiTheme="majorHAnsi" w:hAnsiTheme="majorHAnsi"/>
              </w:rPr>
              <w:t xml:space="preserve"> izpildes termi</w:t>
            </w:r>
            <w:r w:rsidRPr="00150CDD">
              <w:rPr>
                <w:rFonts w:asciiTheme="majorHAnsi" w:hAnsiTheme="majorHAnsi" w:cs="Aptos"/>
              </w:rPr>
              <w:t>ņš</w:t>
            </w:r>
            <w:r w:rsidRPr="00150CDD">
              <w:rPr>
                <w:rFonts w:asciiTheme="majorHAnsi" w:hAnsiTheme="majorHAnsi"/>
              </w:rPr>
              <w:t xml:space="preserve"> l</w:t>
            </w:r>
            <w:r w:rsidRPr="00150CDD">
              <w:rPr>
                <w:rFonts w:asciiTheme="majorHAnsi" w:hAnsiTheme="majorHAnsi" w:cs="Aptos"/>
              </w:rPr>
              <w:t>ī</w:t>
            </w:r>
            <w:r w:rsidRPr="00150CDD">
              <w:rPr>
                <w:rFonts w:asciiTheme="majorHAnsi" w:hAnsiTheme="majorHAnsi"/>
              </w:rPr>
              <w:t>dz 31.12.2029.</w:t>
            </w:r>
          </w:p>
          <w:p w14:paraId="3CBFF8BA" w14:textId="77777777" w:rsidR="00A42B6B" w:rsidRPr="00150CDD" w:rsidRDefault="00A42B6B" w:rsidP="00150CDD">
            <w:pPr>
              <w:jc w:val="both"/>
              <w:rPr>
                <w:rFonts w:asciiTheme="majorHAnsi" w:hAnsiTheme="majorHAnsi"/>
              </w:rPr>
            </w:pPr>
            <w:r w:rsidRPr="00150CDD">
              <w:rPr>
                <w:rFonts w:asciiTheme="majorHAnsi" w:hAnsiTheme="majorHAnsi"/>
              </w:rPr>
              <w:t xml:space="preserve">Papildus tam aicinām izvērtēt, vai pārējie projektā iesaistītie darbinieki, ņemot vērā atsevišķu kolēģu vairs neiesaistīšanu projektā, būs pietiekamā apjomā un spēs nodrošināt visu projektā paredzēto darbību un pienākumu savlaicīgu un kvalitatīvu izpildi. Šāds </w:t>
            </w:r>
            <w:proofErr w:type="spellStart"/>
            <w:r w:rsidRPr="00150CDD">
              <w:rPr>
                <w:rFonts w:asciiTheme="majorHAnsi" w:hAnsiTheme="majorHAnsi"/>
              </w:rPr>
              <w:t>izvērtējums</w:t>
            </w:r>
            <w:proofErr w:type="spellEnd"/>
            <w:r w:rsidRPr="00150CDD">
              <w:rPr>
                <w:rFonts w:asciiTheme="majorHAnsi" w:hAnsiTheme="majorHAnsi"/>
              </w:rPr>
              <w:t xml:space="preserve"> ir būtisks, lai mazinātu iespējamos riskus projekta mērķu sasniegšanai un nodrošinātu atbilstību plānotajiem termiņiem.</w:t>
            </w:r>
          </w:p>
          <w:p w14:paraId="2B6B19C2" w14:textId="77777777" w:rsidR="00A42B6B" w:rsidRPr="00150CDD" w:rsidRDefault="00A42B6B" w:rsidP="00150CDD">
            <w:pPr>
              <w:pStyle w:val="PlainText"/>
              <w:rPr>
                <w:rFonts w:asciiTheme="majorHAnsi" w:eastAsia="Times New Roman" w:hAnsiTheme="majorHAnsi" w:cs="Times New Roman"/>
                <w:b/>
                <w:bCs/>
                <w:lang w:val="lv"/>
              </w:rPr>
            </w:pPr>
          </w:p>
        </w:tc>
      </w:tr>
      <w:tr w:rsidR="00A42B6B" w:rsidRPr="00150CDD" w14:paraId="323A119D" w14:textId="77777777">
        <w:tc>
          <w:tcPr>
            <w:tcW w:w="346" w:type="pct"/>
            <w:tcBorders>
              <w:bottom w:val="single" w:sz="4" w:space="0" w:color="000000" w:themeColor="text1"/>
              <w:right w:val="single" w:sz="4" w:space="0" w:color="auto"/>
            </w:tcBorders>
            <w:shd w:val="clear" w:color="auto" w:fill="FFFFFF" w:themeFill="background1"/>
            <w:vAlign w:val="center"/>
          </w:tcPr>
          <w:p w14:paraId="70C0EE2B" w14:textId="09F57D45" w:rsidR="00A42B6B" w:rsidRPr="00150CDD" w:rsidRDefault="00A42B6B" w:rsidP="00A42B6B">
            <w:pPr>
              <w:pStyle w:val="PlainText"/>
              <w:jc w:val="center"/>
              <w:rPr>
                <w:rFonts w:asciiTheme="majorHAnsi" w:hAnsiTheme="majorHAnsi" w:cs="Times New Roman"/>
                <w:b/>
                <w:bCs/>
                <w:lang w:val="lv-LV"/>
              </w:rPr>
            </w:pPr>
            <w:r w:rsidRPr="00150CDD">
              <w:rPr>
                <w:rFonts w:asciiTheme="majorHAnsi" w:hAnsiTheme="majorHAnsi" w:cs="Times New Roman"/>
                <w:b/>
                <w:bCs/>
                <w:lang w:val="lv-LV"/>
              </w:rPr>
              <w:t>3.</w:t>
            </w:r>
          </w:p>
        </w:tc>
        <w:tc>
          <w:tcPr>
            <w:tcW w:w="1960" w:type="pct"/>
            <w:tcBorders>
              <w:bottom w:val="single" w:sz="4" w:space="0" w:color="000000" w:themeColor="text1"/>
              <w:right w:val="single" w:sz="4" w:space="0" w:color="auto"/>
            </w:tcBorders>
            <w:shd w:val="clear" w:color="auto" w:fill="FFFFFF" w:themeFill="background1"/>
          </w:tcPr>
          <w:p w14:paraId="7C480A9F" w14:textId="2D0BCC5B" w:rsidR="00A42B6B" w:rsidRPr="00150CDD" w:rsidRDefault="00A42B6B" w:rsidP="00150CDD">
            <w:pPr>
              <w:jc w:val="both"/>
              <w:rPr>
                <w:rFonts w:asciiTheme="majorHAnsi" w:hAnsiTheme="majorHAnsi"/>
              </w:rPr>
            </w:pPr>
            <w:r w:rsidRPr="00150CDD">
              <w:rPr>
                <w:rFonts w:asciiTheme="majorHAnsi" w:hAnsiTheme="majorHAnsi"/>
                <w:b/>
                <w:bCs/>
              </w:rPr>
              <w:t>Projekta administrēšanas kapacitāte</w:t>
            </w:r>
          </w:p>
          <w:p w14:paraId="28075FCA" w14:textId="6B9B8202" w:rsidR="00A42B6B" w:rsidRPr="00150CDD" w:rsidRDefault="00A42B6B" w:rsidP="00150CDD">
            <w:pPr>
              <w:jc w:val="both"/>
              <w:rPr>
                <w:rFonts w:asciiTheme="majorHAnsi" w:hAnsiTheme="majorHAnsi"/>
              </w:rPr>
            </w:pPr>
            <w:r w:rsidRPr="00150CDD">
              <w:rPr>
                <w:rFonts w:asciiTheme="majorHAnsi" w:hAnsiTheme="majorHAnsi"/>
              </w:rPr>
              <w:t>Lieta ir tāda, ka mūsu situācijā tiks izveidota projekta vadības grupa, kurā ietilps 3 puses (iestāde, projektu vadītājs (ārpakalpojums), izstrādātājs (ārpakalpojums)), kura attiecīgi nosegs visas nepieciešamās amata pozīcijas.</w:t>
            </w:r>
          </w:p>
          <w:p w14:paraId="3DF29EA0" w14:textId="77777777" w:rsidR="00A42B6B" w:rsidRPr="00150CDD" w:rsidRDefault="00A42B6B" w:rsidP="00150CDD">
            <w:pPr>
              <w:jc w:val="both"/>
              <w:rPr>
                <w:rFonts w:asciiTheme="majorHAnsi" w:hAnsiTheme="majorHAnsi"/>
              </w:rPr>
            </w:pPr>
            <w:r w:rsidRPr="00150CDD">
              <w:rPr>
                <w:rFonts w:asciiTheme="majorHAnsi" w:hAnsiTheme="majorHAnsi"/>
              </w:rPr>
              <w:t>Bet pievienojot un aizpildot attiecīgi amata aprakstus, kura no šīm 3 pusēm šeit ir domāta, lai atspoguļojam, kura puse tiks vērtēta?</w:t>
            </w:r>
          </w:p>
          <w:p w14:paraId="136D25E1" w14:textId="5FA2D878" w:rsidR="00A42B6B" w:rsidRPr="00150CDD" w:rsidRDefault="00A42B6B" w:rsidP="00150CDD">
            <w:pPr>
              <w:jc w:val="both"/>
              <w:rPr>
                <w:rFonts w:asciiTheme="majorHAnsi" w:hAnsiTheme="majorHAnsi"/>
              </w:rPr>
            </w:pPr>
            <w:r w:rsidRPr="00150CDD">
              <w:rPr>
                <w:rFonts w:asciiTheme="majorHAnsi" w:hAnsiTheme="majorHAnsi"/>
              </w:rPr>
              <w:t>Piemēram, ja ir domāts kāds no iestādes, tad tam līguma veids ir uzrādāms kā "darba līgums", savukārt, pārējām pusēm - "uzņēmuma līgums".</w:t>
            </w:r>
          </w:p>
          <w:p w14:paraId="5D52E4FB" w14:textId="77777777" w:rsidR="00A42B6B" w:rsidRPr="00150CDD" w:rsidRDefault="00A42B6B" w:rsidP="00150CDD">
            <w:pPr>
              <w:jc w:val="both"/>
              <w:rPr>
                <w:rFonts w:asciiTheme="majorHAnsi" w:hAnsiTheme="majorHAnsi"/>
              </w:rPr>
            </w:pPr>
            <w:r w:rsidRPr="00150CDD">
              <w:rPr>
                <w:rFonts w:asciiTheme="majorHAnsi" w:hAnsiTheme="majorHAnsi"/>
              </w:rPr>
              <w:t>Tas pats jautājumā ar Nodarbināto skaitu.</w:t>
            </w:r>
          </w:p>
          <w:p w14:paraId="347DD804" w14:textId="77777777" w:rsidR="00A42B6B" w:rsidRPr="00150CDD" w:rsidRDefault="00A42B6B" w:rsidP="00150CDD">
            <w:pPr>
              <w:jc w:val="both"/>
              <w:rPr>
                <w:rFonts w:asciiTheme="majorHAnsi" w:hAnsiTheme="majorHAnsi"/>
              </w:rPr>
            </w:pPr>
          </w:p>
        </w:tc>
        <w:tc>
          <w:tcPr>
            <w:tcW w:w="2694" w:type="pct"/>
            <w:tcBorders>
              <w:left w:val="single" w:sz="4" w:space="0" w:color="auto"/>
              <w:bottom w:val="single" w:sz="4" w:space="0" w:color="000000" w:themeColor="text1"/>
            </w:tcBorders>
            <w:shd w:val="clear" w:color="auto" w:fill="FFFFFF" w:themeFill="background1"/>
          </w:tcPr>
          <w:p w14:paraId="0EAF7445" w14:textId="4E5F91C9" w:rsidR="00A42B6B" w:rsidRPr="00150CDD" w:rsidRDefault="00A42B6B" w:rsidP="00150CDD">
            <w:pPr>
              <w:jc w:val="both"/>
              <w:rPr>
                <w:rFonts w:asciiTheme="majorHAnsi" w:hAnsiTheme="majorHAnsi"/>
              </w:rPr>
            </w:pPr>
            <w:r w:rsidRPr="00150CDD">
              <w:rPr>
                <w:rFonts w:asciiTheme="majorHAnsi" w:hAnsiTheme="majorHAnsi"/>
              </w:rPr>
              <w:t>Informācija, kas tiek norādīta projekta iesnieguma sadaļā “Projekta administrēšanas kapacitāte” ir konkrēti par </w:t>
            </w:r>
            <w:r w:rsidRPr="00150CDD">
              <w:rPr>
                <w:rFonts w:asciiTheme="majorHAnsi" w:hAnsiTheme="majorHAnsi"/>
                <w:b/>
                <w:bCs/>
              </w:rPr>
              <w:t>projekta</w:t>
            </w:r>
            <w:r w:rsidRPr="00150CDD">
              <w:rPr>
                <w:rFonts w:asciiTheme="majorHAnsi" w:hAnsiTheme="majorHAnsi"/>
              </w:rPr>
              <w:t> personālu, t.i., ja tiek veidota darba grupa ar visiem iesaistītajiem amatiem, tad no šobrīd pieejamās informācijas secināms, ka šis arī būs tas projekta personāls. Un nav būtiski, vai tas ir kāds no iestādes personāla, kas tiek piesaistīts uz projektu, vai tiks nodarbināts uz pakalpojuma (uzņēmuma) līguma pamata. Ir jābūt atspoguļojumam, ka projektā (nevis iestādē) tiek plānots projekta saturam un sasniedzamajam mērķim  atbilstošs projekta vadības un īstenošanas personāls un personālam ir izvirzītas atbilstošas prasības, lai sekmīgi nodrošinātu gan projekta vadības, gan īstenošanas procesu. Un nodarbināto skaits jānorāda projekta kontekstā, nevis iestādes. Piemēram, ja projektā ir nepieciešami 3 Informāciju sistēmu speciālisti, tad nodarbināto skaits būs 3.</w:t>
            </w:r>
          </w:p>
          <w:p w14:paraId="5AD4D69C" w14:textId="1C5CE251" w:rsidR="00A42B6B" w:rsidRPr="00150CDD" w:rsidRDefault="00A42B6B" w:rsidP="00150CDD">
            <w:pPr>
              <w:jc w:val="both"/>
              <w:rPr>
                <w:rFonts w:asciiTheme="majorHAnsi" w:hAnsiTheme="majorHAnsi"/>
              </w:rPr>
            </w:pPr>
            <w:r w:rsidRPr="00150CDD">
              <w:rPr>
                <w:rFonts w:asciiTheme="majorHAnsi" w:hAnsiTheme="majorHAnsi"/>
              </w:rPr>
              <w:t>Projekta iesnieguma sadaļā “Projekta īstenošanas kapacitāte” detalizētāk apraksta projekta vadības un īstenošanas procesu un tā organizēšanu un tur sniegt informāciju arī par ārpakalpojumā piesaistīto personālu un to, ka atlīdzības izmaksas projekta budžetā netiks plānotas. Jo šajā sadaļā sniedz informāciju par projektā plānoto speciālistu pieejamību vai plānoto iesaistīšanu projekta īstenošanas laikā, tiem nepieciešamo un pieejamo materiāltehnisko nodrošinājumu.</w:t>
            </w:r>
          </w:p>
        </w:tc>
      </w:tr>
      <w:tr w:rsidR="00A42B6B" w:rsidRPr="00150CDD" w14:paraId="30EF658C" w14:textId="77777777">
        <w:tc>
          <w:tcPr>
            <w:tcW w:w="346" w:type="pct"/>
            <w:tcBorders>
              <w:bottom w:val="single" w:sz="4" w:space="0" w:color="000000" w:themeColor="text1"/>
              <w:right w:val="single" w:sz="4" w:space="0" w:color="auto"/>
            </w:tcBorders>
            <w:shd w:val="clear" w:color="auto" w:fill="FFFFFF" w:themeFill="background1"/>
            <w:vAlign w:val="center"/>
          </w:tcPr>
          <w:p w14:paraId="23A5EA73" w14:textId="2FFF98C9" w:rsidR="00A42B6B" w:rsidRPr="00150CDD" w:rsidRDefault="00A42B6B" w:rsidP="00A42B6B">
            <w:pPr>
              <w:pStyle w:val="PlainText"/>
              <w:jc w:val="center"/>
              <w:rPr>
                <w:rFonts w:asciiTheme="majorHAnsi" w:hAnsiTheme="majorHAnsi" w:cs="Times New Roman"/>
                <w:b/>
                <w:bCs/>
                <w:lang w:val="lv-LV"/>
              </w:rPr>
            </w:pPr>
            <w:r w:rsidRPr="00150CDD">
              <w:rPr>
                <w:rFonts w:asciiTheme="majorHAnsi" w:hAnsiTheme="majorHAnsi" w:cs="Times New Roman"/>
                <w:b/>
                <w:bCs/>
                <w:lang w:val="lv-LV"/>
              </w:rPr>
              <w:t xml:space="preserve">4. </w:t>
            </w:r>
          </w:p>
        </w:tc>
        <w:tc>
          <w:tcPr>
            <w:tcW w:w="1960" w:type="pct"/>
            <w:tcBorders>
              <w:bottom w:val="single" w:sz="4" w:space="0" w:color="000000" w:themeColor="text1"/>
              <w:right w:val="single" w:sz="4" w:space="0" w:color="auto"/>
            </w:tcBorders>
            <w:shd w:val="clear" w:color="auto" w:fill="FFFFFF" w:themeFill="background1"/>
          </w:tcPr>
          <w:p w14:paraId="2F20076F" w14:textId="130577ED" w:rsidR="00A42B6B" w:rsidRPr="00150CDD" w:rsidRDefault="00A42B6B" w:rsidP="00150CDD">
            <w:pPr>
              <w:jc w:val="both"/>
              <w:rPr>
                <w:rFonts w:asciiTheme="majorHAnsi" w:hAnsiTheme="majorHAnsi"/>
                <w:b/>
                <w:bCs/>
              </w:rPr>
            </w:pPr>
            <w:r w:rsidRPr="00150CDD">
              <w:rPr>
                <w:rFonts w:asciiTheme="majorHAnsi" w:hAnsiTheme="majorHAnsi"/>
              </w:rPr>
              <w:t>Pēc iepazīšanās ar grozījumiem metodiskajos materiālos saistībā ar pasākuma 1.3.1.1. projektu iesniegumu sagatavošanu, vēlos precizēt vai prasība par stenda izvietošanu publiski pieejamā vietā kā arī informācijas publicēšanu mājaslapa tiek patiešām atcelta un var tikt neveikta?</w:t>
            </w:r>
          </w:p>
        </w:tc>
        <w:tc>
          <w:tcPr>
            <w:tcW w:w="2694" w:type="pct"/>
            <w:tcBorders>
              <w:left w:val="single" w:sz="4" w:space="0" w:color="auto"/>
              <w:bottom w:val="single" w:sz="4" w:space="0" w:color="000000" w:themeColor="text1"/>
            </w:tcBorders>
            <w:shd w:val="clear" w:color="auto" w:fill="FFFFFF" w:themeFill="background1"/>
          </w:tcPr>
          <w:p w14:paraId="681DFEBB" w14:textId="5BCDBDF9" w:rsidR="00A42B6B" w:rsidRPr="00150CDD" w:rsidRDefault="00A42B6B" w:rsidP="00150CDD">
            <w:pPr>
              <w:jc w:val="both"/>
              <w:rPr>
                <w:rFonts w:asciiTheme="majorHAnsi" w:hAnsiTheme="majorHAnsi"/>
              </w:rPr>
            </w:pPr>
            <w:r w:rsidRPr="00150CDD">
              <w:rPr>
                <w:rFonts w:asciiTheme="majorHAnsi" w:hAnsiTheme="majorHAnsi"/>
              </w:rPr>
              <w:t>ES fondu projekta ietvaros īstenojamie obligātie komunikācijas pasākumi un vizuālā identitātes pasākumi atcelti nav, mainījies ir tas, ka šī informācija vairs nav obligāti jāiekļauj projekta iesniegumā, jo vairs nav vienotā kritērija par plānotajiem publicitātes un informācijas izplatīšanas pasākumiem. Tās ir obligātas prasības, tādēļ projekta iesniegumā sīki jāapraksta vairs nav - to nevērtē.</w:t>
            </w:r>
          </w:p>
          <w:p w14:paraId="7AC9F600" w14:textId="61C24491" w:rsidR="00A42B6B" w:rsidRPr="00150CDD" w:rsidRDefault="00A42B6B" w:rsidP="00150CDD">
            <w:pPr>
              <w:jc w:val="both"/>
              <w:rPr>
                <w:rFonts w:asciiTheme="majorHAnsi" w:hAnsiTheme="majorHAnsi"/>
              </w:rPr>
            </w:pPr>
            <w:r w:rsidRPr="00150CDD">
              <w:rPr>
                <w:rFonts w:asciiTheme="majorHAnsi" w:hAnsiTheme="majorHAnsi"/>
              </w:rPr>
              <w:t>Saņemot pozitīvu lēmumu par projekta apstiprināšanu, pielikumā tiek pievienots informatīvs materiāls ar komunikācijas pasākumu un vizuālās identitātes prasībām, kas jāievēro projekta īstenošanas laikā. </w:t>
            </w:r>
          </w:p>
        </w:tc>
      </w:tr>
      <w:tr w:rsidR="00A42B6B" w:rsidRPr="00150CDD" w14:paraId="64063691" w14:textId="77777777">
        <w:tc>
          <w:tcPr>
            <w:tcW w:w="346" w:type="pct"/>
            <w:tcBorders>
              <w:bottom w:val="single" w:sz="4" w:space="0" w:color="000000" w:themeColor="text1"/>
              <w:right w:val="single" w:sz="4" w:space="0" w:color="auto"/>
            </w:tcBorders>
            <w:shd w:val="clear" w:color="auto" w:fill="FFFFFF" w:themeFill="background1"/>
            <w:vAlign w:val="center"/>
          </w:tcPr>
          <w:p w14:paraId="3005E597" w14:textId="29F814FB" w:rsidR="00A42B6B" w:rsidRPr="00150CDD" w:rsidRDefault="00A42B6B" w:rsidP="00A42B6B">
            <w:pPr>
              <w:pStyle w:val="PlainText"/>
              <w:jc w:val="center"/>
              <w:rPr>
                <w:rFonts w:asciiTheme="majorHAnsi" w:hAnsiTheme="majorHAnsi" w:cs="Times New Roman"/>
                <w:b/>
                <w:bCs/>
                <w:lang w:val="lv-LV"/>
              </w:rPr>
            </w:pPr>
            <w:r w:rsidRPr="00150CDD">
              <w:rPr>
                <w:rFonts w:asciiTheme="majorHAnsi" w:hAnsiTheme="majorHAnsi" w:cs="Times New Roman"/>
                <w:b/>
                <w:bCs/>
                <w:lang w:val="lv-LV"/>
              </w:rPr>
              <w:t>5.</w:t>
            </w:r>
          </w:p>
        </w:tc>
        <w:tc>
          <w:tcPr>
            <w:tcW w:w="1960" w:type="pct"/>
            <w:tcBorders>
              <w:bottom w:val="single" w:sz="4" w:space="0" w:color="000000" w:themeColor="text1"/>
              <w:right w:val="single" w:sz="4" w:space="0" w:color="auto"/>
            </w:tcBorders>
            <w:shd w:val="clear" w:color="auto" w:fill="FFFFFF" w:themeFill="background1"/>
          </w:tcPr>
          <w:p w14:paraId="1609EC4D" w14:textId="77777777" w:rsidR="00A42B6B" w:rsidRPr="00150CDD" w:rsidRDefault="00A42B6B" w:rsidP="00150CDD">
            <w:pPr>
              <w:jc w:val="both"/>
              <w:rPr>
                <w:rFonts w:asciiTheme="majorHAnsi" w:hAnsiTheme="majorHAnsi"/>
              </w:rPr>
            </w:pPr>
            <w:r w:rsidRPr="00150CDD">
              <w:rPr>
                <w:rFonts w:asciiTheme="majorHAnsi" w:hAnsiTheme="majorHAnsi"/>
              </w:rPr>
              <w:t>Lūdzam iespēju robežās sniegt atbildes uz šādiem jautājumiem:</w:t>
            </w:r>
          </w:p>
          <w:p w14:paraId="15BB1420" w14:textId="77777777" w:rsidR="00A42B6B" w:rsidRPr="00150CDD" w:rsidRDefault="00A42B6B" w:rsidP="00150CDD">
            <w:pPr>
              <w:jc w:val="both"/>
              <w:rPr>
                <w:rFonts w:asciiTheme="majorHAnsi" w:hAnsiTheme="majorHAnsi"/>
              </w:rPr>
            </w:pPr>
            <w:r w:rsidRPr="00150CDD">
              <w:rPr>
                <w:rFonts w:asciiTheme="majorHAnsi" w:hAnsiTheme="majorHAnsi"/>
              </w:rPr>
              <w:t>1. Vai ir nepieciešams iepriekš saskaņot iepirkuma dokumentāciju ar CFLA pirms iepirkuma izsludināšanas, un kādā termiņā šāda saskaņošana notiek?</w:t>
            </w:r>
          </w:p>
          <w:p w14:paraId="44FFD469" w14:textId="77777777" w:rsidR="00A42B6B" w:rsidRPr="00150CDD" w:rsidRDefault="00A42B6B" w:rsidP="00150CDD">
            <w:pPr>
              <w:jc w:val="both"/>
              <w:rPr>
                <w:rFonts w:asciiTheme="majorHAnsi" w:hAnsiTheme="majorHAnsi"/>
              </w:rPr>
            </w:pPr>
            <w:r w:rsidRPr="00150CDD">
              <w:rPr>
                <w:rFonts w:asciiTheme="majorHAnsi" w:hAnsiTheme="majorHAnsi"/>
              </w:rPr>
              <w:t>2.Kādi dokumenti un kādā kārtībā jāiesniedz CFLA, ja iepirkuma procedūra ir uzsākta pirms finansējuma līguma parakstīšanas — lai šie izdevumi tiktu atzīti par attiecināmiem?</w:t>
            </w:r>
          </w:p>
          <w:p w14:paraId="2584903F" w14:textId="77777777" w:rsidR="00150CDD" w:rsidRDefault="00A42B6B" w:rsidP="00150CDD">
            <w:pPr>
              <w:jc w:val="both"/>
              <w:rPr>
                <w:rFonts w:asciiTheme="majorHAnsi" w:hAnsiTheme="majorHAnsi"/>
              </w:rPr>
            </w:pPr>
            <w:r w:rsidRPr="00150CDD">
              <w:rPr>
                <w:rFonts w:asciiTheme="majorHAnsi" w:hAnsiTheme="majorHAnsi"/>
              </w:rPr>
              <w:t>3. Vai iepirkuma dokumentos ir jāliek kādas atsauces par attiecināmām izmaksām?</w:t>
            </w:r>
          </w:p>
          <w:p w14:paraId="699E7B07" w14:textId="77777777" w:rsidR="00A42B6B" w:rsidRPr="00150CDD" w:rsidRDefault="00150CDD" w:rsidP="00150CDD">
            <w:pPr>
              <w:jc w:val="both"/>
              <w:rPr>
                <w:rFonts w:asciiTheme="majorHAnsi" w:hAnsiTheme="majorHAnsi"/>
              </w:rPr>
            </w:pPr>
            <w:r w:rsidRPr="00150CDD">
              <w:rPr>
                <w:rFonts w:asciiTheme="majorHAnsi" w:hAnsiTheme="majorHAnsi"/>
              </w:rPr>
              <w:t>4</w:t>
            </w:r>
            <w:r w:rsidR="00A42B6B" w:rsidRPr="00150CDD">
              <w:rPr>
                <w:rFonts w:asciiTheme="majorHAnsi" w:hAnsiTheme="majorHAnsi"/>
              </w:rPr>
              <w:t>. Kā noformēt izmaksas (piemēram, stends, personāla izmaksas), kas radušās pirms finansējuma līguma noslēgšanas, kā attiecināmās izmaksas?</w:t>
            </w:r>
          </w:p>
          <w:p w14:paraId="6D45AF37" w14:textId="77777777" w:rsidR="00A42B6B" w:rsidRPr="00150CDD" w:rsidRDefault="00A42B6B" w:rsidP="00150CDD">
            <w:pPr>
              <w:jc w:val="both"/>
              <w:rPr>
                <w:rFonts w:asciiTheme="majorHAnsi" w:hAnsiTheme="majorHAnsi"/>
                <w:b/>
                <w:bCs/>
              </w:rPr>
            </w:pPr>
          </w:p>
        </w:tc>
        <w:tc>
          <w:tcPr>
            <w:tcW w:w="2694" w:type="pct"/>
            <w:tcBorders>
              <w:left w:val="single" w:sz="4" w:space="0" w:color="auto"/>
              <w:bottom w:val="single" w:sz="4" w:space="0" w:color="000000" w:themeColor="text1"/>
            </w:tcBorders>
            <w:shd w:val="clear" w:color="auto" w:fill="FFFFFF" w:themeFill="background1"/>
          </w:tcPr>
          <w:p w14:paraId="7FE2B9F2" w14:textId="77777777" w:rsidR="00A42B6B" w:rsidRPr="00150CDD" w:rsidRDefault="00A42B6B" w:rsidP="00150CDD">
            <w:pPr>
              <w:jc w:val="both"/>
              <w:rPr>
                <w:rFonts w:asciiTheme="majorHAnsi" w:hAnsiTheme="majorHAnsi"/>
              </w:rPr>
            </w:pPr>
            <w:r w:rsidRPr="00150CDD">
              <w:rPr>
                <w:rFonts w:asciiTheme="majorHAnsi" w:hAnsiTheme="majorHAnsi"/>
              </w:rPr>
              <w:t>Ja pirms līguma par projektu īstenošanu plānots uzsākt iepirkuma procedūru vai veikt izmaksas, kas tiks attiecinātas uz projektā plānotajām darbībām, pamatojošajā dokumentācijā nepieciešams iekļaut atsauces uz projektu, piemēram, projekta nosaukumu un 1.3.1.1. pasākumu "IKT risinājumu un pakalpojumu attīstība un iespēju radīšana privātajam sektoram".  Tāpat grāmatvedībā nepieciešams uzskaitīt ar projektu saistītās izmaksas tā, lai tās būtu iespējams identificēt, nodalīt no pārējām izmaksām, lai nodrošinātu atsevišķu grāmatvedības uzskaiti par katra projekta izdevumiem vai atbilstošu uzskaites kodu sistēmu attiecībā uz visiem ar projektu saistītajiem darījumiem.</w:t>
            </w:r>
          </w:p>
          <w:p w14:paraId="3804632A" w14:textId="77777777" w:rsidR="00A42B6B" w:rsidRPr="00150CDD" w:rsidRDefault="00A42B6B" w:rsidP="00150CDD">
            <w:pPr>
              <w:jc w:val="both"/>
              <w:rPr>
                <w:rFonts w:asciiTheme="majorHAnsi" w:hAnsiTheme="majorHAnsi"/>
              </w:rPr>
            </w:pPr>
            <w:r w:rsidRPr="00150CDD">
              <w:rPr>
                <w:rFonts w:asciiTheme="majorHAnsi" w:hAnsiTheme="majorHAnsi"/>
              </w:rPr>
              <w:t>Pirms  līguma par projekta īstenošanu noslēgšanas projekta īstenotājam nav CFLA jāiesniedz iepirkuma dokumentāciju.</w:t>
            </w:r>
          </w:p>
          <w:p w14:paraId="1B5D0B9D" w14:textId="77777777" w:rsidR="00A42B6B" w:rsidRPr="00150CDD" w:rsidRDefault="00A42B6B" w:rsidP="00150CDD">
            <w:pPr>
              <w:jc w:val="both"/>
              <w:rPr>
                <w:rFonts w:asciiTheme="majorHAnsi" w:hAnsiTheme="majorHAnsi"/>
              </w:rPr>
            </w:pPr>
            <w:r w:rsidRPr="00150CDD">
              <w:rPr>
                <w:rFonts w:asciiTheme="majorHAnsi" w:hAnsiTheme="majorHAnsi"/>
              </w:rPr>
              <w:t xml:space="preserve">CFLA var veikt iepirkuma dokumentācijas vai norises </w:t>
            </w:r>
            <w:proofErr w:type="spellStart"/>
            <w:r w:rsidRPr="00150CDD">
              <w:rPr>
                <w:rFonts w:asciiTheme="majorHAnsi" w:hAnsiTheme="majorHAnsi"/>
              </w:rPr>
              <w:t>pirmspārbaudi</w:t>
            </w:r>
            <w:proofErr w:type="spellEnd"/>
            <w:r w:rsidRPr="00150CDD">
              <w:rPr>
                <w:rFonts w:asciiTheme="majorHAnsi" w:hAnsiTheme="majorHAnsi"/>
              </w:rPr>
              <w:t xml:space="preserve"> pēc līguma par projekta īstenošanu noslēgšanas. Piemēram, norises </w:t>
            </w:r>
            <w:proofErr w:type="spellStart"/>
            <w:r w:rsidRPr="00150CDD">
              <w:rPr>
                <w:rFonts w:asciiTheme="majorHAnsi" w:hAnsiTheme="majorHAnsi"/>
              </w:rPr>
              <w:t>pirmspārbaudes</w:t>
            </w:r>
            <w:proofErr w:type="spellEnd"/>
            <w:r w:rsidRPr="00150CDD">
              <w:rPr>
                <w:rFonts w:asciiTheme="majorHAnsi" w:hAnsiTheme="majorHAnsi"/>
              </w:rPr>
              <w:t xml:space="preserve"> gadījumā, lūgsim CFLA noteiktajā termiņā iesniegt elektroniski dokumentu kopijas vai informāciju par tīmekļa vietni, kur pieejama norises dokumentācija, t.sk. nolikumu, rīkojumu par iepirkumu komisijas izveidi, saraksti ar pretendentiem (ja tāda ir), iesniegtos piedāvājumus apliecinājumus par interešu konflikta neesamību, ekspertu atzinumus (ja tādi ir), sanāksmju protokolus, pieņemtos lēmumus un procedūras ziņojumu.</w:t>
            </w:r>
          </w:p>
          <w:p w14:paraId="255FB742" w14:textId="77777777" w:rsidR="00A42B6B" w:rsidRPr="00150CDD" w:rsidRDefault="00A42B6B" w:rsidP="00150CDD">
            <w:pPr>
              <w:jc w:val="both"/>
              <w:rPr>
                <w:rFonts w:asciiTheme="majorHAnsi" w:hAnsiTheme="majorHAnsi"/>
              </w:rPr>
            </w:pPr>
          </w:p>
        </w:tc>
      </w:tr>
      <w:tr w:rsidR="00A42B6B" w:rsidRPr="00150CDD" w14:paraId="0FA511DC" w14:textId="77777777">
        <w:tc>
          <w:tcPr>
            <w:tcW w:w="346" w:type="pct"/>
            <w:tcBorders>
              <w:bottom w:val="single" w:sz="4" w:space="0" w:color="000000" w:themeColor="text1"/>
              <w:right w:val="single" w:sz="4" w:space="0" w:color="auto"/>
            </w:tcBorders>
            <w:shd w:val="clear" w:color="auto" w:fill="FFFFFF" w:themeFill="background1"/>
            <w:vAlign w:val="center"/>
          </w:tcPr>
          <w:p w14:paraId="1E0B8B42" w14:textId="5A5097DA" w:rsidR="00A42B6B" w:rsidRPr="00150CDD" w:rsidRDefault="00A42B6B" w:rsidP="00A42B6B">
            <w:pPr>
              <w:pStyle w:val="PlainText"/>
              <w:jc w:val="center"/>
              <w:rPr>
                <w:rFonts w:asciiTheme="majorHAnsi" w:hAnsiTheme="majorHAnsi" w:cs="Times New Roman"/>
                <w:b/>
                <w:bCs/>
                <w:lang w:val="lv-LV"/>
              </w:rPr>
            </w:pPr>
            <w:r w:rsidRPr="00150CDD">
              <w:rPr>
                <w:rFonts w:asciiTheme="majorHAnsi" w:hAnsiTheme="majorHAnsi" w:cs="Times New Roman"/>
                <w:b/>
                <w:bCs/>
                <w:lang w:val="lv-LV"/>
              </w:rPr>
              <w:t>6.</w:t>
            </w:r>
          </w:p>
        </w:tc>
        <w:tc>
          <w:tcPr>
            <w:tcW w:w="1960" w:type="pct"/>
            <w:tcBorders>
              <w:bottom w:val="single" w:sz="4" w:space="0" w:color="000000" w:themeColor="text1"/>
              <w:right w:val="single" w:sz="4" w:space="0" w:color="auto"/>
            </w:tcBorders>
            <w:shd w:val="clear" w:color="auto" w:fill="FFFFFF" w:themeFill="background1"/>
          </w:tcPr>
          <w:p w14:paraId="3BEA334D" w14:textId="739BE48D" w:rsidR="00A42B6B" w:rsidRPr="00150CDD" w:rsidRDefault="00A42B6B" w:rsidP="00150CDD">
            <w:pPr>
              <w:jc w:val="both"/>
              <w:rPr>
                <w:rFonts w:asciiTheme="majorHAnsi" w:hAnsiTheme="majorHAnsi"/>
              </w:rPr>
            </w:pPr>
            <w:r w:rsidRPr="00150CDD">
              <w:rPr>
                <w:rFonts w:asciiTheme="majorHAnsi" w:hAnsiTheme="majorHAnsi"/>
              </w:rPr>
              <w:t>Tā kā projekta iesniegumā norādītās summas ir balstītas uz prognozēm, praksē tās var mainīties atkarībā no iepirkumu rezultātiem. Lūdzam precizēt</w:t>
            </w:r>
            <w:r w:rsidR="00150CDD">
              <w:rPr>
                <w:rFonts w:asciiTheme="majorHAnsi" w:hAnsiTheme="majorHAnsi"/>
              </w:rPr>
              <w:t>, c</w:t>
            </w:r>
            <w:r w:rsidRPr="00150CDD">
              <w:rPr>
                <w:rFonts w:asciiTheme="majorHAnsi" w:hAnsiTheme="majorHAnsi"/>
              </w:rPr>
              <w:t>ik lielas izmaksu summas ir pieļaujams pārcelt no vienas budžeta pozīcijas uz citu projekta īstenošanas laikā bez atsevišķas saskaņošanas?</w:t>
            </w:r>
          </w:p>
        </w:tc>
        <w:tc>
          <w:tcPr>
            <w:tcW w:w="2694" w:type="pct"/>
            <w:tcBorders>
              <w:left w:val="single" w:sz="4" w:space="0" w:color="auto"/>
              <w:bottom w:val="single" w:sz="4" w:space="0" w:color="000000" w:themeColor="text1"/>
            </w:tcBorders>
            <w:shd w:val="clear" w:color="auto" w:fill="FFFFFF" w:themeFill="background1"/>
          </w:tcPr>
          <w:p w14:paraId="25CE4735" w14:textId="77777777" w:rsidR="00A42B6B" w:rsidRPr="00150CDD" w:rsidRDefault="00A42B6B" w:rsidP="00150CDD">
            <w:pPr>
              <w:jc w:val="both"/>
              <w:rPr>
                <w:rFonts w:asciiTheme="majorHAnsi" w:hAnsiTheme="majorHAnsi"/>
              </w:rPr>
            </w:pPr>
            <w:r w:rsidRPr="00150CDD">
              <w:rPr>
                <w:rFonts w:asciiTheme="majorHAnsi" w:hAnsiTheme="majorHAnsi"/>
              </w:rPr>
              <w:t>Šādas pārdales jāveic, sagatavojot kārtējos grozījumus un pievienojot pamatojumu. Ja maksājumu pieprasījuma brīdī grozījumi vēl nebūs apstiprināti, faktiskajiem izdevumiem būs jāpievieno skaidrojums par situāciju un iemesliem, kāpēc šādas pārdales ir nepieciešamas.</w:t>
            </w:r>
          </w:p>
          <w:p w14:paraId="22BEE006" w14:textId="77777777" w:rsidR="00A42B6B" w:rsidRPr="00150CDD" w:rsidRDefault="00A42B6B" w:rsidP="00150CDD">
            <w:pPr>
              <w:jc w:val="both"/>
              <w:rPr>
                <w:rFonts w:asciiTheme="majorHAnsi" w:hAnsiTheme="majorHAnsi"/>
              </w:rPr>
            </w:pPr>
          </w:p>
        </w:tc>
      </w:tr>
      <w:tr w:rsidR="00150CDD" w:rsidRPr="00150CDD" w14:paraId="7C4D8E37" w14:textId="77777777">
        <w:tc>
          <w:tcPr>
            <w:tcW w:w="346" w:type="pct"/>
            <w:tcBorders>
              <w:bottom w:val="single" w:sz="4" w:space="0" w:color="000000" w:themeColor="text1"/>
              <w:right w:val="single" w:sz="4" w:space="0" w:color="auto"/>
            </w:tcBorders>
            <w:shd w:val="clear" w:color="auto" w:fill="FFFFFF" w:themeFill="background1"/>
            <w:vAlign w:val="center"/>
          </w:tcPr>
          <w:p w14:paraId="6C66750A" w14:textId="50D18B84" w:rsidR="00150CDD" w:rsidRPr="00150CDD" w:rsidRDefault="00150CDD" w:rsidP="00150CDD">
            <w:pPr>
              <w:pStyle w:val="PlainText"/>
              <w:jc w:val="center"/>
              <w:rPr>
                <w:rFonts w:asciiTheme="majorHAnsi" w:hAnsiTheme="majorHAnsi" w:cs="Times New Roman"/>
                <w:b/>
                <w:bCs/>
                <w:lang w:val="lv-LV"/>
              </w:rPr>
            </w:pPr>
            <w:r w:rsidRPr="00150CDD">
              <w:rPr>
                <w:rFonts w:asciiTheme="majorHAnsi" w:hAnsiTheme="majorHAnsi" w:cs="Times New Roman"/>
                <w:b/>
                <w:bCs/>
                <w:lang w:val="lv-LV"/>
              </w:rPr>
              <w:t>7.</w:t>
            </w:r>
          </w:p>
        </w:tc>
        <w:tc>
          <w:tcPr>
            <w:tcW w:w="1960" w:type="pct"/>
            <w:tcBorders>
              <w:bottom w:val="single" w:sz="4" w:space="0" w:color="000000" w:themeColor="text1"/>
              <w:right w:val="single" w:sz="4" w:space="0" w:color="auto"/>
            </w:tcBorders>
            <w:shd w:val="clear" w:color="auto" w:fill="FFFFFF" w:themeFill="background1"/>
          </w:tcPr>
          <w:p w14:paraId="31A4E051" w14:textId="544442F7" w:rsidR="00150CDD" w:rsidRPr="00150CDD" w:rsidRDefault="00150CDD" w:rsidP="00150CDD">
            <w:pPr>
              <w:jc w:val="both"/>
              <w:rPr>
                <w:rFonts w:asciiTheme="majorHAnsi" w:hAnsiTheme="majorHAnsi"/>
              </w:rPr>
            </w:pPr>
            <w:r w:rsidRPr="00150CDD">
              <w:rPr>
                <w:rFonts w:asciiTheme="majorHAnsi" w:hAnsiTheme="majorHAnsi"/>
              </w:rPr>
              <w:t>Pārdale starp 1. līmeņa pozīcijām: vai ir pieļaujams pārcelt finansējumu no vienas 1. līmeņa pozīcijas uz citu (piemēram, no 10. pozīcijas uz 5. pozīciju)? Ja jā — kāds ir pieļaujamais pārdales apjoms un vai tas prasa iepriekšēju saskaņošanu ar CFLA?</w:t>
            </w:r>
          </w:p>
        </w:tc>
        <w:tc>
          <w:tcPr>
            <w:tcW w:w="2694" w:type="pct"/>
            <w:tcBorders>
              <w:left w:val="single" w:sz="4" w:space="0" w:color="auto"/>
              <w:bottom w:val="single" w:sz="4" w:space="0" w:color="000000" w:themeColor="text1"/>
            </w:tcBorders>
            <w:shd w:val="clear" w:color="auto" w:fill="FFFFFF" w:themeFill="background1"/>
          </w:tcPr>
          <w:p w14:paraId="1D3E5B9E" w14:textId="014B93D4" w:rsidR="00150CDD" w:rsidRPr="00150CDD" w:rsidRDefault="00150CDD" w:rsidP="00150CDD">
            <w:pPr>
              <w:jc w:val="both"/>
              <w:rPr>
                <w:rFonts w:asciiTheme="majorHAnsi" w:hAnsiTheme="majorHAnsi"/>
              </w:rPr>
            </w:pPr>
            <w:r w:rsidRPr="00150CDD">
              <w:rPr>
                <w:rFonts w:asciiTheme="majorHAnsi" w:hAnsiTheme="majorHAnsi"/>
              </w:rPr>
              <w:t>Nav noteikts, cik lielas pārdales drīkst veikt, taču tās var būt nozīmīgas izmaiņas projektā — īpaši, ja tiek mainīts liels apjoms, kas var nozīmēt arī kādu aktivitāšu neveikšanu. Ja jau tagad zināt, kādas aktivitātes un iepirkumi būs jāveic, lūdzu, norādiet tiem atbilstošās plānotās izmaksas jau šobrīd.</w:t>
            </w:r>
          </w:p>
        </w:tc>
      </w:tr>
      <w:tr w:rsidR="00150CDD" w:rsidRPr="00150CDD" w14:paraId="4A034F8B" w14:textId="77777777">
        <w:tc>
          <w:tcPr>
            <w:tcW w:w="346" w:type="pct"/>
            <w:tcBorders>
              <w:bottom w:val="single" w:sz="4" w:space="0" w:color="000000" w:themeColor="text1"/>
              <w:right w:val="single" w:sz="4" w:space="0" w:color="auto"/>
            </w:tcBorders>
            <w:shd w:val="clear" w:color="auto" w:fill="FFFFFF" w:themeFill="background1"/>
            <w:vAlign w:val="center"/>
          </w:tcPr>
          <w:p w14:paraId="1A4AE6E9" w14:textId="2A67450D" w:rsidR="00150CDD" w:rsidRPr="00150CDD" w:rsidRDefault="00150CDD" w:rsidP="00150CDD">
            <w:pPr>
              <w:pStyle w:val="PlainText"/>
              <w:jc w:val="center"/>
              <w:rPr>
                <w:rFonts w:asciiTheme="majorHAnsi" w:hAnsiTheme="majorHAnsi" w:cs="Times New Roman"/>
                <w:b/>
                <w:bCs/>
                <w:lang w:val="lv-LV"/>
              </w:rPr>
            </w:pPr>
            <w:r w:rsidRPr="00150CDD">
              <w:rPr>
                <w:rFonts w:asciiTheme="majorHAnsi" w:hAnsiTheme="majorHAnsi" w:cs="Times New Roman"/>
                <w:b/>
                <w:bCs/>
                <w:lang w:val="lv-LV"/>
              </w:rPr>
              <w:t>8.</w:t>
            </w:r>
          </w:p>
        </w:tc>
        <w:tc>
          <w:tcPr>
            <w:tcW w:w="1960" w:type="pct"/>
            <w:tcBorders>
              <w:bottom w:val="single" w:sz="4" w:space="0" w:color="000000" w:themeColor="text1"/>
              <w:right w:val="single" w:sz="4" w:space="0" w:color="auto"/>
            </w:tcBorders>
            <w:shd w:val="clear" w:color="auto" w:fill="FFFFFF" w:themeFill="background1"/>
          </w:tcPr>
          <w:p w14:paraId="701DEE0E" w14:textId="77777777" w:rsidR="00150CDD" w:rsidRPr="00150CDD" w:rsidRDefault="00150CDD" w:rsidP="00150CDD">
            <w:pPr>
              <w:jc w:val="both"/>
              <w:rPr>
                <w:rFonts w:asciiTheme="majorHAnsi" w:hAnsiTheme="majorHAnsi"/>
              </w:rPr>
            </w:pPr>
            <w:r w:rsidRPr="00150CDD">
              <w:rPr>
                <w:rFonts w:asciiTheme="majorHAnsi" w:hAnsiTheme="majorHAnsi"/>
              </w:rPr>
              <w:t>Ja pārcelšanai virs noteiktas summas (norādīt, ja šāda summa ir) ir nepieciešama saskaņošana, kāda ir kārtība un kādi dokumenti jāiesniedz?</w:t>
            </w:r>
          </w:p>
          <w:p w14:paraId="468930B1" w14:textId="77777777" w:rsidR="00150CDD" w:rsidRPr="00150CDD" w:rsidRDefault="00150CDD" w:rsidP="00150CDD">
            <w:pPr>
              <w:jc w:val="both"/>
              <w:rPr>
                <w:rFonts w:asciiTheme="majorHAnsi" w:hAnsiTheme="majorHAnsi"/>
                <w:b/>
                <w:bCs/>
              </w:rPr>
            </w:pPr>
          </w:p>
        </w:tc>
        <w:tc>
          <w:tcPr>
            <w:tcW w:w="2694" w:type="pct"/>
            <w:tcBorders>
              <w:left w:val="single" w:sz="4" w:space="0" w:color="auto"/>
              <w:bottom w:val="single" w:sz="4" w:space="0" w:color="000000" w:themeColor="text1"/>
            </w:tcBorders>
            <w:shd w:val="clear" w:color="auto" w:fill="FFFFFF" w:themeFill="background1"/>
          </w:tcPr>
          <w:p w14:paraId="474276C9" w14:textId="77777777" w:rsidR="00150CDD" w:rsidRPr="00150CDD" w:rsidRDefault="00150CDD" w:rsidP="00150CDD">
            <w:pPr>
              <w:jc w:val="both"/>
              <w:rPr>
                <w:rFonts w:asciiTheme="majorHAnsi" w:hAnsiTheme="majorHAnsi"/>
              </w:rPr>
            </w:pPr>
            <w:r w:rsidRPr="00150CDD">
              <w:rPr>
                <w:rFonts w:asciiTheme="majorHAnsi" w:hAnsiTheme="majorHAnsi"/>
              </w:rPr>
              <w:t>Ja projektā ir plānotas būtiskas izmaiņas, nepieciešams sagatavot un iesniegt līguma grozījumus Projektu portālā (KPVIS). Vienā priekšlikumā jāapvieno visa aktuālā informācija par projektu, t. sk. arī par tehniskiem grozījumiem u.c. precizējumi, ja tādi ir nepieciešami. Priekšlikumam jāpievieno pamatojums un dokumenti, kas apliecina plānotās izmaiņas.</w:t>
            </w:r>
          </w:p>
          <w:p w14:paraId="181DCB0C" w14:textId="1D1A1BC8" w:rsidR="00150CDD" w:rsidRPr="00150CDD" w:rsidRDefault="00150CDD" w:rsidP="00150CDD">
            <w:pPr>
              <w:jc w:val="both"/>
              <w:rPr>
                <w:rFonts w:asciiTheme="majorHAnsi" w:hAnsiTheme="majorHAnsi"/>
              </w:rPr>
            </w:pPr>
            <w:r w:rsidRPr="00150CDD">
              <w:rPr>
                <w:rFonts w:asciiTheme="majorHAnsi" w:hAnsiTheme="majorHAnsi"/>
              </w:rPr>
              <w:t>Budžeta pārdale starp izmaksu pozīcijām ir pieļaujama tikai MK noteikumos Nr.338 noteikto ierobežojumu ietvaros un esošā kopējā projekta budžeta apjomā.</w:t>
            </w:r>
          </w:p>
        </w:tc>
      </w:tr>
      <w:tr w:rsidR="00150CDD" w:rsidRPr="00150CDD" w14:paraId="0701A930" w14:textId="77777777">
        <w:tc>
          <w:tcPr>
            <w:tcW w:w="346" w:type="pct"/>
            <w:tcBorders>
              <w:bottom w:val="single" w:sz="4" w:space="0" w:color="000000" w:themeColor="text1"/>
              <w:right w:val="single" w:sz="4" w:space="0" w:color="auto"/>
            </w:tcBorders>
            <w:shd w:val="clear" w:color="auto" w:fill="FFFFFF" w:themeFill="background1"/>
            <w:vAlign w:val="center"/>
          </w:tcPr>
          <w:p w14:paraId="771E50C4" w14:textId="21F0FB9B" w:rsidR="00150CDD" w:rsidRPr="00150CDD" w:rsidRDefault="00150CDD" w:rsidP="00150CDD">
            <w:pPr>
              <w:pStyle w:val="PlainText"/>
              <w:jc w:val="center"/>
              <w:rPr>
                <w:rFonts w:asciiTheme="majorHAnsi" w:hAnsiTheme="majorHAnsi" w:cs="Times New Roman"/>
                <w:b/>
                <w:bCs/>
                <w:lang w:val="lv-LV"/>
              </w:rPr>
            </w:pPr>
            <w:r w:rsidRPr="00150CDD">
              <w:rPr>
                <w:rFonts w:asciiTheme="majorHAnsi" w:hAnsiTheme="majorHAnsi" w:cs="Times New Roman"/>
                <w:b/>
                <w:bCs/>
                <w:lang w:val="lv-LV"/>
              </w:rPr>
              <w:t>9.</w:t>
            </w:r>
          </w:p>
        </w:tc>
        <w:tc>
          <w:tcPr>
            <w:tcW w:w="1960" w:type="pct"/>
            <w:tcBorders>
              <w:bottom w:val="single" w:sz="4" w:space="0" w:color="000000" w:themeColor="text1"/>
              <w:right w:val="single" w:sz="4" w:space="0" w:color="auto"/>
            </w:tcBorders>
            <w:shd w:val="clear" w:color="auto" w:fill="FFFFFF" w:themeFill="background1"/>
          </w:tcPr>
          <w:p w14:paraId="577EB5FD" w14:textId="77777777" w:rsidR="00150CDD" w:rsidRPr="00150CDD" w:rsidRDefault="00150CDD" w:rsidP="00150CDD">
            <w:pPr>
              <w:jc w:val="both"/>
              <w:rPr>
                <w:rFonts w:asciiTheme="majorHAnsi" w:hAnsiTheme="majorHAnsi"/>
              </w:rPr>
            </w:pPr>
            <w:r w:rsidRPr="00150CDD">
              <w:rPr>
                <w:rFonts w:asciiTheme="majorHAnsi" w:hAnsiTheme="majorHAnsi"/>
              </w:rPr>
              <w:t>Piemērs: ja sākotnēji rokasgrāmatu izstrādei budžetā paredzēti 15 000 EUR, bet iepirkuma rezultātā konstatēts, ka nepieciešami 20 000 EUR — kā ir jārīkojas ar starpības segšanu no citām pozīcijām un vai tas prasa iepriekšēju saskaņošanu ar CFLA?</w:t>
            </w:r>
          </w:p>
          <w:p w14:paraId="610D7121" w14:textId="77777777" w:rsidR="00150CDD" w:rsidRPr="00150CDD" w:rsidRDefault="00150CDD" w:rsidP="00150CDD">
            <w:pPr>
              <w:jc w:val="both"/>
              <w:rPr>
                <w:rFonts w:asciiTheme="majorHAnsi" w:hAnsiTheme="majorHAnsi"/>
                <w:b/>
                <w:bCs/>
              </w:rPr>
            </w:pPr>
          </w:p>
        </w:tc>
        <w:tc>
          <w:tcPr>
            <w:tcW w:w="2694" w:type="pct"/>
            <w:tcBorders>
              <w:left w:val="single" w:sz="4" w:space="0" w:color="auto"/>
              <w:bottom w:val="single" w:sz="4" w:space="0" w:color="000000" w:themeColor="text1"/>
            </w:tcBorders>
            <w:shd w:val="clear" w:color="auto" w:fill="FFFFFF" w:themeFill="background1"/>
          </w:tcPr>
          <w:p w14:paraId="33189097" w14:textId="77777777" w:rsidR="00150CDD" w:rsidRPr="00150CDD" w:rsidRDefault="00150CDD" w:rsidP="00150CDD">
            <w:pPr>
              <w:jc w:val="both"/>
              <w:rPr>
                <w:rFonts w:asciiTheme="majorHAnsi" w:hAnsiTheme="majorHAnsi"/>
              </w:rPr>
            </w:pPr>
            <w:r w:rsidRPr="00150CDD">
              <w:rPr>
                <w:rFonts w:asciiTheme="majorHAnsi" w:hAnsiTheme="majorHAnsi"/>
              </w:rPr>
              <w:t>Izvērtējot Jūsu sniegto piemēru, ar kārtējiem līguma grozījumiem jāiekļauj izmaiņas, kas atspoguļo faktisko projekta īstenošanas situāciju.</w:t>
            </w:r>
          </w:p>
          <w:p w14:paraId="506FB6FD" w14:textId="77777777" w:rsidR="00150CDD" w:rsidRPr="00150CDD" w:rsidRDefault="00150CDD" w:rsidP="00150CDD">
            <w:pPr>
              <w:jc w:val="both"/>
              <w:rPr>
                <w:rFonts w:asciiTheme="majorHAnsi" w:hAnsiTheme="majorHAnsi"/>
              </w:rPr>
            </w:pPr>
            <w:r w:rsidRPr="00150CDD">
              <w:rPr>
                <w:rFonts w:asciiTheme="majorHAnsi" w:hAnsiTheme="majorHAnsi"/>
              </w:rPr>
              <w:t>Līdz grozījumu iesniegšanai Jums jāiesniedz aktualizētais iepirkumu plāns, kur piezīmēs norādīsiet īsu skaidrojumu par plānotajām izmaiņām. Iesniedzot maksājuma pieprasījumu, būs jāsniedz arī skaidrojums par veikto pārdali.</w:t>
            </w:r>
          </w:p>
          <w:p w14:paraId="70B75362" w14:textId="062AA593" w:rsidR="00150CDD" w:rsidRPr="00150CDD" w:rsidRDefault="00150CDD" w:rsidP="00150CDD">
            <w:pPr>
              <w:jc w:val="both"/>
              <w:rPr>
                <w:rFonts w:asciiTheme="majorHAnsi" w:hAnsiTheme="majorHAnsi"/>
              </w:rPr>
            </w:pPr>
            <w:r w:rsidRPr="00150CDD">
              <w:rPr>
                <w:rFonts w:asciiTheme="majorHAnsi" w:hAnsiTheme="majorHAnsi"/>
              </w:rPr>
              <w:t>Vienlaikus aicinām izvērtēt arī citus nepieciešamos iepirkumus, lai nodrošinātu pārējo projekta aktivitāšu īstenošanu un saprastu, kā minētā situācija var ietekmēt kopējo projektu.</w:t>
            </w:r>
          </w:p>
          <w:p w14:paraId="5BB9EE8E" w14:textId="2D7E2113" w:rsidR="00150CDD" w:rsidRPr="00150CDD" w:rsidRDefault="00150CDD" w:rsidP="00150CDD">
            <w:pPr>
              <w:jc w:val="both"/>
              <w:rPr>
                <w:rFonts w:asciiTheme="majorHAnsi" w:hAnsiTheme="majorHAnsi"/>
              </w:rPr>
            </w:pPr>
            <w:r w:rsidRPr="00150CDD">
              <w:rPr>
                <w:rFonts w:asciiTheme="majorHAnsi" w:hAnsiTheme="majorHAnsi"/>
              </w:rPr>
              <w:t>Aicinām, ja ir kādas neskaidrības par grozījumu nepieciešamību faktiski īstenojot projektu, iepriekš sazināties ar projekta vadītāju no CFLA puses, jo situācijas ir iespējamas dažādas.</w:t>
            </w:r>
          </w:p>
        </w:tc>
      </w:tr>
      <w:tr w:rsidR="00150CDD" w:rsidRPr="00150CDD" w14:paraId="52A016CE" w14:textId="77777777">
        <w:tc>
          <w:tcPr>
            <w:tcW w:w="346" w:type="pct"/>
            <w:tcBorders>
              <w:bottom w:val="single" w:sz="4" w:space="0" w:color="000000" w:themeColor="text1"/>
              <w:right w:val="single" w:sz="4" w:space="0" w:color="auto"/>
            </w:tcBorders>
            <w:shd w:val="clear" w:color="auto" w:fill="FFFFFF" w:themeFill="background1"/>
            <w:vAlign w:val="center"/>
          </w:tcPr>
          <w:p w14:paraId="6615AE55" w14:textId="2B336558" w:rsidR="00150CDD" w:rsidRPr="00150CDD" w:rsidRDefault="00150CDD" w:rsidP="00150CDD">
            <w:pPr>
              <w:pStyle w:val="PlainText"/>
              <w:jc w:val="center"/>
              <w:rPr>
                <w:rFonts w:asciiTheme="majorHAnsi" w:hAnsiTheme="majorHAnsi" w:cs="Times New Roman"/>
                <w:b/>
                <w:bCs/>
                <w:lang w:val="lv-LV"/>
              </w:rPr>
            </w:pPr>
            <w:r>
              <w:rPr>
                <w:rFonts w:asciiTheme="majorHAnsi" w:hAnsiTheme="majorHAnsi" w:cs="Times New Roman"/>
                <w:b/>
                <w:bCs/>
                <w:lang w:val="lv-LV"/>
              </w:rPr>
              <w:t>10.</w:t>
            </w:r>
          </w:p>
        </w:tc>
        <w:tc>
          <w:tcPr>
            <w:tcW w:w="1960" w:type="pct"/>
            <w:tcBorders>
              <w:bottom w:val="single" w:sz="4" w:space="0" w:color="000000" w:themeColor="text1"/>
              <w:right w:val="single" w:sz="4" w:space="0" w:color="auto"/>
            </w:tcBorders>
            <w:shd w:val="clear" w:color="auto" w:fill="FFFFFF" w:themeFill="background1"/>
          </w:tcPr>
          <w:p w14:paraId="2CB0477D" w14:textId="77777777" w:rsidR="00150CDD" w:rsidRPr="00150CDD" w:rsidRDefault="00150CDD" w:rsidP="00150CDD">
            <w:pPr>
              <w:jc w:val="both"/>
              <w:rPr>
                <w:rFonts w:asciiTheme="majorHAnsi" w:hAnsiTheme="majorHAnsi"/>
              </w:rPr>
            </w:pPr>
            <w:r w:rsidRPr="00150CDD">
              <w:rPr>
                <w:rFonts w:asciiTheme="majorHAnsi" w:hAnsiTheme="majorHAnsi"/>
              </w:rPr>
              <w:t>Ja sākotnēji plānots piesaistīt ārēju izpildītāju iepirkuma ceļā, taču iepirkuma līgums netiek noslēgts (risks iestājas), vai ir iespējams:</w:t>
            </w:r>
          </w:p>
          <w:p w14:paraId="01B35C82" w14:textId="77777777" w:rsidR="00150CDD" w:rsidRPr="00150CDD" w:rsidRDefault="00150CDD" w:rsidP="00150CDD">
            <w:pPr>
              <w:numPr>
                <w:ilvl w:val="0"/>
                <w:numId w:val="5"/>
              </w:numPr>
              <w:jc w:val="both"/>
              <w:rPr>
                <w:rFonts w:asciiTheme="majorHAnsi" w:hAnsiTheme="majorHAnsi"/>
              </w:rPr>
            </w:pPr>
            <w:r w:rsidRPr="00150CDD">
              <w:rPr>
                <w:rFonts w:asciiTheme="majorHAnsi" w:hAnsiTheme="majorHAnsi"/>
              </w:rPr>
              <w:t>pārcelt sākotnēji ārējam izstrādātājam paredzēto finansējumu uz iestādes īstenošanas personāla izmaksām (veidot amata vietu pārvaldē un piesaistīt attiecīgos speciālistus, atsevišķos gadījumos slēdzam iepirkuma līgumus);</w:t>
            </w:r>
          </w:p>
          <w:p w14:paraId="58F08F63" w14:textId="77777777" w:rsidR="00150CDD" w:rsidRPr="00150CDD" w:rsidRDefault="00150CDD" w:rsidP="00150CDD">
            <w:pPr>
              <w:numPr>
                <w:ilvl w:val="0"/>
                <w:numId w:val="5"/>
              </w:numPr>
              <w:jc w:val="both"/>
              <w:rPr>
                <w:rFonts w:asciiTheme="majorHAnsi" w:hAnsiTheme="majorHAnsi"/>
              </w:rPr>
            </w:pPr>
            <w:r w:rsidRPr="00150CDD">
              <w:rPr>
                <w:rFonts w:asciiTheme="majorHAnsi" w:hAnsiTheme="majorHAnsi"/>
              </w:rPr>
              <w:t>kāda ir rīcības kārtība, ja projekta īstenošanas līgums ar CFLA jau ir noslēgts un šāda finansējuma pārdale kļūst nepieciešama projekta īstenošanas gaitā (kādi dokumenti un pamatojums jāsagatavo, lai šādas izmaiņas saskaņotu ar CFLA)?</w:t>
            </w:r>
          </w:p>
          <w:p w14:paraId="68CDE046" w14:textId="77777777" w:rsidR="00150CDD" w:rsidRPr="00150CDD" w:rsidRDefault="00150CDD" w:rsidP="00150CDD">
            <w:pPr>
              <w:jc w:val="both"/>
              <w:rPr>
                <w:rFonts w:asciiTheme="majorHAnsi" w:hAnsiTheme="majorHAnsi"/>
              </w:rPr>
            </w:pPr>
          </w:p>
        </w:tc>
        <w:tc>
          <w:tcPr>
            <w:tcW w:w="2694" w:type="pct"/>
            <w:tcBorders>
              <w:left w:val="single" w:sz="4" w:space="0" w:color="auto"/>
              <w:bottom w:val="single" w:sz="4" w:space="0" w:color="000000" w:themeColor="text1"/>
            </w:tcBorders>
            <w:shd w:val="clear" w:color="auto" w:fill="FFFFFF" w:themeFill="background1"/>
          </w:tcPr>
          <w:p w14:paraId="31B889B7" w14:textId="64D083C1" w:rsidR="00150CDD" w:rsidRPr="00150CDD" w:rsidRDefault="00150CDD" w:rsidP="00150CDD">
            <w:pPr>
              <w:jc w:val="both"/>
              <w:rPr>
                <w:rFonts w:asciiTheme="majorHAnsi" w:hAnsiTheme="majorHAnsi"/>
              </w:rPr>
            </w:pPr>
            <w:r w:rsidRPr="00150CDD">
              <w:rPr>
                <w:rFonts w:asciiTheme="majorHAnsi" w:hAnsiTheme="majorHAnsi"/>
              </w:rPr>
              <w:t>Atbilstoši MK noteikumu Nr.338 anotācijā noteiktajam, ja projekta aktivitātes veiks īstenošanas personāls, ievērojot MK noteikumu Nr.338 32.punktu par procentuālajiem ierobežojumiem, tad darbi tiek veikti iestādes resursu ietvaros un atbilst projekta būtībai, kas nozīmē, ka šāds īstenošanas personāls iestādei jau ir nodrošināts, nebūtu atbalstāms papildus veidot amata vietu.</w:t>
            </w:r>
          </w:p>
          <w:p w14:paraId="7112FB5D" w14:textId="2734270E" w:rsidR="00150CDD" w:rsidRPr="00150CDD" w:rsidRDefault="00150CDD" w:rsidP="00150CDD">
            <w:pPr>
              <w:jc w:val="both"/>
              <w:rPr>
                <w:rFonts w:asciiTheme="majorHAnsi" w:hAnsiTheme="majorHAnsi"/>
              </w:rPr>
            </w:pPr>
            <w:r w:rsidRPr="00150CDD">
              <w:rPr>
                <w:rFonts w:asciiTheme="majorHAnsi" w:hAnsiTheme="majorHAnsi"/>
              </w:rPr>
              <w:t>Vērtējot projekta aktivitāšu veikšanu, jāņem vērā MK noteikumu Nr.338 50.punkta nosacījumu, kas nozīmē, ja projekta aktivitāte paredz iepirkt, piemēram, rokasgrāmatas izstrādi, tad jāveic iepirkumu par rokasgrāmatas izstrādi atbilstoši PIL prasībām nevis jāiepērk īstenošanas personāls.</w:t>
            </w:r>
          </w:p>
          <w:p w14:paraId="00421507" w14:textId="77777777" w:rsidR="00150CDD" w:rsidRPr="00150CDD" w:rsidRDefault="00150CDD" w:rsidP="00150CDD">
            <w:pPr>
              <w:jc w:val="both"/>
              <w:rPr>
                <w:rFonts w:asciiTheme="majorHAnsi" w:hAnsiTheme="majorHAnsi"/>
              </w:rPr>
            </w:pPr>
            <w:r w:rsidRPr="00150CDD">
              <w:rPr>
                <w:rFonts w:asciiTheme="majorHAnsi" w:hAnsiTheme="majorHAnsi"/>
              </w:rPr>
              <w:t xml:space="preserve">Ja projekta būtība to pieļauj, projekta darbi var tikt veikti iestādes resursu ietvaros (projekta īstenošanā iesaista savus resursus un ekspertus ar jau esošu pieredzi, nevis iepērk pakalpojumus atbilstoši PIL prasībām), tad par minēto ir jābūt </w:t>
            </w:r>
            <w:proofErr w:type="spellStart"/>
            <w:r w:rsidRPr="00150CDD">
              <w:rPr>
                <w:rFonts w:asciiTheme="majorHAnsi" w:hAnsiTheme="majorHAnsi"/>
              </w:rPr>
              <w:t>izvērtējumam</w:t>
            </w:r>
            <w:proofErr w:type="spellEnd"/>
            <w:r w:rsidRPr="00150CDD">
              <w:rPr>
                <w:rFonts w:asciiTheme="majorHAnsi" w:hAnsiTheme="majorHAnsi"/>
              </w:rPr>
              <w:t xml:space="preserve">, ka tas ir lietderīgāk, piemērotāk un saimnieciski izdevīgāk. Šajā gadījumā finansējuma saņēmējam nepieciešams pamatot ar tirgus </w:t>
            </w:r>
            <w:proofErr w:type="spellStart"/>
            <w:r w:rsidRPr="00150CDD">
              <w:rPr>
                <w:rFonts w:asciiTheme="majorHAnsi" w:hAnsiTheme="majorHAnsi"/>
              </w:rPr>
              <w:t>izvērtējumu</w:t>
            </w:r>
            <w:proofErr w:type="spellEnd"/>
            <w:r w:rsidRPr="00150CDD">
              <w:rPr>
                <w:rFonts w:asciiTheme="majorHAnsi" w:hAnsiTheme="majorHAnsi"/>
              </w:rPr>
              <w:t>, kurš iesniedzams kopā ar projekta iesniegumu, kāpēc no tirgū pieejamā pakalpojumu un kompetenču viedokļa savu iekšējo resursu piesaistīts projekta īstenošanas personāls un pakalpojumi ir saimnieciski pamatotākais risinājums, kā arī stingri un auditējami dokumentējot projekta īstenošanā iesaistītā personāla veiktos darbus un nodrošinot auditējamu nodevumu sagatavošanu un pieejamību, lai nošķirtu iekšējo resursu veikto darbu apjomu projekta īstenošanas vajadzībām no darbiem, kas veikti savu vajadzību nodrošināšanai un īstenošanai, proti, jābūt auditējami nošķiramiem projekta īstenošanā veiktajiem darbiem, izmantotajiem resursiem un finansējumam no izlietotā finansējuma citām aktivitātēm.</w:t>
            </w:r>
          </w:p>
          <w:p w14:paraId="3D21BEC3" w14:textId="7FAE3A78" w:rsidR="00150CDD" w:rsidRPr="00150CDD" w:rsidRDefault="00150CDD" w:rsidP="00150CDD">
            <w:pPr>
              <w:jc w:val="both"/>
              <w:rPr>
                <w:rFonts w:asciiTheme="majorHAnsi" w:hAnsiTheme="majorHAnsi"/>
              </w:rPr>
            </w:pPr>
            <w:r w:rsidRPr="00150CDD">
              <w:rPr>
                <w:rFonts w:asciiTheme="majorHAnsi" w:hAnsiTheme="majorHAnsi"/>
              </w:rPr>
              <w:t> Papildus norādām, ka jaunas amata vietas izveide būtu jāskaņo ar Valsts kanceleju, apstiprinot projekta pasi, kā arī projektu ietvaros ir jānodrošina atbilstība MK apstiprinātajās projektu pasēs norādītajam prognozētajam personāla izmaksu % apmēram.</w:t>
            </w:r>
          </w:p>
        </w:tc>
      </w:tr>
      <w:tr w:rsidR="00150CDD" w:rsidRPr="00150CDD" w14:paraId="6C7452CD" w14:textId="77777777">
        <w:tc>
          <w:tcPr>
            <w:tcW w:w="346" w:type="pct"/>
            <w:tcBorders>
              <w:bottom w:val="single" w:sz="4" w:space="0" w:color="000000" w:themeColor="text1"/>
              <w:right w:val="single" w:sz="4" w:space="0" w:color="auto"/>
            </w:tcBorders>
            <w:shd w:val="clear" w:color="auto" w:fill="FFFFFF" w:themeFill="background1"/>
            <w:vAlign w:val="center"/>
          </w:tcPr>
          <w:p w14:paraId="16016E9B" w14:textId="20B379DC" w:rsidR="00150CDD" w:rsidRPr="00150CDD" w:rsidRDefault="00150CDD" w:rsidP="00150CDD">
            <w:pPr>
              <w:pStyle w:val="PlainText"/>
              <w:jc w:val="center"/>
              <w:rPr>
                <w:rFonts w:asciiTheme="majorHAnsi" w:hAnsiTheme="majorHAnsi" w:cs="Times New Roman"/>
                <w:b/>
                <w:bCs/>
                <w:lang w:val="lv-LV"/>
              </w:rPr>
            </w:pPr>
            <w:r>
              <w:rPr>
                <w:rFonts w:asciiTheme="majorHAnsi" w:hAnsiTheme="majorHAnsi" w:cs="Times New Roman"/>
                <w:b/>
                <w:bCs/>
                <w:lang w:val="lv-LV"/>
              </w:rPr>
              <w:t>11.</w:t>
            </w:r>
          </w:p>
        </w:tc>
        <w:tc>
          <w:tcPr>
            <w:tcW w:w="1960" w:type="pct"/>
            <w:tcBorders>
              <w:bottom w:val="single" w:sz="4" w:space="0" w:color="000000" w:themeColor="text1"/>
              <w:right w:val="single" w:sz="4" w:space="0" w:color="auto"/>
            </w:tcBorders>
            <w:shd w:val="clear" w:color="auto" w:fill="FFFFFF" w:themeFill="background1"/>
          </w:tcPr>
          <w:p w14:paraId="47BAF779" w14:textId="7BFDAD0A" w:rsidR="00150CDD" w:rsidRPr="00150CDD" w:rsidRDefault="00150CDD" w:rsidP="00150CDD">
            <w:pPr>
              <w:jc w:val="both"/>
              <w:rPr>
                <w:rFonts w:asciiTheme="majorHAnsi" w:hAnsiTheme="majorHAnsi"/>
              </w:rPr>
            </w:pPr>
            <w:r w:rsidRPr="00150CDD">
              <w:rPr>
                <w:rFonts w:asciiTheme="majorHAnsi" w:hAnsiTheme="majorHAnsi"/>
              </w:rPr>
              <w:t>Rādītāju RCR 11 "Jaunu un modernizētu publisko digitālo pakalpojumu, produktu un procesu lietotāji". PI sadaļā "Rādītāji" rādītāja RCR 11 vērtību norādīt "0" un datu laukā "Piezīme" pievienot atsauci, ka lietotāji netiek ieskaitīti 1.3.1.1.pasākuma rezultāta rādītāja "Jaunu un modernizētu publisko digitālo pakalpojumu, produktu un procesu lietotāji" vērtībā, tādējādi nodrošinot identisku un izsekojamu informāciju ar projekta pasē apstiprināto;</w:t>
            </w:r>
          </w:p>
          <w:p w14:paraId="4FFCED4D" w14:textId="6AB4ACD4" w:rsidR="00150CDD" w:rsidRPr="00150CDD" w:rsidRDefault="00150CDD" w:rsidP="00150CDD">
            <w:pPr>
              <w:jc w:val="both"/>
              <w:rPr>
                <w:rFonts w:asciiTheme="majorHAnsi" w:hAnsiTheme="majorHAnsi"/>
              </w:rPr>
            </w:pPr>
            <w:r w:rsidRPr="00150CDD">
              <w:rPr>
                <w:rFonts w:asciiTheme="majorHAnsi" w:hAnsiTheme="majorHAnsi"/>
              </w:rPr>
              <w:t>Sistēma nesaglabā vērtību "0" — kā šādā gadījumā rīkoties?</w:t>
            </w:r>
          </w:p>
        </w:tc>
        <w:tc>
          <w:tcPr>
            <w:tcW w:w="2694" w:type="pct"/>
            <w:tcBorders>
              <w:left w:val="single" w:sz="4" w:space="0" w:color="auto"/>
              <w:bottom w:val="single" w:sz="4" w:space="0" w:color="000000" w:themeColor="text1"/>
            </w:tcBorders>
            <w:shd w:val="clear" w:color="auto" w:fill="FFFFFF" w:themeFill="background1"/>
          </w:tcPr>
          <w:p w14:paraId="305732FC" w14:textId="77777777" w:rsidR="00150CDD" w:rsidRPr="00150CDD" w:rsidRDefault="00150CDD" w:rsidP="00150CDD">
            <w:pPr>
              <w:jc w:val="both"/>
              <w:rPr>
                <w:rFonts w:asciiTheme="majorHAnsi" w:hAnsiTheme="majorHAnsi"/>
              </w:rPr>
            </w:pPr>
            <w:r w:rsidRPr="00150CDD">
              <w:rPr>
                <w:rFonts w:asciiTheme="majorHAnsi" w:hAnsiTheme="majorHAnsi"/>
              </w:rPr>
              <w:t xml:space="preserve">Ja KPVIS neļauj saglabāt vērtību “0”, tad var atstāt to tukšu, neievadot neko. </w:t>
            </w:r>
          </w:p>
          <w:p w14:paraId="1E02829E" w14:textId="391A5AFD" w:rsidR="00150CDD" w:rsidRPr="00150CDD" w:rsidRDefault="00150CDD" w:rsidP="00150CDD">
            <w:pPr>
              <w:jc w:val="both"/>
              <w:rPr>
                <w:rFonts w:asciiTheme="majorHAnsi" w:hAnsiTheme="majorHAnsi"/>
              </w:rPr>
            </w:pPr>
            <w:r w:rsidRPr="00150CDD">
              <w:rPr>
                <w:rFonts w:asciiTheme="majorHAnsi" w:hAnsiTheme="majorHAnsi"/>
              </w:rPr>
              <w:t>Lai arī KPVIS sistēmā ievadītā vērtība “0” vizuāli atspoguļojas kā “Ievadīt vērtību”, aicinām finansējuma un lietotāju rādītāju piesaistīt un šādi arī norādīt.</w:t>
            </w:r>
          </w:p>
          <w:p w14:paraId="35287745" w14:textId="6159BB2B" w:rsidR="00150CDD" w:rsidRPr="00150CDD" w:rsidRDefault="00150CDD" w:rsidP="00150CDD">
            <w:pPr>
              <w:jc w:val="both"/>
              <w:rPr>
                <w:rFonts w:asciiTheme="majorHAnsi" w:hAnsiTheme="majorHAnsi"/>
              </w:rPr>
            </w:pPr>
            <w:r w:rsidRPr="00150CDD">
              <w:rPr>
                <w:rFonts w:asciiTheme="majorHAnsi" w:hAnsiTheme="majorHAnsi"/>
              </w:rPr>
              <w:t>Un piezīmēs pievienot atbilstošu informāciju par neieskaitīšanu rādītājā.</w:t>
            </w:r>
          </w:p>
        </w:tc>
      </w:tr>
      <w:tr w:rsidR="00150CDD" w:rsidRPr="00150CDD" w14:paraId="57AC991A" w14:textId="77777777" w:rsidTr="00150CDD">
        <w:tc>
          <w:tcPr>
            <w:tcW w:w="346" w:type="pct"/>
            <w:tcBorders>
              <w:right w:val="single" w:sz="4" w:space="0" w:color="auto"/>
            </w:tcBorders>
            <w:shd w:val="clear" w:color="auto" w:fill="FFFFFF" w:themeFill="background1"/>
            <w:vAlign w:val="center"/>
          </w:tcPr>
          <w:p w14:paraId="75975461" w14:textId="3635F145" w:rsidR="00150CDD" w:rsidRPr="00150CDD" w:rsidRDefault="00150CDD" w:rsidP="00150CDD">
            <w:pPr>
              <w:pStyle w:val="PlainText"/>
              <w:jc w:val="center"/>
              <w:rPr>
                <w:rFonts w:asciiTheme="majorHAnsi" w:hAnsiTheme="majorHAnsi" w:cs="Times New Roman"/>
                <w:b/>
                <w:bCs/>
                <w:lang w:val="lv-LV"/>
              </w:rPr>
            </w:pPr>
            <w:r>
              <w:rPr>
                <w:rFonts w:asciiTheme="majorHAnsi" w:hAnsiTheme="majorHAnsi" w:cs="Times New Roman"/>
                <w:b/>
                <w:bCs/>
                <w:lang w:val="lv-LV"/>
              </w:rPr>
              <w:t>12.</w:t>
            </w:r>
          </w:p>
        </w:tc>
        <w:tc>
          <w:tcPr>
            <w:tcW w:w="1960" w:type="pct"/>
            <w:tcBorders>
              <w:right w:val="single" w:sz="4" w:space="0" w:color="auto"/>
            </w:tcBorders>
            <w:shd w:val="clear" w:color="auto" w:fill="FFFFFF" w:themeFill="background1"/>
          </w:tcPr>
          <w:p w14:paraId="40F78A71" w14:textId="77777777" w:rsidR="00150CDD" w:rsidRPr="00150CDD" w:rsidRDefault="00150CDD" w:rsidP="00150CDD">
            <w:pPr>
              <w:jc w:val="both"/>
              <w:rPr>
                <w:rFonts w:asciiTheme="majorHAnsi" w:hAnsiTheme="majorHAnsi"/>
              </w:rPr>
            </w:pPr>
            <w:r w:rsidRPr="00150CDD">
              <w:rPr>
                <w:rFonts w:asciiTheme="majorHAnsi" w:hAnsiTheme="majorHAnsi"/>
              </w:rPr>
              <w:t>Lūdzam precizēt, vai projekta īstenošanas grafikam obligāti jāsakrīt ar finansēšanas grafiku. Vai ir pieļaujama situācija, kurā īstenošanas grafikā konkrēta darbība tiek veikta, bet attiecīgajā periodā finansēšanas grafikā izdevumi nav paredzēti?</w:t>
            </w:r>
          </w:p>
          <w:p w14:paraId="498CFD55" w14:textId="7386EC03" w:rsidR="00150CDD" w:rsidRPr="00150CDD" w:rsidRDefault="00150CDD" w:rsidP="00150CDD">
            <w:pPr>
              <w:jc w:val="both"/>
              <w:rPr>
                <w:rFonts w:asciiTheme="majorHAnsi" w:hAnsiTheme="majorHAnsi"/>
              </w:rPr>
            </w:pPr>
            <w:r w:rsidRPr="00150CDD">
              <w:rPr>
                <w:rFonts w:asciiTheme="majorHAnsi" w:hAnsiTheme="majorHAnsi"/>
              </w:rPr>
              <w:t>Piemēram, izmaksas par plakāta izgatavošanu tiek plānotas tikai projekta uzsākšanas ceturksnī, savukārt informācijas publiskošana (informatīvais stends) notiek visa projekta īstenošanas laikā.</w:t>
            </w:r>
          </w:p>
        </w:tc>
        <w:tc>
          <w:tcPr>
            <w:tcW w:w="2694" w:type="pct"/>
            <w:tcBorders>
              <w:left w:val="single" w:sz="4" w:space="0" w:color="auto"/>
            </w:tcBorders>
            <w:shd w:val="clear" w:color="auto" w:fill="FFFFFF" w:themeFill="background1"/>
          </w:tcPr>
          <w:p w14:paraId="40DF7587" w14:textId="16B5A6E1" w:rsidR="00150CDD" w:rsidRPr="00150CDD" w:rsidRDefault="00150CDD" w:rsidP="00150CDD">
            <w:pPr>
              <w:jc w:val="both"/>
              <w:rPr>
                <w:rFonts w:asciiTheme="majorHAnsi" w:hAnsiTheme="majorHAnsi"/>
              </w:rPr>
            </w:pPr>
            <w:r w:rsidRPr="00150CDD">
              <w:rPr>
                <w:rFonts w:asciiTheme="majorHAnsi" w:hAnsiTheme="majorHAnsi"/>
              </w:rPr>
              <w:t>Informācija sadaļā “Īstenošanas grafiks” var atšķirties no finansēšanas grafika. Sadaļā “Īstenošanas grafiks” tiek atspoguļota informācija par darbību īstenošanas norisi – kad tās uzsāktas, cik ilgi turpinās un kad noslēdzas. Tādēļ var būt situācija, ka darbības īstenošana  notiek, bet izmaksas kādā no šīs darbības norises ceturkšņiem netiek veiktas.</w:t>
            </w:r>
          </w:p>
        </w:tc>
      </w:tr>
      <w:tr w:rsidR="00150CDD" w:rsidRPr="00150CDD" w14:paraId="73550C5A" w14:textId="77777777">
        <w:tc>
          <w:tcPr>
            <w:tcW w:w="346" w:type="pct"/>
            <w:tcBorders>
              <w:bottom w:val="single" w:sz="4" w:space="0" w:color="000000" w:themeColor="text1"/>
              <w:right w:val="single" w:sz="4" w:space="0" w:color="auto"/>
            </w:tcBorders>
            <w:shd w:val="clear" w:color="auto" w:fill="FFFFFF" w:themeFill="background1"/>
            <w:vAlign w:val="center"/>
          </w:tcPr>
          <w:p w14:paraId="22E5CB93" w14:textId="2CBE6E79" w:rsidR="00150CDD" w:rsidRDefault="00150CDD" w:rsidP="00150CDD">
            <w:pPr>
              <w:pStyle w:val="PlainText"/>
              <w:jc w:val="center"/>
              <w:rPr>
                <w:rFonts w:asciiTheme="majorHAnsi" w:hAnsiTheme="majorHAnsi" w:cs="Times New Roman"/>
                <w:b/>
                <w:bCs/>
                <w:lang w:val="lv-LV"/>
              </w:rPr>
            </w:pPr>
            <w:r>
              <w:rPr>
                <w:rFonts w:asciiTheme="majorHAnsi" w:hAnsiTheme="majorHAnsi" w:cs="Times New Roman"/>
                <w:b/>
                <w:bCs/>
                <w:lang w:val="lv-LV"/>
              </w:rPr>
              <w:t>13.</w:t>
            </w:r>
          </w:p>
        </w:tc>
        <w:tc>
          <w:tcPr>
            <w:tcW w:w="1960" w:type="pct"/>
            <w:tcBorders>
              <w:bottom w:val="single" w:sz="4" w:space="0" w:color="000000" w:themeColor="text1"/>
              <w:right w:val="single" w:sz="4" w:space="0" w:color="auto"/>
            </w:tcBorders>
            <w:shd w:val="clear" w:color="auto" w:fill="FFFFFF" w:themeFill="background1"/>
          </w:tcPr>
          <w:p w14:paraId="7C0DD004" w14:textId="77777777" w:rsidR="00150CDD" w:rsidRPr="00150CDD" w:rsidRDefault="00150CDD" w:rsidP="00150CDD">
            <w:pPr>
              <w:jc w:val="both"/>
              <w:rPr>
                <w:rFonts w:asciiTheme="majorHAnsi" w:hAnsiTheme="majorHAnsi"/>
              </w:rPr>
            </w:pPr>
            <w:r w:rsidRPr="00150CDD">
              <w:rPr>
                <w:rFonts w:asciiTheme="majorHAnsi" w:hAnsiTheme="majorHAnsi"/>
              </w:rPr>
              <w:t>Lūdzam skaidrot, kā korekti pamatot izmaksu pozīciju, kas ietver (sistēmas administratora un uzturētāju tehniskās instrukcijas; sistēmas aprakstus; lietošanas rokasgrāmatas). Budžeta kopsavilkumā šīs izmaksas ir jānorāda atsevišķi, taču nozarē ierastā prakse ir tāda, ka šādi materiāli tiek izstrādāti paralēli programmatūras izstrādei un tos sagatavo tas pats izstrādātājs, tādēļ tirgū nav publiski pieejamu salīdzināmu piemēru vai atsevišķi identificējamu cenu šādai pozīcijai, jo praksē šīs izmaksas netiek izdalītas kā atsevišķa budžeta pozīcija;</w:t>
            </w:r>
          </w:p>
          <w:p w14:paraId="38F2137A" w14:textId="77777777" w:rsidR="00150CDD" w:rsidRPr="00150CDD" w:rsidRDefault="00150CDD" w:rsidP="00150CDD">
            <w:pPr>
              <w:jc w:val="both"/>
              <w:rPr>
                <w:rFonts w:asciiTheme="majorHAnsi" w:hAnsiTheme="majorHAnsi"/>
              </w:rPr>
            </w:pPr>
            <w:r w:rsidRPr="00150CDD">
              <w:rPr>
                <w:rFonts w:asciiTheme="majorHAnsi" w:hAnsiTheme="majorHAnsi"/>
              </w:rPr>
              <w:t>Izmaksu apjoms noteikts provizoriski, balstoties uz līdzšinējo pieredzi, kā arī aplēsēm, ka šīs dokumentācijas sagatavošana ietver sākot no 5-30% (atkarībā no informācijas avota) no programmatūras izstrādes kopējām izmaksām.</w:t>
            </w:r>
          </w:p>
          <w:p w14:paraId="39E20A0F" w14:textId="77777777" w:rsidR="00150CDD" w:rsidRPr="00150CDD" w:rsidRDefault="00150CDD" w:rsidP="00150CDD">
            <w:pPr>
              <w:jc w:val="both"/>
              <w:rPr>
                <w:rFonts w:asciiTheme="majorHAnsi" w:hAnsiTheme="majorHAnsi"/>
              </w:rPr>
            </w:pPr>
            <w:r w:rsidRPr="00150CDD">
              <w:rPr>
                <w:rFonts w:asciiTheme="majorHAnsi" w:hAnsiTheme="majorHAnsi"/>
              </w:rPr>
              <w:t>Līdzīga situācija veidojas arī citu izmaksu pamatošanai, jo šis projekts veido līdz šim nebijuša veida sistēmu, līdz ar to informācija par saturā vai apjomā līdzīgiem projektiem nav atrodama.</w:t>
            </w:r>
          </w:p>
          <w:p w14:paraId="64BF89C3" w14:textId="5694CB8A" w:rsidR="00150CDD" w:rsidRPr="00150CDD" w:rsidRDefault="00150CDD" w:rsidP="00150CDD">
            <w:pPr>
              <w:jc w:val="both"/>
              <w:rPr>
                <w:rFonts w:asciiTheme="majorHAnsi" w:hAnsiTheme="majorHAnsi"/>
              </w:rPr>
            </w:pPr>
            <w:r w:rsidRPr="00150CDD">
              <w:rPr>
                <w:rFonts w:asciiTheme="majorHAnsi" w:hAnsiTheme="majorHAnsi"/>
              </w:rPr>
              <w:t>Kāda būtu ieteicamā pieeja šādas izmaksu pozīcijas pamatošanai projekta iesniegumā?</w:t>
            </w:r>
          </w:p>
        </w:tc>
        <w:tc>
          <w:tcPr>
            <w:tcW w:w="2694" w:type="pct"/>
            <w:tcBorders>
              <w:left w:val="single" w:sz="4" w:space="0" w:color="auto"/>
              <w:bottom w:val="single" w:sz="4" w:space="0" w:color="000000" w:themeColor="text1"/>
            </w:tcBorders>
            <w:shd w:val="clear" w:color="auto" w:fill="FFFFFF" w:themeFill="background1"/>
          </w:tcPr>
          <w:p w14:paraId="76F4F9C0" w14:textId="77777777" w:rsidR="00150CDD" w:rsidRPr="00150CDD" w:rsidRDefault="00150CDD" w:rsidP="00150CDD">
            <w:pPr>
              <w:jc w:val="both"/>
              <w:rPr>
                <w:rFonts w:asciiTheme="majorHAnsi" w:hAnsiTheme="majorHAnsi"/>
              </w:rPr>
            </w:pPr>
            <w:r w:rsidRPr="00150CDD">
              <w:rPr>
                <w:rFonts w:asciiTheme="majorHAnsi" w:hAnsiTheme="majorHAnsi"/>
              </w:rPr>
              <w:t>Lai arī izmaksas pašreizējā brīdī ir provizoriskas, plānojot jebkuras izmaksas, ir jāvērtē izmaksu lietderība un arī samērīgums. Norādītais procentuālais intervāls (5 - 30% no programmatūras izstrādes izmaksām) veido būtisku potenciālo izdevumu daļu. Tādēļ aicinām budžeta pozīcijā Nr.5.2.9. ieplānoto izmaksu apjomu un lietderību izvērtēt atkārtoti un pārliecināties, ka provizoriski plānotās izmaksas ir samērīgas.</w:t>
            </w:r>
          </w:p>
          <w:p w14:paraId="2F1E33D6" w14:textId="77777777" w:rsidR="00150CDD" w:rsidRPr="00150CDD" w:rsidRDefault="00150CDD" w:rsidP="00150CDD">
            <w:pPr>
              <w:jc w:val="both"/>
              <w:rPr>
                <w:rFonts w:asciiTheme="majorHAnsi" w:hAnsiTheme="majorHAnsi"/>
              </w:rPr>
            </w:pPr>
            <w:r w:rsidRPr="00150CDD">
              <w:rPr>
                <w:rFonts w:asciiTheme="majorHAnsi" w:hAnsiTheme="majorHAnsi"/>
              </w:rPr>
              <w:t>Arī attiecībā uz pārējām izmaksu pozīcijām, kas saistītas ar iepirkumu veikšanu - jau projekta iesnieguma sagatavošanas stadijā apzināties un plānot, kā projekta īstenošanas gaitā tiks gūta pārliecība par  iepirkumos piemēroto stundas likmju pamatotību un atbilstību un kādi ir iekšējie uzraudzības mehānismi, lai savlaicīgi identificētu iespējamas neatbilstības vai neskaidrības.</w:t>
            </w:r>
          </w:p>
          <w:p w14:paraId="2314E2FF" w14:textId="34B76099" w:rsidR="00150CDD" w:rsidRPr="00150CDD" w:rsidRDefault="00150CDD" w:rsidP="00150CDD">
            <w:pPr>
              <w:jc w:val="both"/>
              <w:rPr>
                <w:rFonts w:asciiTheme="majorHAnsi" w:hAnsiTheme="majorHAnsi"/>
                <w:i/>
                <w:iCs/>
              </w:rPr>
            </w:pPr>
            <w:r w:rsidRPr="00150CDD">
              <w:rPr>
                <w:rFonts w:asciiTheme="majorHAnsi" w:hAnsiTheme="majorHAnsi"/>
                <w:i/>
                <w:iCs/>
              </w:rPr>
              <w:t>Vēršam uzmanību, ka projekta īstenošanas laikā Jums kā finansējuma saņēmējam būs nepieciešams sniegt informāciju, kā praksē tiek uzraudzīta pakalpojumu sniegšanas saturs un izmaksu struktūra, t.sk. kā tiek identificētas un izvērtētas situācijas, kurās var rasties jautājumi par piemēroto likmju vai izmantotās pieejas atbilstību, kā arī kādā veidā šādos gadījumos tiek komunicēts ar piegādātājiem.</w:t>
            </w:r>
          </w:p>
        </w:tc>
      </w:tr>
    </w:tbl>
    <w:p w14:paraId="7FDCD933" w14:textId="77777777" w:rsidR="00273B98" w:rsidRPr="00150CDD" w:rsidRDefault="00273B98">
      <w:pPr>
        <w:rPr>
          <w:rFonts w:asciiTheme="majorHAnsi" w:hAnsiTheme="majorHAnsi"/>
        </w:rPr>
      </w:pPr>
    </w:p>
    <w:sectPr w:rsidR="00273B98" w:rsidRPr="00150CDD" w:rsidSect="0055034A">
      <w:headerReference w:type="default" r:id="rId12"/>
      <w:pgSz w:w="16838" w:h="11906" w:orient="landscape"/>
      <w:pgMar w:top="3119"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3AD2A" w14:textId="77777777" w:rsidR="00A718E7" w:rsidRDefault="00A718E7" w:rsidP="008F346C">
      <w:pPr>
        <w:spacing w:after="0" w:line="240" w:lineRule="auto"/>
      </w:pPr>
      <w:r>
        <w:separator/>
      </w:r>
    </w:p>
  </w:endnote>
  <w:endnote w:type="continuationSeparator" w:id="0">
    <w:p w14:paraId="3FF3B471" w14:textId="77777777" w:rsidR="00A718E7" w:rsidRDefault="00A718E7" w:rsidP="008F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5D77A" w14:textId="77777777" w:rsidR="00A718E7" w:rsidRDefault="00A718E7" w:rsidP="008F346C">
      <w:pPr>
        <w:spacing w:after="0" w:line="240" w:lineRule="auto"/>
      </w:pPr>
      <w:r>
        <w:separator/>
      </w:r>
    </w:p>
  </w:footnote>
  <w:footnote w:type="continuationSeparator" w:id="0">
    <w:p w14:paraId="6B868C41" w14:textId="77777777" w:rsidR="00A718E7" w:rsidRDefault="00A718E7" w:rsidP="008F346C">
      <w:pPr>
        <w:spacing w:after="0" w:line="240" w:lineRule="auto"/>
      </w:pPr>
      <w:r>
        <w:continuationSeparator/>
      </w:r>
    </w:p>
  </w:footnote>
  <w:footnote w:id="1">
    <w:p w14:paraId="57C68FCA" w14:textId="6BCD8D7C" w:rsidR="00AD754E" w:rsidRPr="00AD754E" w:rsidRDefault="00AD754E">
      <w:pPr>
        <w:pStyle w:val="FootnoteText"/>
        <w:rPr>
          <w:rFonts w:asciiTheme="majorHAnsi" w:hAnsiTheme="majorHAnsi"/>
          <w:lang w:val="en-US"/>
        </w:rPr>
      </w:pPr>
      <w:r w:rsidRPr="00AD754E">
        <w:rPr>
          <w:rStyle w:val="FootnoteReference"/>
          <w:rFonts w:asciiTheme="majorHAnsi" w:hAnsiTheme="majorHAnsi"/>
        </w:rPr>
        <w:footnoteRef/>
      </w:r>
      <w:r w:rsidRPr="00AD754E">
        <w:rPr>
          <w:rFonts w:asciiTheme="majorHAnsi" w:hAnsiTheme="majorHAnsi"/>
        </w:rPr>
        <w:t xml:space="preserve"> </w:t>
      </w:r>
      <w:proofErr w:type="spellStart"/>
      <w:r w:rsidRPr="00AD754E">
        <w:rPr>
          <w:rFonts w:asciiTheme="majorHAnsi" w:hAnsiTheme="majorHAnsi"/>
          <w:lang w:val="en-US"/>
        </w:rPr>
        <w:t>Pieejams</w:t>
      </w:r>
      <w:proofErr w:type="spellEnd"/>
      <w:r w:rsidRPr="00AD754E">
        <w:rPr>
          <w:rFonts w:asciiTheme="majorHAnsi" w:hAnsiTheme="majorHAnsi"/>
          <w:lang w:val="en-US"/>
        </w:rPr>
        <w:t xml:space="preserve"> </w:t>
      </w:r>
      <w:proofErr w:type="spellStart"/>
      <w:r w:rsidRPr="00AD754E">
        <w:rPr>
          <w:rFonts w:asciiTheme="majorHAnsi" w:hAnsiTheme="majorHAnsi"/>
          <w:lang w:val="en-US"/>
        </w:rPr>
        <w:t>šeit</w:t>
      </w:r>
      <w:proofErr w:type="spellEnd"/>
      <w:r w:rsidRPr="00AD754E">
        <w:rPr>
          <w:rFonts w:asciiTheme="majorHAnsi" w:hAnsiTheme="majorHAnsi"/>
          <w:lang w:val="en-US"/>
        </w:rPr>
        <w:t xml:space="preserve">: </w:t>
      </w:r>
      <w:hyperlink r:id="rId1" w:history="1">
        <w:r w:rsidRPr="00AD754E">
          <w:rPr>
            <w:rStyle w:val="Hyperlink"/>
            <w:rFonts w:asciiTheme="majorHAnsi" w:eastAsia="Times New Roman" w:hAnsiTheme="majorHAnsi" w:cs="Times New Roman"/>
          </w:rPr>
          <w:t>https://likumi.lv/ta/id/352527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A4A0" w14:textId="77777777" w:rsidR="00073E1C" w:rsidRPr="008F346C" w:rsidRDefault="00073E1C" w:rsidP="008F346C">
    <w:pPr>
      <w:pStyle w:val="Header"/>
      <w:jc w:val="center"/>
      <w:rPr>
        <w:lang w:val="en-US"/>
      </w:rPr>
    </w:pPr>
    <w:r>
      <w:rPr>
        <w:noProof/>
      </w:rPr>
      <w:drawing>
        <wp:inline distT="0" distB="0" distL="0" distR="0" wp14:anchorId="617C1A02" wp14:editId="70FEA274">
          <wp:extent cx="2428875" cy="1673514"/>
          <wp:effectExtent l="0" t="0" r="0" b="3175"/>
          <wp:docPr id="1114928474" name="Picture 2" descr="A picture containing logo&#10;&#10;Description automatically generated">
            <a:extLst xmlns:a="http://schemas.openxmlformats.org/drawingml/2006/main">
              <a:ext uri="{FF2B5EF4-FFF2-40B4-BE49-F238E27FC236}">
                <a16:creationId xmlns:a16="http://schemas.microsoft.com/office/drawing/2014/main" id="{F2458BD3-7358-4790-8B21-6DDB325E6C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38176"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61020"/>
    <w:multiLevelType w:val="multilevel"/>
    <w:tmpl w:val="937A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522F83"/>
    <w:multiLevelType w:val="multilevel"/>
    <w:tmpl w:val="BE321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92577"/>
    <w:multiLevelType w:val="multilevel"/>
    <w:tmpl w:val="24E6D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454389"/>
    <w:multiLevelType w:val="multilevel"/>
    <w:tmpl w:val="470A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07994"/>
    <w:multiLevelType w:val="multilevel"/>
    <w:tmpl w:val="8F28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E77953"/>
    <w:multiLevelType w:val="multilevel"/>
    <w:tmpl w:val="8FEA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E21AC8"/>
    <w:multiLevelType w:val="multilevel"/>
    <w:tmpl w:val="44B07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0925726">
    <w:abstractNumId w:val="4"/>
  </w:num>
  <w:num w:numId="2" w16cid:durableId="1436435907">
    <w:abstractNumId w:val="5"/>
  </w:num>
  <w:num w:numId="3" w16cid:durableId="1816337873">
    <w:abstractNumId w:val="2"/>
  </w:num>
  <w:num w:numId="4" w16cid:durableId="1829906105">
    <w:abstractNumId w:val="6"/>
  </w:num>
  <w:num w:numId="5" w16cid:durableId="402026043">
    <w:abstractNumId w:val="3"/>
  </w:num>
  <w:num w:numId="6" w16cid:durableId="671837640">
    <w:abstractNumId w:val="1"/>
  </w:num>
  <w:num w:numId="7" w16cid:durableId="86849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98"/>
    <w:rsid w:val="00037C87"/>
    <w:rsid w:val="000449C0"/>
    <w:rsid w:val="00073E1C"/>
    <w:rsid w:val="00090CE2"/>
    <w:rsid w:val="000B7C89"/>
    <w:rsid w:val="000C00DE"/>
    <w:rsid w:val="000C39B3"/>
    <w:rsid w:val="00107D4E"/>
    <w:rsid w:val="00142D53"/>
    <w:rsid w:val="00150CDD"/>
    <w:rsid w:val="00152BC2"/>
    <w:rsid w:val="001775E8"/>
    <w:rsid w:val="002308A7"/>
    <w:rsid w:val="00235672"/>
    <w:rsid w:val="002541E3"/>
    <w:rsid w:val="002619F4"/>
    <w:rsid w:val="00273B98"/>
    <w:rsid w:val="00275D79"/>
    <w:rsid w:val="002C7584"/>
    <w:rsid w:val="002E275B"/>
    <w:rsid w:val="00305D02"/>
    <w:rsid w:val="003227EC"/>
    <w:rsid w:val="00351414"/>
    <w:rsid w:val="00354710"/>
    <w:rsid w:val="003A330A"/>
    <w:rsid w:val="003D451F"/>
    <w:rsid w:val="003E0141"/>
    <w:rsid w:val="00454B58"/>
    <w:rsid w:val="00470C1D"/>
    <w:rsid w:val="004C61D4"/>
    <w:rsid w:val="00533950"/>
    <w:rsid w:val="0055034A"/>
    <w:rsid w:val="0059046E"/>
    <w:rsid w:val="005937F5"/>
    <w:rsid w:val="00593B89"/>
    <w:rsid w:val="006A7533"/>
    <w:rsid w:val="006D043B"/>
    <w:rsid w:val="006E2B9A"/>
    <w:rsid w:val="006E604F"/>
    <w:rsid w:val="00727427"/>
    <w:rsid w:val="00791543"/>
    <w:rsid w:val="00795741"/>
    <w:rsid w:val="007C71AE"/>
    <w:rsid w:val="00804389"/>
    <w:rsid w:val="008646D4"/>
    <w:rsid w:val="00872624"/>
    <w:rsid w:val="008869FD"/>
    <w:rsid w:val="008C47FA"/>
    <w:rsid w:val="008F346C"/>
    <w:rsid w:val="00921957"/>
    <w:rsid w:val="00931792"/>
    <w:rsid w:val="009420A7"/>
    <w:rsid w:val="00944988"/>
    <w:rsid w:val="009676F8"/>
    <w:rsid w:val="009B3BD6"/>
    <w:rsid w:val="00A1632F"/>
    <w:rsid w:val="00A249EF"/>
    <w:rsid w:val="00A3051B"/>
    <w:rsid w:val="00A42B6B"/>
    <w:rsid w:val="00A7037E"/>
    <w:rsid w:val="00A718E7"/>
    <w:rsid w:val="00A97AC1"/>
    <w:rsid w:val="00AD754E"/>
    <w:rsid w:val="00B165E8"/>
    <w:rsid w:val="00B81A17"/>
    <w:rsid w:val="00BC1D88"/>
    <w:rsid w:val="00C158B1"/>
    <w:rsid w:val="00C91126"/>
    <w:rsid w:val="00CC2939"/>
    <w:rsid w:val="00CD5BF8"/>
    <w:rsid w:val="00D71D5E"/>
    <w:rsid w:val="00DA256A"/>
    <w:rsid w:val="00DD446D"/>
    <w:rsid w:val="00E05AED"/>
    <w:rsid w:val="00E11C3A"/>
    <w:rsid w:val="00E17C6D"/>
    <w:rsid w:val="00E9594B"/>
    <w:rsid w:val="00EB62B4"/>
    <w:rsid w:val="00F81AAB"/>
    <w:rsid w:val="00FD17FA"/>
    <w:rsid w:val="00FE555D"/>
    <w:rsid w:val="155C1B21"/>
    <w:rsid w:val="2C789BFE"/>
    <w:rsid w:val="2E7EDFB1"/>
    <w:rsid w:val="58FDBFE0"/>
    <w:rsid w:val="62C541E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C8A0"/>
  <w15:chartTrackingRefBased/>
  <w15:docId w15:val="{9CC5FD96-C065-403D-BB67-217C9F92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B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B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B98"/>
    <w:rPr>
      <w:rFonts w:eastAsiaTheme="majorEastAsia" w:cstheme="majorBidi"/>
      <w:color w:val="272727" w:themeColor="text1" w:themeTint="D8"/>
    </w:rPr>
  </w:style>
  <w:style w:type="paragraph" w:styleId="Title">
    <w:name w:val="Title"/>
    <w:basedOn w:val="Normal"/>
    <w:next w:val="Normal"/>
    <w:link w:val="TitleChar"/>
    <w:uiPriority w:val="10"/>
    <w:qFormat/>
    <w:rsid w:val="00273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B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B98"/>
    <w:pPr>
      <w:spacing w:before="160"/>
      <w:jc w:val="center"/>
    </w:pPr>
    <w:rPr>
      <w:i/>
      <w:iCs/>
      <w:color w:val="404040" w:themeColor="text1" w:themeTint="BF"/>
    </w:rPr>
  </w:style>
  <w:style w:type="character" w:customStyle="1" w:styleId="QuoteChar">
    <w:name w:val="Quote Char"/>
    <w:basedOn w:val="DefaultParagraphFont"/>
    <w:link w:val="Quote"/>
    <w:uiPriority w:val="29"/>
    <w:rsid w:val="00273B98"/>
    <w:rPr>
      <w:i/>
      <w:iCs/>
      <w:color w:val="404040" w:themeColor="text1" w:themeTint="BF"/>
    </w:rPr>
  </w:style>
  <w:style w:type="paragraph" w:styleId="ListParagraph">
    <w:name w:val="List Paragraph"/>
    <w:basedOn w:val="Normal"/>
    <w:uiPriority w:val="34"/>
    <w:qFormat/>
    <w:rsid w:val="00273B98"/>
    <w:pPr>
      <w:ind w:left="720"/>
      <w:contextualSpacing/>
    </w:pPr>
  </w:style>
  <w:style w:type="character" w:styleId="IntenseEmphasis">
    <w:name w:val="Intense Emphasis"/>
    <w:basedOn w:val="DefaultParagraphFont"/>
    <w:uiPriority w:val="21"/>
    <w:qFormat/>
    <w:rsid w:val="00273B98"/>
    <w:rPr>
      <w:i/>
      <w:iCs/>
      <w:color w:val="0F4761" w:themeColor="accent1" w:themeShade="BF"/>
    </w:rPr>
  </w:style>
  <w:style w:type="paragraph" w:styleId="IntenseQuote">
    <w:name w:val="Intense Quote"/>
    <w:basedOn w:val="Normal"/>
    <w:next w:val="Normal"/>
    <w:link w:val="IntenseQuoteChar"/>
    <w:uiPriority w:val="30"/>
    <w:qFormat/>
    <w:rsid w:val="00273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B98"/>
    <w:rPr>
      <w:i/>
      <w:iCs/>
      <w:color w:val="0F4761" w:themeColor="accent1" w:themeShade="BF"/>
    </w:rPr>
  </w:style>
  <w:style w:type="character" w:styleId="IntenseReference">
    <w:name w:val="Intense Reference"/>
    <w:basedOn w:val="DefaultParagraphFont"/>
    <w:uiPriority w:val="32"/>
    <w:qFormat/>
    <w:rsid w:val="00273B98"/>
    <w:rPr>
      <w:b/>
      <w:bCs/>
      <w:smallCaps/>
      <w:color w:val="0F4761" w:themeColor="accent1" w:themeShade="BF"/>
      <w:spacing w:val="5"/>
    </w:rPr>
  </w:style>
  <w:style w:type="table" w:styleId="TableGrid">
    <w:name w:val="Table Grid"/>
    <w:basedOn w:val="TableNormal"/>
    <w:uiPriority w:val="39"/>
    <w:rsid w:val="00273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2D53"/>
    <w:rPr>
      <w:color w:val="467886" w:themeColor="hyperlink"/>
      <w:u w:val="single"/>
    </w:rPr>
  </w:style>
  <w:style w:type="character" w:styleId="UnresolvedMention">
    <w:name w:val="Unresolved Mention"/>
    <w:basedOn w:val="DefaultParagraphFont"/>
    <w:uiPriority w:val="99"/>
    <w:semiHidden/>
    <w:unhideWhenUsed/>
    <w:rsid w:val="00142D53"/>
    <w:rPr>
      <w:color w:val="605E5C"/>
      <w:shd w:val="clear" w:color="auto" w:fill="E1DFDD"/>
    </w:rPr>
  </w:style>
  <w:style w:type="paragraph" w:styleId="Header">
    <w:name w:val="header"/>
    <w:basedOn w:val="Normal"/>
    <w:link w:val="HeaderChar"/>
    <w:uiPriority w:val="99"/>
    <w:unhideWhenUsed/>
    <w:rsid w:val="008F3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46C"/>
  </w:style>
  <w:style w:type="paragraph" w:styleId="Footer">
    <w:name w:val="footer"/>
    <w:basedOn w:val="Normal"/>
    <w:link w:val="FooterChar"/>
    <w:uiPriority w:val="99"/>
    <w:unhideWhenUsed/>
    <w:rsid w:val="008F3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46C"/>
  </w:style>
  <w:style w:type="paragraph" w:styleId="PlainText">
    <w:name w:val="Plain Text"/>
    <w:basedOn w:val="Normal"/>
    <w:link w:val="PlainTextChar"/>
    <w:uiPriority w:val="99"/>
    <w:unhideWhenUsed/>
    <w:rsid w:val="00944988"/>
    <w:pPr>
      <w:spacing w:before="120" w:after="0" w:line="240" w:lineRule="auto"/>
      <w:jc w:val="both"/>
    </w:pPr>
    <w:rPr>
      <w:rFonts w:ascii="Calibri" w:hAnsi="Calibri" w:cs="Calibri"/>
      <w:kern w:val="0"/>
      <w:lang w:val="en-US"/>
      <w14:ligatures w14:val="none"/>
    </w:rPr>
  </w:style>
  <w:style w:type="character" w:customStyle="1" w:styleId="PlainTextChar">
    <w:name w:val="Plain Text Char"/>
    <w:basedOn w:val="DefaultParagraphFont"/>
    <w:link w:val="PlainText"/>
    <w:uiPriority w:val="99"/>
    <w:rsid w:val="00944988"/>
    <w:rPr>
      <w:rFonts w:ascii="Calibri" w:hAnsi="Calibri" w:cs="Calibri"/>
      <w:kern w:val="0"/>
      <w:lang w:val="en-US"/>
      <w14:ligatures w14:val="none"/>
    </w:rPr>
  </w:style>
  <w:style w:type="paragraph" w:styleId="FootnoteText">
    <w:name w:val="footnote text"/>
    <w:basedOn w:val="Normal"/>
    <w:link w:val="FootnoteTextChar"/>
    <w:uiPriority w:val="99"/>
    <w:semiHidden/>
    <w:unhideWhenUsed/>
    <w:rsid w:val="00AD75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54E"/>
    <w:rPr>
      <w:sz w:val="20"/>
      <w:szCs w:val="20"/>
    </w:rPr>
  </w:style>
  <w:style w:type="character" w:styleId="FootnoteReference">
    <w:name w:val="footnote reference"/>
    <w:basedOn w:val="DefaultParagraphFont"/>
    <w:uiPriority w:val="99"/>
    <w:semiHidden/>
    <w:unhideWhenUsed/>
    <w:rsid w:val="00AD7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25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s xmlns="25a75a1d-8b78-49a6-8e4b-dbe94589a28d">2026-05-20T08:36:41+00:00</Datum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9B78F-A82F-443F-AEB5-409E660CF5B0}">
  <ds:schemaRefs>
    <ds:schemaRef ds:uri="http://schemas.openxmlformats.org/officeDocument/2006/bibliography"/>
  </ds:schemaRefs>
</ds:datastoreItem>
</file>

<file path=customXml/itemProps2.xml><?xml version="1.0" encoding="utf-8"?>
<ds:datastoreItem xmlns:ds="http://schemas.openxmlformats.org/officeDocument/2006/customXml" ds:itemID="{971776BC-46A8-4992-8DAA-ACDFAEBB3447}">
  <ds:schemaRefs>
    <ds:schemaRef ds:uri="http://schemas.microsoft.com/sharepoint/v3/contenttype/forms"/>
  </ds:schemaRefs>
</ds:datastoreItem>
</file>

<file path=customXml/itemProps3.xml><?xml version="1.0" encoding="utf-8"?>
<ds:datastoreItem xmlns:ds="http://schemas.openxmlformats.org/officeDocument/2006/customXml" ds:itemID="{271F7ABE-FDF0-4B77-BABF-EE772E91017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7883A0EE-861F-4882-833A-A8245425E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2687</Words>
  <Characters>15322</Characters>
  <Application>Microsoft Office Word</Application>
  <DocSecurity>4</DocSecurity>
  <Lines>127</Lines>
  <Paragraphs>35</Paragraphs>
  <ScaleCrop>false</ScaleCrop>
  <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Elza Renāte Naglinska</dc:creator>
  <cp:keywords/>
  <dc:description/>
  <cp:lastModifiedBy>Agrita Ķepīte</cp:lastModifiedBy>
  <cp:revision>53</cp:revision>
  <dcterms:created xsi:type="dcterms:W3CDTF">2026-04-29T09:55:00Z</dcterms:created>
  <dcterms:modified xsi:type="dcterms:W3CDTF">2026-05-20T12:03:00Z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