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0FDCB" w14:textId="6DA69859" w:rsidR="001C2C5E" w:rsidRPr="00B83384" w:rsidRDefault="00BD1BE1" w:rsidP="001553D9">
      <w:pPr>
        <w:rPr>
          <w:rFonts w:ascii="Times New Roman" w:hAnsi="Times New Roman" w:cs="Times New Roman"/>
          <w:b/>
          <w:sz w:val="24"/>
          <w:szCs w:val="24"/>
          <w:u w:val="single"/>
        </w:rPr>
      </w:pPr>
      <w:r>
        <w:rPr>
          <w:rFonts w:ascii="Times New Roman" w:hAnsi="Times New Roman"/>
          <w:b/>
          <w:bCs/>
          <w:sz w:val="24"/>
          <w:u w:val="single"/>
        </w:rPr>
        <w:t>Evaluation criteria for European Commission database experts for the mid-term evaluation of the scientific quality of project results for Activity 6.1.1.2</w:t>
      </w:r>
      <w:r>
        <w:rPr>
          <w:rFonts w:ascii="Times New Roman" w:hAnsi="Times New Roman"/>
          <w:b/>
          <w:sz w:val="24"/>
          <w:u w:val="single"/>
        </w:rPr>
        <w:t xml:space="preserve"> </w:t>
      </w:r>
    </w:p>
    <w:p w14:paraId="43363401" w14:textId="77777777" w:rsidR="00DA2529" w:rsidRDefault="00DA2529" w:rsidP="00627015">
      <w:pPr>
        <w:jc w:val="both"/>
        <w:rPr>
          <w:rFonts w:ascii="Times New Roman" w:hAnsi="Times New Roman" w:cs="Times New Roman"/>
          <w:b/>
          <w:sz w:val="24"/>
          <w:szCs w:val="24"/>
        </w:rPr>
      </w:pPr>
    </w:p>
    <w:p w14:paraId="559198A3" w14:textId="18745D91" w:rsidR="00ED0515" w:rsidRPr="00B83384" w:rsidRDefault="005317A1" w:rsidP="00627015">
      <w:pPr>
        <w:jc w:val="both"/>
        <w:rPr>
          <w:rFonts w:ascii="Times New Roman" w:hAnsi="Times New Roman" w:cs="Times New Roman"/>
          <w:b/>
          <w:sz w:val="24"/>
          <w:szCs w:val="24"/>
        </w:rPr>
      </w:pPr>
      <w:r>
        <w:rPr>
          <w:rFonts w:ascii="Times New Roman" w:hAnsi="Times New Roman"/>
          <w:b/>
          <w:sz w:val="24"/>
        </w:rPr>
        <w:t>SCIENTIFIC EXCELLENCE</w:t>
      </w:r>
    </w:p>
    <w:p w14:paraId="25E6014F" w14:textId="150E633E" w:rsidR="005317A1" w:rsidRPr="00B83384" w:rsidRDefault="005317A1" w:rsidP="005317A1">
      <w:pPr>
        <w:pStyle w:val="Default"/>
        <w:spacing w:after="60"/>
        <w:jc w:val="both"/>
      </w:pPr>
      <w:r>
        <w:t xml:space="preserve">1. </w:t>
      </w:r>
      <w:r w:rsidRPr="00713186">
        <w:t xml:space="preserve">The </w:t>
      </w:r>
      <w:r w:rsidRPr="006C1AED">
        <w:t>course</w:t>
      </w:r>
      <w:r w:rsidRPr="00713186">
        <w:t xml:space="preserve"> of</w:t>
      </w:r>
      <w:r>
        <w:t xml:space="preserve"> the project implementation is focused on achieving its objectives and expected outcomes.</w:t>
      </w:r>
    </w:p>
    <w:p w14:paraId="551881F3" w14:textId="4778D8AA" w:rsidR="008653A0" w:rsidRPr="00B83384" w:rsidRDefault="005317A1" w:rsidP="008653A0">
      <w:pPr>
        <w:pStyle w:val="Default"/>
        <w:spacing w:after="60"/>
        <w:jc w:val="both"/>
      </w:pPr>
      <w:r>
        <w:t xml:space="preserve">2. The methodology used in the project is appropriate for achieving the project’s objectives and </w:t>
      </w:r>
      <w:proofErr w:type="gramStart"/>
      <w:r>
        <w:t>final results</w:t>
      </w:r>
      <w:proofErr w:type="gramEnd"/>
      <w:r>
        <w:t>.</w:t>
      </w:r>
    </w:p>
    <w:p w14:paraId="430201F8" w14:textId="7175A7D7" w:rsidR="008653A0" w:rsidRPr="00B83384" w:rsidRDefault="008653A0" w:rsidP="008653A0">
      <w:pPr>
        <w:pStyle w:val="Default"/>
        <w:spacing w:after="60"/>
        <w:jc w:val="both"/>
      </w:pPr>
      <w:r>
        <w:t xml:space="preserve">3. It is </w:t>
      </w:r>
      <w:r>
        <w:rPr>
          <w:bdr w:val="none" w:sz="0" w:space="0" w:color="auto" w:frame="1"/>
        </w:rPr>
        <w:t>possible</w:t>
      </w:r>
      <w:r>
        <w:t xml:space="preserve"> to identify the project outcomes specified in the "</w:t>
      </w:r>
      <w:r>
        <w:rPr>
          <w:i/>
          <w:iCs/>
        </w:rPr>
        <w:t>Course of the project implementation, achievement of objectives and results</w:t>
      </w:r>
      <w:r>
        <w:t>" section of the "</w:t>
      </w:r>
      <w:r>
        <w:rPr>
          <w:i/>
          <w:iCs/>
        </w:rPr>
        <w:t>Progress Report on the implementation of the project for the mid-term evaluation of scientific quality</w:t>
      </w:r>
      <w:r>
        <w:t>":</w:t>
      </w:r>
    </w:p>
    <w:p w14:paraId="3F126B0C" w14:textId="77777777" w:rsidR="008653A0" w:rsidRPr="00B83384" w:rsidRDefault="008653A0" w:rsidP="008653A0">
      <w:pPr>
        <w:pStyle w:val="Sarakstarindkopa"/>
        <w:numPr>
          <w:ilvl w:val="0"/>
          <w:numId w:val="6"/>
        </w:numPr>
        <w:spacing w:before="120" w:after="120"/>
        <w:jc w:val="both"/>
      </w:pPr>
      <w:r>
        <w:t>Companies</w:t>
      </w:r>
      <w:r w:rsidRPr="00B83384">
        <w:rPr>
          <w:vertAlign w:val="superscript"/>
        </w:rPr>
        <w:footnoteReference w:id="2"/>
      </w:r>
      <w:r>
        <w:t xml:space="preserve"> that collaborate with research organizations.</w:t>
      </w:r>
    </w:p>
    <w:p w14:paraId="40A1910A" w14:textId="77777777" w:rsidR="008653A0" w:rsidRPr="00B83384" w:rsidRDefault="008653A0" w:rsidP="008653A0">
      <w:pPr>
        <w:pStyle w:val="Sarakstarindkopa"/>
        <w:numPr>
          <w:ilvl w:val="0"/>
          <w:numId w:val="6"/>
        </w:numPr>
        <w:spacing w:before="120" w:after="120"/>
        <w:jc w:val="both"/>
      </w:pPr>
      <w:r>
        <w:t>Scientific articles</w:t>
      </w:r>
      <w:r w:rsidRPr="00B83384">
        <w:rPr>
          <w:vertAlign w:val="superscript"/>
        </w:rPr>
        <w:footnoteReference w:id="3"/>
      </w:r>
      <w:r>
        <w:t xml:space="preserve"> for which support has been provided for their preparation and publication.</w:t>
      </w:r>
    </w:p>
    <w:p w14:paraId="1145F2C5" w14:textId="1A01C71D" w:rsidR="008653A0" w:rsidRPr="00B83384" w:rsidRDefault="008653A0" w:rsidP="008653A0">
      <w:pPr>
        <w:pStyle w:val="Sarakstarindkopa"/>
        <w:numPr>
          <w:ilvl w:val="0"/>
          <w:numId w:val="6"/>
        </w:numPr>
        <w:spacing w:before="120" w:after="120"/>
        <w:jc w:val="both"/>
      </w:pPr>
      <w:r>
        <w:t>Preparation and submission of research proposals</w:t>
      </w:r>
      <w:r w:rsidRPr="00B83384">
        <w:rPr>
          <w:vertAlign w:val="superscript"/>
        </w:rPr>
        <w:footnoteReference w:id="4"/>
      </w:r>
      <w:r>
        <w:t xml:space="preserve"> for research grants.</w:t>
      </w:r>
    </w:p>
    <w:p w14:paraId="553418C7" w14:textId="047B3090" w:rsidR="008A6E01" w:rsidRPr="00B83384" w:rsidRDefault="005B54A5" w:rsidP="008A6E01">
      <w:pPr>
        <w:pStyle w:val="Default"/>
        <w:spacing w:after="60"/>
        <w:jc w:val="both"/>
      </w:pPr>
      <w:r>
        <w:t xml:space="preserve">4. The scientific quality of the project’s research results referred to in point 3 of these criteria is adequate, </w:t>
      </w:r>
      <w:proofErr w:type="gramStart"/>
      <w:r>
        <w:t>taking into account</w:t>
      </w:r>
      <w:proofErr w:type="gramEnd"/>
      <w:r>
        <w:t xml:space="preserve"> the scientific value of the results achieved, the level of innovation (institutional, national, or international level) and their relevance to meeting the needs of a specific sector of the economy. It can be determined that </w:t>
      </w:r>
      <w:r>
        <w:rPr>
          <w:u w:val="single"/>
        </w:rPr>
        <w:t>so far in the project</w:t>
      </w:r>
      <w:r>
        <w:t>:</w:t>
      </w:r>
    </w:p>
    <w:p w14:paraId="100E6614" w14:textId="0502B864" w:rsidR="00663E1C" w:rsidRPr="00B83384" w:rsidRDefault="00663E1C" w:rsidP="005B54A5">
      <w:pPr>
        <w:pStyle w:val="Default"/>
        <w:spacing w:after="60"/>
        <w:ind w:firstLine="720"/>
        <w:jc w:val="both"/>
      </w:pPr>
      <w:r>
        <w:t>4.1. The activities carried out and the results achieved are scientifically sound and innovative.</w:t>
      </w:r>
    </w:p>
    <w:p w14:paraId="7D0CF0D1" w14:textId="750B0353" w:rsidR="00921E04" w:rsidRPr="00B83384" w:rsidRDefault="00663E1C" w:rsidP="00921E04">
      <w:pPr>
        <w:pStyle w:val="Default"/>
        <w:spacing w:after="60"/>
        <w:ind w:firstLine="720"/>
        <w:jc w:val="both"/>
      </w:pPr>
      <w:r>
        <w:t>4.2. The research results achieved are consistent with the project’s objective and the thematic research areas set forth in Subparagraph 30.1 of Cabinet Regulation No. 746</w:t>
      </w:r>
      <w:r w:rsidR="00B83384">
        <w:rPr>
          <w:rStyle w:val="Vresatsauce"/>
          <w:lang w:val="lv-LV"/>
        </w:rPr>
        <w:footnoteReference w:id="5"/>
      </w:r>
      <w:r>
        <w:t xml:space="preserve">. </w:t>
      </w:r>
    </w:p>
    <w:p w14:paraId="572D1BCF" w14:textId="41A29240" w:rsidR="001D15E4" w:rsidRDefault="00921E04" w:rsidP="001D15E4">
      <w:pPr>
        <w:spacing w:after="60"/>
        <w:ind w:firstLine="720"/>
        <w:jc w:val="both"/>
        <w:rPr>
          <w:rFonts w:ascii="Times New Roman" w:hAnsi="Times New Roman" w:cs="Times New Roman"/>
          <w:color w:val="000000"/>
          <w:sz w:val="24"/>
          <w:szCs w:val="24"/>
        </w:rPr>
      </w:pPr>
      <w:r>
        <w:rPr>
          <w:rFonts w:ascii="Times New Roman" w:hAnsi="Times New Roman"/>
          <w:color w:val="000000"/>
          <w:sz w:val="24"/>
        </w:rPr>
        <w:lastRenderedPageBreak/>
        <w:t>4.3. The developed product or technology meets the definition</w:t>
      </w:r>
      <w:r w:rsidR="00B83384" w:rsidRPr="00B83384">
        <w:rPr>
          <w:rStyle w:val="Vresatsauce"/>
          <w:rFonts w:ascii="Times New Roman" w:hAnsi="Times New Roman" w:cs="Times New Roman"/>
          <w:color w:val="000000"/>
          <w:sz w:val="24"/>
          <w:szCs w:val="24"/>
        </w:rPr>
        <w:footnoteReference w:id="6"/>
      </w:r>
      <w:r>
        <w:rPr>
          <w:rFonts w:ascii="Times New Roman" w:hAnsi="Times New Roman"/>
          <w:color w:val="000000"/>
          <w:sz w:val="24"/>
        </w:rPr>
        <w:t xml:space="preserve"> of a new product</w:t>
      </w:r>
      <w:r w:rsidR="000D1704">
        <w:rPr>
          <w:rStyle w:val="Vresatsauce"/>
          <w:rFonts w:ascii="Times New Roman" w:hAnsi="Times New Roman" w:cs="Times New Roman"/>
          <w:color w:val="000000"/>
          <w:sz w:val="24"/>
          <w:szCs w:val="24"/>
        </w:rPr>
        <w:footnoteReference w:id="7"/>
      </w:r>
      <w:r>
        <w:rPr>
          <w:rFonts w:ascii="Times New Roman" w:hAnsi="Times New Roman"/>
          <w:color w:val="000000"/>
          <w:sz w:val="24"/>
        </w:rPr>
        <w:t xml:space="preserve"> or a new technology</w:t>
      </w:r>
      <w:r w:rsidR="000D1704">
        <w:rPr>
          <w:rStyle w:val="Vresatsauce"/>
          <w:rFonts w:ascii="Times New Roman" w:hAnsi="Times New Roman" w:cs="Times New Roman"/>
          <w:color w:val="000000"/>
          <w:sz w:val="24"/>
          <w:szCs w:val="24"/>
        </w:rPr>
        <w:footnoteReference w:id="8"/>
      </w:r>
      <w:r>
        <w:rPr>
          <w:rFonts w:ascii="Times New Roman" w:hAnsi="Times New Roman"/>
          <w:color w:val="000000"/>
          <w:sz w:val="24"/>
        </w:rPr>
        <w:t xml:space="preserve">. </w:t>
      </w:r>
    </w:p>
    <w:p w14:paraId="581D56E2" w14:textId="3B133E05" w:rsidR="001D15E4" w:rsidRPr="001D15E4" w:rsidRDefault="001D15E4" w:rsidP="001D15E4">
      <w:pPr>
        <w:spacing w:after="60"/>
        <w:ind w:firstLine="720"/>
        <w:jc w:val="both"/>
        <w:rPr>
          <w:rFonts w:ascii="Times New Roman" w:hAnsi="Times New Roman" w:cs="Times New Roman"/>
          <w:color w:val="000000"/>
          <w:sz w:val="24"/>
          <w:szCs w:val="24"/>
        </w:rPr>
      </w:pPr>
      <w:r>
        <w:rPr>
          <w:rFonts w:ascii="Times New Roman" w:hAnsi="Times New Roman"/>
          <w:color w:val="000000"/>
          <w:sz w:val="24"/>
        </w:rPr>
        <w:t>4.4. The protection of intellectual property rights</w:t>
      </w:r>
      <w:r>
        <w:rPr>
          <w:rStyle w:val="Vresatsauce"/>
          <w:rFonts w:ascii="Times New Roman" w:hAnsi="Times New Roman" w:cs="Times New Roman"/>
          <w:color w:val="000000"/>
          <w:sz w:val="24"/>
          <w:szCs w:val="24"/>
        </w:rPr>
        <w:footnoteReference w:id="9"/>
      </w:r>
      <w:r>
        <w:rPr>
          <w:rFonts w:ascii="Times New Roman" w:hAnsi="Times New Roman"/>
          <w:color w:val="000000"/>
          <w:sz w:val="24"/>
        </w:rPr>
        <w:t xml:space="preserve"> arising from the implementation of research is consistent with the research category (if applicable).</w:t>
      </w:r>
    </w:p>
    <w:p w14:paraId="57744B74" w14:textId="64B7C16C" w:rsidR="00380761" w:rsidRPr="00B83384" w:rsidRDefault="00921E04" w:rsidP="00380761">
      <w:pPr>
        <w:spacing w:after="60"/>
        <w:ind w:firstLine="709"/>
        <w:jc w:val="both"/>
        <w:rPr>
          <w:rFonts w:ascii="Times New Roman" w:hAnsi="Times New Roman" w:cs="Times New Roman"/>
          <w:color w:val="000000"/>
          <w:sz w:val="24"/>
          <w:szCs w:val="24"/>
        </w:rPr>
      </w:pPr>
      <w:r>
        <w:rPr>
          <w:rFonts w:ascii="Times New Roman" w:hAnsi="Times New Roman"/>
          <w:color w:val="000000"/>
          <w:sz w:val="24"/>
        </w:rPr>
        <w:t>4.5. The content of the scientific articles produced is consistent with the project’s theme and objective.</w:t>
      </w:r>
    </w:p>
    <w:p w14:paraId="05C0DB48" w14:textId="7992EC30" w:rsidR="008653A0" w:rsidRPr="00B83384" w:rsidRDefault="00380761" w:rsidP="00921E04">
      <w:pPr>
        <w:pStyle w:val="Default"/>
        <w:spacing w:after="60"/>
        <w:ind w:firstLine="720"/>
        <w:jc w:val="both"/>
      </w:pPr>
      <w:r>
        <w:t>4.6. The research categories</w:t>
      </w:r>
      <w:r w:rsidR="00CF73D4" w:rsidRPr="00B83384">
        <w:rPr>
          <w:rStyle w:val="Vresatsauce"/>
          <w:lang w:val="lv-LV"/>
        </w:rPr>
        <w:footnoteReference w:id="10"/>
      </w:r>
      <w:r>
        <w:t xml:space="preserve"> selected and applied are consistent with the intended objective.</w:t>
      </w:r>
    </w:p>
    <w:p w14:paraId="5990FE89" w14:textId="5D41A174" w:rsidR="00DA2529" w:rsidRDefault="006E77F2" w:rsidP="00DA2529">
      <w:pPr>
        <w:pStyle w:val="Default"/>
        <w:spacing w:after="60"/>
        <w:ind w:firstLine="720"/>
        <w:jc w:val="both"/>
      </w:pPr>
      <w:r>
        <w:t>5. The course of the project implementation reflects the progress and completion of the common (horizontal) tasks specified in Paragraph 13 of Cabinet Regulation No. 746 by the end of the project implementation.</w:t>
      </w:r>
    </w:p>
    <w:p w14:paraId="1E990639" w14:textId="77777777" w:rsidR="00C54E82" w:rsidRPr="00DA2529" w:rsidRDefault="00C54E82" w:rsidP="00DA2529">
      <w:pPr>
        <w:pStyle w:val="Default"/>
        <w:spacing w:after="60"/>
        <w:ind w:firstLine="720"/>
        <w:jc w:val="both"/>
        <w:rPr>
          <w:lang w:val="lv-LV"/>
        </w:rPr>
      </w:pPr>
    </w:p>
    <w:p w14:paraId="49EC63B1" w14:textId="3CE043CC" w:rsidR="005317A1" w:rsidRPr="00B83384" w:rsidRDefault="005317A1" w:rsidP="005317A1">
      <w:pPr>
        <w:jc w:val="both"/>
        <w:rPr>
          <w:rFonts w:ascii="Times New Roman" w:hAnsi="Times New Roman" w:cs="Times New Roman"/>
          <w:b/>
          <w:sz w:val="24"/>
          <w:szCs w:val="24"/>
        </w:rPr>
      </w:pPr>
      <w:r>
        <w:rPr>
          <w:rFonts w:ascii="Times New Roman" w:hAnsi="Times New Roman"/>
          <w:b/>
          <w:sz w:val="24"/>
        </w:rPr>
        <w:t xml:space="preserve">Expert rating*: </w:t>
      </w:r>
    </w:p>
    <w:tbl>
      <w:tblPr>
        <w:tblStyle w:val="Reatabula"/>
        <w:tblW w:w="0" w:type="auto"/>
        <w:tblLook w:val="04A0" w:firstRow="1" w:lastRow="0" w:firstColumn="1" w:lastColumn="0" w:noHBand="0" w:noVBand="1"/>
      </w:tblPr>
      <w:tblGrid>
        <w:gridCol w:w="5742"/>
        <w:gridCol w:w="850"/>
      </w:tblGrid>
      <w:tr w:rsidR="005317A1" w:rsidRPr="00B83384" w14:paraId="1209A373" w14:textId="77777777" w:rsidTr="003176DA">
        <w:tc>
          <w:tcPr>
            <w:tcW w:w="5742" w:type="dxa"/>
          </w:tcPr>
          <w:p w14:paraId="0CB94CA7" w14:textId="77777777" w:rsidR="005317A1" w:rsidRPr="00B83384" w:rsidRDefault="005317A1" w:rsidP="003176DA">
            <w:pPr>
              <w:jc w:val="both"/>
              <w:rPr>
                <w:rFonts w:ascii="Times New Roman" w:hAnsi="Times New Roman" w:cs="Times New Roman"/>
                <w:sz w:val="24"/>
                <w:szCs w:val="24"/>
              </w:rPr>
            </w:pPr>
            <w:r>
              <w:rPr>
                <w:rFonts w:ascii="Times New Roman" w:hAnsi="Times New Roman"/>
                <w:sz w:val="24"/>
              </w:rPr>
              <w:t>Compliant with what is planned</w:t>
            </w:r>
          </w:p>
        </w:tc>
        <w:tc>
          <w:tcPr>
            <w:tcW w:w="850" w:type="dxa"/>
          </w:tcPr>
          <w:p w14:paraId="3BBE63DB" w14:textId="77777777" w:rsidR="005317A1" w:rsidRPr="00B83384" w:rsidRDefault="005317A1" w:rsidP="003176DA">
            <w:pPr>
              <w:jc w:val="both"/>
              <w:rPr>
                <w:rFonts w:ascii="Times New Roman" w:hAnsi="Times New Roman" w:cs="Times New Roman"/>
                <w:sz w:val="24"/>
                <w:szCs w:val="24"/>
              </w:rPr>
            </w:pPr>
          </w:p>
        </w:tc>
      </w:tr>
      <w:tr w:rsidR="005317A1" w:rsidRPr="00B83384" w14:paraId="077B7A6F" w14:textId="77777777" w:rsidTr="003176DA">
        <w:tc>
          <w:tcPr>
            <w:tcW w:w="5742" w:type="dxa"/>
          </w:tcPr>
          <w:p w14:paraId="16D032EB" w14:textId="77777777" w:rsidR="005317A1" w:rsidRPr="00B83384" w:rsidRDefault="005317A1" w:rsidP="003176DA">
            <w:pPr>
              <w:jc w:val="both"/>
              <w:rPr>
                <w:rFonts w:ascii="Times New Roman" w:hAnsi="Times New Roman" w:cs="Times New Roman"/>
                <w:sz w:val="24"/>
                <w:szCs w:val="24"/>
              </w:rPr>
            </w:pPr>
            <w:r>
              <w:rPr>
                <w:rFonts w:ascii="Times New Roman" w:hAnsi="Times New Roman"/>
                <w:sz w:val="24"/>
              </w:rPr>
              <w:t>Compliant with suggestions for improving the course of research</w:t>
            </w:r>
          </w:p>
        </w:tc>
        <w:tc>
          <w:tcPr>
            <w:tcW w:w="850" w:type="dxa"/>
          </w:tcPr>
          <w:p w14:paraId="4C3E276E" w14:textId="77777777" w:rsidR="005317A1" w:rsidRPr="00B83384" w:rsidRDefault="005317A1" w:rsidP="003176DA">
            <w:pPr>
              <w:jc w:val="both"/>
              <w:rPr>
                <w:rFonts w:ascii="Times New Roman" w:hAnsi="Times New Roman" w:cs="Times New Roman"/>
                <w:sz w:val="24"/>
                <w:szCs w:val="24"/>
              </w:rPr>
            </w:pPr>
          </w:p>
        </w:tc>
      </w:tr>
      <w:tr w:rsidR="005317A1" w:rsidRPr="00B83384" w14:paraId="24D7465F" w14:textId="77777777" w:rsidTr="003176DA">
        <w:tc>
          <w:tcPr>
            <w:tcW w:w="5742" w:type="dxa"/>
          </w:tcPr>
          <w:p w14:paraId="2714B524" w14:textId="77777777" w:rsidR="005317A1" w:rsidRPr="00B83384" w:rsidRDefault="005317A1" w:rsidP="003176DA">
            <w:pPr>
              <w:jc w:val="both"/>
              <w:rPr>
                <w:rFonts w:ascii="Times New Roman" w:hAnsi="Times New Roman" w:cs="Times New Roman"/>
                <w:sz w:val="24"/>
                <w:szCs w:val="24"/>
              </w:rPr>
            </w:pPr>
            <w:r>
              <w:rPr>
                <w:rFonts w:ascii="Times New Roman" w:hAnsi="Times New Roman"/>
                <w:sz w:val="24"/>
              </w:rPr>
              <w:t>Non-compliant</w:t>
            </w:r>
          </w:p>
        </w:tc>
        <w:tc>
          <w:tcPr>
            <w:tcW w:w="850" w:type="dxa"/>
          </w:tcPr>
          <w:p w14:paraId="6075DE1F" w14:textId="77777777" w:rsidR="005317A1" w:rsidRPr="00B83384" w:rsidRDefault="005317A1" w:rsidP="003176DA">
            <w:pPr>
              <w:jc w:val="both"/>
              <w:rPr>
                <w:rFonts w:ascii="Times New Roman" w:hAnsi="Times New Roman" w:cs="Times New Roman"/>
                <w:sz w:val="24"/>
                <w:szCs w:val="24"/>
              </w:rPr>
            </w:pPr>
          </w:p>
        </w:tc>
      </w:tr>
    </w:tbl>
    <w:p w14:paraId="71B36EB2" w14:textId="77777777" w:rsidR="005317A1" w:rsidRPr="00B83384" w:rsidRDefault="005317A1" w:rsidP="005317A1">
      <w:pPr>
        <w:pStyle w:val="Default"/>
        <w:jc w:val="both"/>
        <w:rPr>
          <w:b/>
          <w:bCs/>
          <w:lang w:val="lv-LV"/>
        </w:rPr>
      </w:pPr>
    </w:p>
    <w:tbl>
      <w:tblPr>
        <w:tblStyle w:val="Reatabula"/>
        <w:tblW w:w="9351" w:type="dxa"/>
        <w:tblLook w:val="04A0" w:firstRow="1" w:lastRow="0" w:firstColumn="1" w:lastColumn="0" w:noHBand="0" w:noVBand="1"/>
      </w:tblPr>
      <w:tblGrid>
        <w:gridCol w:w="2523"/>
        <w:gridCol w:w="6828"/>
      </w:tblGrid>
      <w:tr w:rsidR="005317A1" w:rsidRPr="00B83384" w14:paraId="4916DA6D" w14:textId="77777777" w:rsidTr="005317A1">
        <w:tc>
          <w:tcPr>
            <w:tcW w:w="2523" w:type="dxa"/>
          </w:tcPr>
          <w:p w14:paraId="28265F37" w14:textId="77777777" w:rsidR="005317A1" w:rsidRPr="00B83384" w:rsidRDefault="005317A1" w:rsidP="003176DA">
            <w:pPr>
              <w:jc w:val="both"/>
              <w:rPr>
                <w:rFonts w:ascii="Times New Roman" w:hAnsi="Times New Roman" w:cs="Times New Roman"/>
                <w:sz w:val="24"/>
                <w:szCs w:val="24"/>
              </w:rPr>
            </w:pPr>
            <w:r>
              <w:rPr>
                <w:rFonts w:ascii="Times New Roman" w:hAnsi="Times New Roman"/>
                <w:sz w:val="24"/>
              </w:rPr>
              <w:lastRenderedPageBreak/>
              <w:t>Recommendations for project implementation (to be completed if the rating "</w:t>
            </w:r>
            <w:r>
              <w:rPr>
                <w:rFonts w:ascii="Times New Roman" w:hAnsi="Times New Roman"/>
                <w:i/>
                <w:iCs/>
                <w:sz w:val="24"/>
              </w:rPr>
              <w:t>Compliant with suggestions for improving the course of research" or "Non-compliant" is selected</w:t>
            </w:r>
            <w:r>
              <w:rPr>
                <w:rFonts w:ascii="Times New Roman" w:hAnsi="Times New Roman"/>
                <w:sz w:val="24"/>
              </w:rPr>
              <w:t>)</w:t>
            </w:r>
          </w:p>
        </w:tc>
        <w:tc>
          <w:tcPr>
            <w:tcW w:w="6828" w:type="dxa"/>
          </w:tcPr>
          <w:p w14:paraId="631F76A1" w14:textId="77777777" w:rsidR="005317A1" w:rsidRPr="00B83384" w:rsidRDefault="005317A1" w:rsidP="003176DA">
            <w:pPr>
              <w:jc w:val="both"/>
              <w:rPr>
                <w:rFonts w:ascii="Times New Roman" w:hAnsi="Times New Roman" w:cs="Times New Roman"/>
                <w:sz w:val="24"/>
                <w:szCs w:val="24"/>
              </w:rPr>
            </w:pPr>
          </w:p>
        </w:tc>
      </w:tr>
    </w:tbl>
    <w:p w14:paraId="1A59D26B" w14:textId="77777777" w:rsidR="008A6E01" w:rsidRPr="00B83384" w:rsidRDefault="008A6E01" w:rsidP="00627015">
      <w:pPr>
        <w:jc w:val="both"/>
        <w:rPr>
          <w:rFonts w:ascii="Times New Roman" w:hAnsi="Times New Roman" w:cs="Times New Roman"/>
          <w:b/>
          <w:sz w:val="24"/>
          <w:szCs w:val="24"/>
        </w:rPr>
      </w:pPr>
    </w:p>
    <w:p w14:paraId="0DB3D531" w14:textId="78BA3395" w:rsidR="00ED0515" w:rsidRPr="00B83384" w:rsidRDefault="00627015" w:rsidP="00627015">
      <w:pPr>
        <w:jc w:val="both"/>
        <w:rPr>
          <w:rFonts w:ascii="Times New Roman" w:hAnsi="Times New Roman" w:cs="Times New Roman"/>
          <w:b/>
          <w:sz w:val="24"/>
          <w:szCs w:val="24"/>
        </w:rPr>
      </w:pPr>
      <w:r>
        <w:rPr>
          <w:rFonts w:ascii="Times New Roman" w:hAnsi="Times New Roman"/>
          <w:b/>
          <w:sz w:val="24"/>
        </w:rPr>
        <w:t>IMPACT</w:t>
      </w:r>
    </w:p>
    <w:p w14:paraId="20535C4D" w14:textId="5A94BEE0" w:rsidR="00AC430E" w:rsidRDefault="00AD227D" w:rsidP="00AD227D">
      <w:pPr>
        <w:pStyle w:val="Default"/>
        <w:spacing w:after="60"/>
        <w:jc w:val="both"/>
        <w:rPr>
          <w:color w:val="auto"/>
          <w:szCs w:val="22"/>
        </w:rPr>
      </w:pPr>
      <w:r>
        <w:t>1. The socioeconomic impact of the research results achieved, including alignment with the smart specialization area "Knowledge-intensive Bioeconomy" and targeting the statistical regions of Kurzeme, Latgale, Vidzeme, and Zemgale</w:t>
      </w:r>
      <w:r w:rsidR="00733454" w:rsidRPr="00B83384">
        <w:rPr>
          <w:rStyle w:val="Vresatsauce"/>
          <w:color w:val="auto"/>
          <w:szCs w:val="22"/>
          <w:lang w:val="lv-LV"/>
        </w:rPr>
        <w:footnoteReference w:id="11"/>
      </w:r>
      <w:r>
        <w:t>.</w:t>
      </w:r>
    </w:p>
    <w:p w14:paraId="55BED0B4" w14:textId="0E3A92F3" w:rsidR="001F73B9" w:rsidRPr="001F73B9" w:rsidRDefault="00AD227D" w:rsidP="00AD227D">
      <w:pPr>
        <w:pStyle w:val="Default"/>
        <w:spacing w:after="60"/>
        <w:jc w:val="both"/>
        <w:rPr>
          <w:color w:val="auto"/>
          <w:szCs w:val="22"/>
        </w:rPr>
      </w:pPr>
      <w:bookmarkStart w:id="0" w:name="_Hlk224898424"/>
      <w:r>
        <w:t>2. The activities carried out under the project are not aimed at supporting the peat industry to increase peat extraction, but rather at supporting the development of research capacity and excellence in the natural resources sector to achieve Latvia’s climate neutrality.</w:t>
      </w:r>
      <w:bookmarkEnd w:id="0"/>
    </w:p>
    <w:p w14:paraId="08B872B8" w14:textId="554248BD" w:rsidR="00B11232" w:rsidRDefault="001F73B9" w:rsidP="00B11232">
      <w:pPr>
        <w:pStyle w:val="Default"/>
        <w:spacing w:after="60"/>
        <w:jc w:val="both"/>
        <w:rPr>
          <w:color w:val="auto"/>
          <w:szCs w:val="22"/>
        </w:rPr>
      </w:pPr>
      <w:r>
        <w:t>3. Intellectual property management – planned knowledge and technology transfer measures, their potential impact on the development of research for the sustainable use of natural resources in the context of environmental and climate goals, economic development, and meeting societal needs, including the quality of proposed measures to raise awareness among various target groups about project activities.</w:t>
      </w:r>
    </w:p>
    <w:p w14:paraId="62A73C32" w14:textId="77E7751C" w:rsidR="00AC430E" w:rsidRPr="00B11232" w:rsidRDefault="001F73B9" w:rsidP="00B11232">
      <w:pPr>
        <w:pStyle w:val="Default"/>
        <w:spacing w:after="60"/>
        <w:jc w:val="both"/>
        <w:rPr>
          <w:color w:val="auto"/>
          <w:szCs w:val="22"/>
        </w:rPr>
      </w:pPr>
      <w:r>
        <w:rPr>
          <w:color w:val="auto"/>
        </w:rPr>
        <w:t>4. The impact of the research findings on the sector’s future development.</w:t>
      </w:r>
    </w:p>
    <w:p w14:paraId="01FEF83B" w14:textId="10D22287" w:rsidR="00913C12" w:rsidRPr="00B83384" w:rsidRDefault="001F73B9" w:rsidP="00B11232">
      <w:pPr>
        <w:pStyle w:val="Default"/>
        <w:spacing w:after="60"/>
        <w:jc w:val="both"/>
        <w:rPr>
          <w:color w:val="auto"/>
          <w:szCs w:val="22"/>
        </w:rPr>
      </w:pPr>
      <w:r>
        <w:rPr>
          <w:color w:val="auto"/>
        </w:rPr>
        <w:t>5. The project’s implementation to date has contributed to strengthening the research capacity of the project’s research staff, including students and doctoral candidates.</w:t>
      </w:r>
    </w:p>
    <w:p w14:paraId="32F57C37" w14:textId="11B7E1C8" w:rsidR="00ED4B71" w:rsidRDefault="001F73B9" w:rsidP="00B11232">
      <w:pPr>
        <w:pStyle w:val="Default"/>
        <w:spacing w:after="60"/>
        <w:jc w:val="both"/>
      </w:pPr>
      <w:r>
        <w:rPr>
          <w:color w:val="auto"/>
        </w:rPr>
        <w:t xml:space="preserve">6. </w:t>
      </w:r>
      <w:r>
        <w:t xml:space="preserve">The activities carried out so far within the project contribute to long-term cooperation with Latvian or foreign scientific institutions (for example, by preparing new research project proposals, developing new cooperation networks, preparing publications, participating in international consortia, etc.). </w:t>
      </w:r>
    </w:p>
    <w:p w14:paraId="65D55DFA" w14:textId="30C7C354" w:rsidR="005317A1" w:rsidRDefault="001F73B9" w:rsidP="00B11232">
      <w:pPr>
        <w:pStyle w:val="Default"/>
        <w:spacing w:after="60"/>
        <w:jc w:val="both"/>
        <w:rPr>
          <w:color w:val="auto"/>
          <w:szCs w:val="22"/>
        </w:rPr>
      </w:pPr>
      <w:r>
        <w:rPr>
          <w:color w:val="auto"/>
        </w:rPr>
        <w:t>7. Ensuring the availability of the project’s results and the sustainability of the research outcomes is proceeding as planned.</w:t>
      </w:r>
    </w:p>
    <w:p w14:paraId="45831C48" w14:textId="77777777" w:rsidR="005317A1" w:rsidRPr="00B83384" w:rsidRDefault="005317A1" w:rsidP="005317A1">
      <w:pPr>
        <w:pStyle w:val="Default"/>
        <w:jc w:val="both"/>
        <w:rPr>
          <w:sz w:val="20"/>
          <w:szCs w:val="20"/>
          <w:lang w:val="lv-LV"/>
        </w:rPr>
      </w:pPr>
    </w:p>
    <w:p w14:paraId="51E0D58A" w14:textId="26B242D0" w:rsidR="005317A1" w:rsidRPr="00B83384" w:rsidRDefault="005317A1" w:rsidP="005317A1">
      <w:pPr>
        <w:jc w:val="both"/>
        <w:rPr>
          <w:rFonts w:ascii="Times New Roman" w:hAnsi="Times New Roman" w:cs="Times New Roman"/>
          <w:b/>
          <w:sz w:val="24"/>
          <w:szCs w:val="24"/>
        </w:rPr>
      </w:pPr>
      <w:r>
        <w:rPr>
          <w:rFonts w:ascii="Times New Roman" w:hAnsi="Times New Roman"/>
          <w:b/>
          <w:sz w:val="24"/>
        </w:rPr>
        <w:t xml:space="preserve">Expert rating*: </w:t>
      </w:r>
    </w:p>
    <w:tbl>
      <w:tblPr>
        <w:tblStyle w:val="Reatabula"/>
        <w:tblW w:w="0" w:type="auto"/>
        <w:tblLook w:val="04A0" w:firstRow="1" w:lastRow="0" w:firstColumn="1" w:lastColumn="0" w:noHBand="0" w:noVBand="1"/>
      </w:tblPr>
      <w:tblGrid>
        <w:gridCol w:w="5742"/>
        <w:gridCol w:w="850"/>
      </w:tblGrid>
      <w:tr w:rsidR="005317A1" w:rsidRPr="00B83384" w14:paraId="694CB295" w14:textId="77777777" w:rsidTr="003176DA">
        <w:tc>
          <w:tcPr>
            <w:tcW w:w="5742" w:type="dxa"/>
          </w:tcPr>
          <w:p w14:paraId="396CF1BD" w14:textId="77777777" w:rsidR="005317A1" w:rsidRPr="00B83384" w:rsidRDefault="005317A1" w:rsidP="003176DA">
            <w:pPr>
              <w:jc w:val="both"/>
              <w:rPr>
                <w:rFonts w:ascii="Times New Roman" w:hAnsi="Times New Roman" w:cs="Times New Roman"/>
                <w:sz w:val="24"/>
                <w:szCs w:val="24"/>
              </w:rPr>
            </w:pPr>
            <w:r>
              <w:rPr>
                <w:rFonts w:ascii="Times New Roman" w:hAnsi="Times New Roman"/>
                <w:sz w:val="24"/>
              </w:rPr>
              <w:t>Compliant with what is planned</w:t>
            </w:r>
          </w:p>
        </w:tc>
        <w:tc>
          <w:tcPr>
            <w:tcW w:w="850" w:type="dxa"/>
          </w:tcPr>
          <w:p w14:paraId="2382BB00" w14:textId="77777777" w:rsidR="005317A1" w:rsidRPr="00B83384" w:rsidRDefault="005317A1" w:rsidP="003176DA">
            <w:pPr>
              <w:jc w:val="both"/>
              <w:rPr>
                <w:rFonts w:ascii="Times New Roman" w:hAnsi="Times New Roman" w:cs="Times New Roman"/>
                <w:sz w:val="24"/>
                <w:szCs w:val="24"/>
              </w:rPr>
            </w:pPr>
          </w:p>
        </w:tc>
      </w:tr>
      <w:tr w:rsidR="005317A1" w:rsidRPr="00B83384" w14:paraId="2B411394" w14:textId="77777777" w:rsidTr="003176DA">
        <w:tc>
          <w:tcPr>
            <w:tcW w:w="5742" w:type="dxa"/>
          </w:tcPr>
          <w:p w14:paraId="3E6BF830" w14:textId="77777777" w:rsidR="005317A1" w:rsidRPr="00B83384" w:rsidRDefault="005317A1" w:rsidP="003176DA">
            <w:pPr>
              <w:jc w:val="both"/>
              <w:rPr>
                <w:rFonts w:ascii="Times New Roman" w:hAnsi="Times New Roman" w:cs="Times New Roman"/>
                <w:sz w:val="24"/>
                <w:szCs w:val="24"/>
              </w:rPr>
            </w:pPr>
            <w:r>
              <w:rPr>
                <w:rFonts w:ascii="Times New Roman" w:hAnsi="Times New Roman"/>
                <w:sz w:val="24"/>
              </w:rPr>
              <w:t>Compliant with suggestions for improving the course of research</w:t>
            </w:r>
          </w:p>
        </w:tc>
        <w:tc>
          <w:tcPr>
            <w:tcW w:w="850" w:type="dxa"/>
          </w:tcPr>
          <w:p w14:paraId="4F1D1F28" w14:textId="77777777" w:rsidR="005317A1" w:rsidRPr="00B83384" w:rsidRDefault="005317A1" w:rsidP="003176DA">
            <w:pPr>
              <w:jc w:val="both"/>
              <w:rPr>
                <w:rFonts w:ascii="Times New Roman" w:hAnsi="Times New Roman" w:cs="Times New Roman"/>
                <w:sz w:val="24"/>
                <w:szCs w:val="24"/>
              </w:rPr>
            </w:pPr>
          </w:p>
        </w:tc>
      </w:tr>
      <w:tr w:rsidR="005317A1" w:rsidRPr="00B83384" w14:paraId="38216772" w14:textId="77777777" w:rsidTr="003176DA">
        <w:tc>
          <w:tcPr>
            <w:tcW w:w="5742" w:type="dxa"/>
          </w:tcPr>
          <w:p w14:paraId="7A98EAA1" w14:textId="77777777" w:rsidR="005317A1" w:rsidRPr="00B83384" w:rsidRDefault="005317A1" w:rsidP="003176DA">
            <w:pPr>
              <w:jc w:val="both"/>
              <w:rPr>
                <w:rFonts w:ascii="Times New Roman" w:hAnsi="Times New Roman" w:cs="Times New Roman"/>
                <w:sz w:val="24"/>
                <w:szCs w:val="24"/>
              </w:rPr>
            </w:pPr>
            <w:r>
              <w:rPr>
                <w:rFonts w:ascii="Times New Roman" w:hAnsi="Times New Roman"/>
                <w:sz w:val="24"/>
              </w:rPr>
              <w:t>Non-compliant</w:t>
            </w:r>
          </w:p>
        </w:tc>
        <w:tc>
          <w:tcPr>
            <w:tcW w:w="850" w:type="dxa"/>
          </w:tcPr>
          <w:p w14:paraId="576E28D5" w14:textId="77777777" w:rsidR="005317A1" w:rsidRPr="00B83384" w:rsidRDefault="005317A1" w:rsidP="003176DA">
            <w:pPr>
              <w:jc w:val="both"/>
              <w:rPr>
                <w:rFonts w:ascii="Times New Roman" w:hAnsi="Times New Roman" w:cs="Times New Roman"/>
                <w:sz w:val="24"/>
                <w:szCs w:val="24"/>
              </w:rPr>
            </w:pPr>
          </w:p>
        </w:tc>
      </w:tr>
    </w:tbl>
    <w:p w14:paraId="748A41C0" w14:textId="77777777" w:rsidR="005317A1" w:rsidRPr="00B83384" w:rsidRDefault="005317A1" w:rsidP="005317A1">
      <w:pPr>
        <w:pStyle w:val="Default"/>
        <w:jc w:val="both"/>
        <w:rPr>
          <w:lang w:val="lv-LV"/>
        </w:rPr>
      </w:pPr>
    </w:p>
    <w:tbl>
      <w:tblPr>
        <w:tblStyle w:val="Reatabula"/>
        <w:tblW w:w="9351" w:type="dxa"/>
        <w:tblLook w:val="04A0" w:firstRow="1" w:lastRow="0" w:firstColumn="1" w:lastColumn="0" w:noHBand="0" w:noVBand="1"/>
      </w:tblPr>
      <w:tblGrid>
        <w:gridCol w:w="2263"/>
        <w:gridCol w:w="7088"/>
      </w:tblGrid>
      <w:tr w:rsidR="005317A1" w:rsidRPr="00B83384" w14:paraId="6C7F3482" w14:textId="77777777" w:rsidTr="003176DA">
        <w:tc>
          <w:tcPr>
            <w:tcW w:w="2263" w:type="dxa"/>
          </w:tcPr>
          <w:p w14:paraId="77094B92" w14:textId="77777777" w:rsidR="005317A1" w:rsidRPr="00B83384" w:rsidRDefault="005317A1" w:rsidP="003176DA">
            <w:pPr>
              <w:jc w:val="both"/>
              <w:rPr>
                <w:rFonts w:ascii="Times New Roman" w:hAnsi="Times New Roman" w:cs="Times New Roman"/>
                <w:sz w:val="24"/>
                <w:szCs w:val="24"/>
              </w:rPr>
            </w:pPr>
            <w:r>
              <w:rPr>
                <w:rFonts w:ascii="Times New Roman" w:hAnsi="Times New Roman"/>
                <w:sz w:val="24"/>
              </w:rPr>
              <w:t>Recommendations for project implementation (to be completed if the rating "</w:t>
            </w:r>
            <w:r>
              <w:rPr>
                <w:rFonts w:ascii="Times New Roman" w:hAnsi="Times New Roman"/>
                <w:i/>
                <w:iCs/>
                <w:sz w:val="24"/>
              </w:rPr>
              <w:t xml:space="preserve">Compliant with suggestions for </w:t>
            </w:r>
            <w:r>
              <w:rPr>
                <w:rFonts w:ascii="Times New Roman" w:hAnsi="Times New Roman"/>
                <w:i/>
                <w:iCs/>
                <w:sz w:val="24"/>
              </w:rPr>
              <w:lastRenderedPageBreak/>
              <w:t>improving the course of research" or "Non-compliant" is selected</w:t>
            </w:r>
            <w:r>
              <w:rPr>
                <w:rFonts w:ascii="Times New Roman" w:hAnsi="Times New Roman"/>
                <w:sz w:val="24"/>
              </w:rPr>
              <w:t>)</w:t>
            </w:r>
          </w:p>
        </w:tc>
        <w:tc>
          <w:tcPr>
            <w:tcW w:w="7088" w:type="dxa"/>
          </w:tcPr>
          <w:p w14:paraId="3AA524BD" w14:textId="77777777" w:rsidR="005317A1" w:rsidRPr="00B83384" w:rsidRDefault="005317A1" w:rsidP="003176DA">
            <w:pPr>
              <w:jc w:val="both"/>
              <w:rPr>
                <w:rFonts w:ascii="Times New Roman" w:hAnsi="Times New Roman" w:cs="Times New Roman"/>
                <w:sz w:val="24"/>
                <w:szCs w:val="24"/>
              </w:rPr>
            </w:pPr>
          </w:p>
        </w:tc>
      </w:tr>
    </w:tbl>
    <w:p w14:paraId="26E4FE99" w14:textId="77777777" w:rsidR="00E07C1A" w:rsidRPr="00B83384" w:rsidRDefault="00E07C1A" w:rsidP="00627015">
      <w:pPr>
        <w:jc w:val="both"/>
        <w:rPr>
          <w:rFonts w:ascii="Times New Roman" w:eastAsia="Times New Roman" w:hAnsi="Times New Roman"/>
          <w:b/>
          <w:caps/>
          <w:lang w:eastAsia="lv-LV"/>
        </w:rPr>
      </w:pPr>
    </w:p>
    <w:p w14:paraId="79852E6F" w14:textId="101C408C" w:rsidR="00192460" w:rsidRPr="00B83384" w:rsidRDefault="00627015" w:rsidP="00627015">
      <w:pPr>
        <w:jc w:val="both"/>
        <w:rPr>
          <w:rFonts w:ascii="Times New Roman" w:eastAsia="Times New Roman" w:hAnsi="Times New Roman"/>
          <w:b/>
          <w:caps/>
        </w:rPr>
      </w:pPr>
      <w:r>
        <w:rPr>
          <w:rFonts w:ascii="Times New Roman" w:hAnsi="Times New Roman"/>
          <w:b/>
          <w:caps/>
        </w:rPr>
        <w:t>QUALITY AND EFFICIENCY OF PROJECT IMPLEMENTATION</w:t>
      </w:r>
    </w:p>
    <w:p w14:paraId="24FDC19B" w14:textId="423DFCCB" w:rsidR="005317A1" w:rsidRPr="00B83384" w:rsidRDefault="00B11232" w:rsidP="00B11232">
      <w:pPr>
        <w:pStyle w:val="Default"/>
        <w:spacing w:after="60"/>
        <w:jc w:val="both"/>
      </w:pPr>
      <w:r>
        <w:t>1. The use of material resources (including research infrastructure and equipment) and financial resources used on the implementation of project activities, as well as the scientific capacity and scientific management of the human resources involved, are effective and commensurate with the volume of work performed and the results achieved.</w:t>
      </w:r>
    </w:p>
    <w:p w14:paraId="5BF35ECD" w14:textId="4D0D1CA5" w:rsidR="00913C12" w:rsidRPr="00B11232" w:rsidRDefault="00B11232" w:rsidP="00B11232">
      <w:pPr>
        <w:pStyle w:val="Default"/>
        <w:spacing w:after="60"/>
        <w:jc w:val="both"/>
      </w:pPr>
      <w:r>
        <w:t>2. The project is being implemented according to the planned timeline of activities.</w:t>
      </w:r>
    </w:p>
    <w:p w14:paraId="7C36047F" w14:textId="20E83478" w:rsidR="00E07C1A" w:rsidRPr="00B83384" w:rsidRDefault="00B11232" w:rsidP="00B11232">
      <w:pPr>
        <w:pStyle w:val="Default"/>
        <w:spacing w:after="60"/>
        <w:jc w:val="both"/>
      </w:pPr>
      <w:r>
        <w:t>3. The effectiveness and alignment of the activities, tasks, deliverables, and milestones carried out during project implementation with the project’s planned outcomes, budget summary and timeline. Among other things, the expert assesses whether it is possible to achieve the research results that have not yet been attained during the remaining project implementation period.</w:t>
      </w:r>
    </w:p>
    <w:p w14:paraId="3B14004A" w14:textId="67BCF4B3" w:rsidR="00E07C1A" w:rsidRPr="00B83384" w:rsidRDefault="00B11232" w:rsidP="00B11232">
      <w:pPr>
        <w:pStyle w:val="Default"/>
        <w:spacing w:after="60"/>
        <w:jc w:val="both"/>
      </w:pPr>
      <w:r>
        <w:t>4. If there are deviations from the planned timeline, they are justified, and the rescheduling of tasks is effective.</w:t>
      </w:r>
    </w:p>
    <w:p w14:paraId="31C008EC" w14:textId="76CE589E" w:rsidR="005317A1" w:rsidRPr="00B83384" w:rsidRDefault="00B11232" w:rsidP="00B11232">
      <w:pPr>
        <w:pStyle w:val="Default"/>
        <w:spacing w:after="60"/>
        <w:jc w:val="both"/>
      </w:pPr>
      <w:r>
        <w:t>5. The alignment of the resource and results management system with the project’s objectives, including quality and risk management.</w:t>
      </w:r>
    </w:p>
    <w:p w14:paraId="3FF63799" w14:textId="14698156" w:rsidR="00E07C1A" w:rsidRPr="00B83384" w:rsidRDefault="00B11232" w:rsidP="00B11232">
      <w:pPr>
        <w:pStyle w:val="Default"/>
        <w:spacing w:after="60"/>
        <w:jc w:val="both"/>
      </w:pPr>
      <w:r>
        <w:t xml:space="preserve">6. Quality of cooperation – the division of roles and responsibilities among partners, </w:t>
      </w:r>
      <w:r>
        <w:rPr>
          <w:color w:val="auto"/>
        </w:rPr>
        <w:t>contribution to achieving the project’s objectives and ensuring the sustainability of the project’s results.</w:t>
      </w:r>
    </w:p>
    <w:p w14:paraId="13179162" w14:textId="77777777" w:rsidR="00913C12" w:rsidRPr="00B83384" w:rsidRDefault="00913C12" w:rsidP="005317A1">
      <w:pPr>
        <w:jc w:val="both"/>
        <w:rPr>
          <w:rFonts w:ascii="Times New Roman" w:hAnsi="Times New Roman" w:cs="Times New Roman"/>
          <w:sz w:val="24"/>
          <w:szCs w:val="24"/>
        </w:rPr>
      </w:pPr>
    </w:p>
    <w:p w14:paraId="6F7AF804" w14:textId="22EF7D07" w:rsidR="005317A1" w:rsidRPr="00B83384" w:rsidRDefault="005317A1" w:rsidP="005317A1">
      <w:pPr>
        <w:jc w:val="both"/>
        <w:rPr>
          <w:rFonts w:ascii="Times New Roman" w:hAnsi="Times New Roman" w:cs="Times New Roman"/>
          <w:b/>
          <w:sz w:val="24"/>
          <w:szCs w:val="24"/>
        </w:rPr>
      </w:pPr>
      <w:r>
        <w:rPr>
          <w:rFonts w:ascii="Times New Roman" w:hAnsi="Times New Roman"/>
          <w:b/>
          <w:sz w:val="24"/>
        </w:rPr>
        <w:t xml:space="preserve">Expert rating*: </w:t>
      </w:r>
    </w:p>
    <w:tbl>
      <w:tblPr>
        <w:tblStyle w:val="Reatabula"/>
        <w:tblW w:w="0" w:type="auto"/>
        <w:tblLook w:val="04A0" w:firstRow="1" w:lastRow="0" w:firstColumn="1" w:lastColumn="0" w:noHBand="0" w:noVBand="1"/>
      </w:tblPr>
      <w:tblGrid>
        <w:gridCol w:w="5742"/>
        <w:gridCol w:w="850"/>
      </w:tblGrid>
      <w:tr w:rsidR="005317A1" w:rsidRPr="00B83384" w14:paraId="5B7975AE" w14:textId="77777777" w:rsidTr="003176DA">
        <w:tc>
          <w:tcPr>
            <w:tcW w:w="5742" w:type="dxa"/>
          </w:tcPr>
          <w:p w14:paraId="5B899781" w14:textId="77777777" w:rsidR="005317A1" w:rsidRPr="00B83384" w:rsidRDefault="005317A1" w:rsidP="003176DA">
            <w:pPr>
              <w:jc w:val="both"/>
              <w:rPr>
                <w:rFonts w:ascii="Times New Roman" w:hAnsi="Times New Roman" w:cs="Times New Roman"/>
                <w:sz w:val="24"/>
                <w:szCs w:val="24"/>
              </w:rPr>
            </w:pPr>
            <w:r>
              <w:rPr>
                <w:rFonts w:ascii="Times New Roman" w:hAnsi="Times New Roman"/>
                <w:sz w:val="24"/>
              </w:rPr>
              <w:t>Compliant with what is planned</w:t>
            </w:r>
          </w:p>
        </w:tc>
        <w:tc>
          <w:tcPr>
            <w:tcW w:w="850" w:type="dxa"/>
          </w:tcPr>
          <w:p w14:paraId="488618FD" w14:textId="77777777" w:rsidR="005317A1" w:rsidRPr="00B83384" w:rsidRDefault="005317A1" w:rsidP="003176DA">
            <w:pPr>
              <w:jc w:val="both"/>
              <w:rPr>
                <w:rFonts w:ascii="Times New Roman" w:hAnsi="Times New Roman" w:cs="Times New Roman"/>
                <w:sz w:val="24"/>
                <w:szCs w:val="24"/>
              </w:rPr>
            </w:pPr>
          </w:p>
        </w:tc>
      </w:tr>
      <w:tr w:rsidR="005317A1" w:rsidRPr="00B83384" w14:paraId="7C5545EC" w14:textId="77777777" w:rsidTr="003176DA">
        <w:tc>
          <w:tcPr>
            <w:tcW w:w="5742" w:type="dxa"/>
          </w:tcPr>
          <w:p w14:paraId="5DA470E5" w14:textId="77777777" w:rsidR="005317A1" w:rsidRPr="00B83384" w:rsidRDefault="005317A1" w:rsidP="003176DA">
            <w:pPr>
              <w:jc w:val="both"/>
              <w:rPr>
                <w:rFonts w:ascii="Times New Roman" w:hAnsi="Times New Roman" w:cs="Times New Roman"/>
                <w:sz w:val="24"/>
                <w:szCs w:val="24"/>
              </w:rPr>
            </w:pPr>
            <w:r>
              <w:rPr>
                <w:rFonts w:ascii="Times New Roman" w:hAnsi="Times New Roman"/>
                <w:sz w:val="24"/>
              </w:rPr>
              <w:t>Compliant with suggestions for improving the course of research</w:t>
            </w:r>
          </w:p>
        </w:tc>
        <w:tc>
          <w:tcPr>
            <w:tcW w:w="850" w:type="dxa"/>
          </w:tcPr>
          <w:p w14:paraId="088BF57C" w14:textId="77777777" w:rsidR="005317A1" w:rsidRPr="00B83384" w:rsidRDefault="005317A1" w:rsidP="003176DA">
            <w:pPr>
              <w:jc w:val="both"/>
              <w:rPr>
                <w:rFonts w:ascii="Times New Roman" w:hAnsi="Times New Roman" w:cs="Times New Roman"/>
                <w:sz w:val="24"/>
                <w:szCs w:val="24"/>
              </w:rPr>
            </w:pPr>
          </w:p>
        </w:tc>
      </w:tr>
      <w:tr w:rsidR="005317A1" w:rsidRPr="00B83384" w14:paraId="2871114D" w14:textId="77777777" w:rsidTr="003176DA">
        <w:tc>
          <w:tcPr>
            <w:tcW w:w="5742" w:type="dxa"/>
          </w:tcPr>
          <w:p w14:paraId="6E68718F" w14:textId="77777777" w:rsidR="005317A1" w:rsidRPr="00B83384" w:rsidRDefault="005317A1" w:rsidP="003176DA">
            <w:pPr>
              <w:jc w:val="both"/>
              <w:rPr>
                <w:rFonts w:ascii="Times New Roman" w:hAnsi="Times New Roman" w:cs="Times New Roman"/>
                <w:sz w:val="24"/>
                <w:szCs w:val="24"/>
              </w:rPr>
            </w:pPr>
            <w:r>
              <w:rPr>
                <w:rFonts w:ascii="Times New Roman" w:hAnsi="Times New Roman"/>
                <w:sz w:val="24"/>
              </w:rPr>
              <w:t>Non-compliant</w:t>
            </w:r>
          </w:p>
        </w:tc>
        <w:tc>
          <w:tcPr>
            <w:tcW w:w="850" w:type="dxa"/>
          </w:tcPr>
          <w:p w14:paraId="37D95A7C" w14:textId="77777777" w:rsidR="005317A1" w:rsidRPr="00B83384" w:rsidRDefault="005317A1" w:rsidP="003176DA">
            <w:pPr>
              <w:jc w:val="both"/>
              <w:rPr>
                <w:rFonts w:ascii="Times New Roman" w:hAnsi="Times New Roman" w:cs="Times New Roman"/>
                <w:sz w:val="24"/>
                <w:szCs w:val="24"/>
              </w:rPr>
            </w:pPr>
          </w:p>
        </w:tc>
      </w:tr>
    </w:tbl>
    <w:p w14:paraId="14B1910A" w14:textId="77777777" w:rsidR="005317A1" w:rsidRPr="00B83384" w:rsidRDefault="005317A1" w:rsidP="005317A1">
      <w:pPr>
        <w:spacing w:after="0" w:line="240" w:lineRule="auto"/>
        <w:jc w:val="both"/>
        <w:rPr>
          <w:rFonts w:ascii="FreeSansBold" w:cs="FreeSansBold"/>
          <w:bCs/>
          <w:lang w:bidi="he-IL"/>
        </w:rPr>
      </w:pPr>
    </w:p>
    <w:tbl>
      <w:tblPr>
        <w:tblStyle w:val="Reatabula"/>
        <w:tblW w:w="9351" w:type="dxa"/>
        <w:tblLook w:val="04A0" w:firstRow="1" w:lastRow="0" w:firstColumn="1" w:lastColumn="0" w:noHBand="0" w:noVBand="1"/>
      </w:tblPr>
      <w:tblGrid>
        <w:gridCol w:w="2263"/>
        <w:gridCol w:w="7088"/>
      </w:tblGrid>
      <w:tr w:rsidR="005317A1" w:rsidRPr="00B83384" w14:paraId="1C1C8046" w14:textId="77777777" w:rsidTr="003176DA">
        <w:tc>
          <w:tcPr>
            <w:tcW w:w="2263" w:type="dxa"/>
          </w:tcPr>
          <w:p w14:paraId="7B15ECD8" w14:textId="77777777" w:rsidR="005317A1" w:rsidRPr="00B83384" w:rsidRDefault="005317A1" w:rsidP="003176DA">
            <w:pPr>
              <w:jc w:val="both"/>
              <w:rPr>
                <w:rFonts w:ascii="Times New Roman" w:hAnsi="Times New Roman" w:cs="Times New Roman"/>
                <w:sz w:val="24"/>
                <w:szCs w:val="24"/>
              </w:rPr>
            </w:pPr>
            <w:r>
              <w:rPr>
                <w:rFonts w:ascii="Times New Roman" w:hAnsi="Times New Roman"/>
                <w:sz w:val="24"/>
              </w:rPr>
              <w:t>Recommendations for project implementation (to be completed if the rating "</w:t>
            </w:r>
            <w:r>
              <w:rPr>
                <w:rFonts w:ascii="Times New Roman" w:hAnsi="Times New Roman"/>
                <w:i/>
                <w:iCs/>
                <w:sz w:val="24"/>
              </w:rPr>
              <w:t>Compliant with suggestions for improving the course of research" or "Non-compliant" is selected</w:t>
            </w:r>
            <w:r>
              <w:rPr>
                <w:rFonts w:ascii="Times New Roman" w:hAnsi="Times New Roman"/>
                <w:sz w:val="24"/>
              </w:rPr>
              <w:t>)</w:t>
            </w:r>
          </w:p>
        </w:tc>
        <w:tc>
          <w:tcPr>
            <w:tcW w:w="7088" w:type="dxa"/>
          </w:tcPr>
          <w:p w14:paraId="132C0DDD" w14:textId="77777777" w:rsidR="005317A1" w:rsidRPr="00B83384" w:rsidRDefault="005317A1" w:rsidP="003176DA">
            <w:pPr>
              <w:jc w:val="both"/>
              <w:rPr>
                <w:rFonts w:ascii="Times New Roman" w:hAnsi="Times New Roman" w:cs="Times New Roman"/>
                <w:sz w:val="24"/>
                <w:szCs w:val="24"/>
              </w:rPr>
            </w:pPr>
          </w:p>
        </w:tc>
      </w:tr>
    </w:tbl>
    <w:p w14:paraId="0710AF3B" w14:textId="77777777" w:rsidR="000D7A63" w:rsidRPr="00B83384" w:rsidRDefault="000D7A63" w:rsidP="001553D9">
      <w:pPr>
        <w:rPr>
          <w:rFonts w:ascii="Times New Roman" w:hAnsi="Times New Roman" w:cs="Times New Roman"/>
          <w:sz w:val="24"/>
          <w:szCs w:val="24"/>
        </w:rPr>
      </w:pPr>
    </w:p>
    <w:p w14:paraId="5315830B" w14:textId="7A126E71" w:rsidR="00EE21A1" w:rsidRPr="00B83384" w:rsidRDefault="00690ED7" w:rsidP="00B17AA9">
      <w:pPr>
        <w:jc w:val="both"/>
        <w:rPr>
          <w:rFonts w:ascii="Times New Roman" w:hAnsi="Times New Roman" w:cs="Times New Roman"/>
          <w:sz w:val="24"/>
          <w:szCs w:val="24"/>
        </w:rPr>
      </w:pPr>
      <w:r>
        <w:rPr>
          <w:rFonts w:ascii="Times New Roman" w:hAnsi="Times New Roman"/>
          <w:sz w:val="24"/>
        </w:rPr>
        <w:t xml:space="preserve">In the evaluation form, the expert provides their rating for each section (Scientific Excellence, Impact, Quality and Efficiency of Project Implementation) by marking the </w:t>
      </w:r>
      <w:r>
        <w:rPr>
          <w:rFonts w:ascii="Times New Roman" w:hAnsi="Times New Roman"/>
          <w:sz w:val="24"/>
        </w:rPr>
        <w:lastRenderedPageBreak/>
        <w:t xml:space="preserve">table with </w:t>
      </w:r>
      <w:r>
        <w:rPr>
          <w:rFonts w:ascii="Times New Roman" w:hAnsi="Times New Roman"/>
          <w:i/>
          <w:sz w:val="24"/>
        </w:rPr>
        <w:t>Compliant/Compliant with suggestions for improving the course of research/</w:t>
      </w:r>
      <w:proofErr w:type="gramStart"/>
      <w:r>
        <w:rPr>
          <w:rFonts w:ascii="Times New Roman" w:hAnsi="Times New Roman"/>
          <w:i/>
          <w:sz w:val="24"/>
        </w:rPr>
        <w:t>Non-compliant</w:t>
      </w:r>
      <w:proofErr w:type="gramEnd"/>
      <w:r>
        <w:rPr>
          <w:rFonts w:ascii="Times New Roman" w:hAnsi="Times New Roman"/>
          <w:sz w:val="24"/>
        </w:rPr>
        <w:t xml:space="preserve">. </w:t>
      </w:r>
    </w:p>
    <w:p w14:paraId="10615734" w14:textId="77777777" w:rsidR="007D1D00" w:rsidRPr="00B83384" w:rsidRDefault="007D1D00" w:rsidP="00B17AA9">
      <w:pPr>
        <w:jc w:val="both"/>
        <w:rPr>
          <w:rFonts w:ascii="Times New Roman" w:hAnsi="Times New Roman" w:cs="Times New Roman"/>
          <w:sz w:val="24"/>
          <w:szCs w:val="24"/>
        </w:rPr>
      </w:pPr>
      <w:r>
        <w:rPr>
          <w:rFonts w:ascii="Times New Roman" w:hAnsi="Times New Roman"/>
          <w:sz w:val="24"/>
        </w:rPr>
        <w:t xml:space="preserve">Submission of the consolidated EC expert opinion – the EC experts involved in the mid-term scientific quality evaluation shall agree on a consolidated opinion. </w:t>
      </w:r>
    </w:p>
    <w:p w14:paraId="261F216F" w14:textId="24775967" w:rsidR="000D7A63" w:rsidRPr="00465E58" w:rsidRDefault="0058677D" w:rsidP="00B17AA9">
      <w:pPr>
        <w:jc w:val="both"/>
        <w:rPr>
          <w:rFonts w:ascii="Times New Roman" w:hAnsi="Times New Roman" w:cs="Times New Roman"/>
          <w:sz w:val="24"/>
          <w:szCs w:val="24"/>
        </w:rPr>
      </w:pPr>
      <w:r>
        <w:rPr>
          <w:rFonts w:ascii="Times New Roman" w:hAnsi="Times New Roman"/>
          <w:sz w:val="24"/>
        </w:rPr>
        <w:t xml:space="preserve">In the case of the rating </w:t>
      </w:r>
      <w:r>
        <w:rPr>
          <w:rFonts w:ascii="Times New Roman" w:hAnsi="Times New Roman"/>
          <w:i/>
          <w:iCs/>
          <w:sz w:val="24"/>
        </w:rPr>
        <w:t>Compliant with suggestions for improving the course of research</w:t>
      </w:r>
      <w:r>
        <w:rPr>
          <w:rFonts w:ascii="Times New Roman" w:hAnsi="Times New Roman"/>
          <w:i/>
          <w:sz w:val="24"/>
        </w:rPr>
        <w:t>/Non-compliant</w:t>
      </w:r>
      <w:r>
        <w:rPr>
          <w:rFonts w:ascii="Times New Roman" w:hAnsi="Times New Roman"/>
          <w:sz w:val="24"/>
        </w:rPr>
        <w:t xml:space="preserve">, indicate whether the project’s progress aligns with the plan, provide guidance/recommendations for project implementation, and, if necessary, provide suggestions for adjusting the work plan, also indicating the degree to which project results have been achieved (assessed as a percentage of the originally planned project progress at the time of the mid-term evaluation) and, if applicable, potential risks. This section will be sent to the beneficiary of the funding, and compliance with the recommendations will be </w:t>
      </w:r>
      <w:proofErr w:type="gramStart"/>
      <w:r>
        <w:rPr>
          <w:rFonts w:ascii="Times New Roman" w:hAnsi="Times New Roman"/>
          <w:sz w:val="24"/>
        </w:rPr>
        <w:t>taken into account</w:t>
      </w:r>
      <w:proofErr w:type="gramEnd"/>
      <w:r>
        <w:rPr>
          <w:rFonts w:ascii="Times New Roman" w:hAnsi="Times New Roman"/>
          <w:sz w:val="24"/>
        </w:rPr>
        <w:t xml:space="preserve"> in the final scientific quality evaluation. </w:t>
      </w:r>
    </w:p>
    <w:p w14:paraId="5538FC7A" w14:textId="77777777" w:rsidR="0007148E" w:rsidRPr="00465E58" w:rsidRDefault="0007148E" w:rsidP="0007148E">
      <w:pPr>
        <w:jc w:val="both"/>
        <w:rPr>
          <w:rFonts w:ascii="Times New Roman" w:hAnsi="Times New Roman" w:cs="Times New Roman"/>
          <w:sz w:val="24"/>
          <w:szCs w:val="24"/>
        </w:rPr>
      </w:pPr>
      <w:r>
        <w:rPr>
          <w:rFonts w:ascii="Times New Roman" w:hAnsi="Times New Roman"/>
          <w:sz w:val="24"/>
        </w:rPr>
        <w:t xml:space="preserve">Based on the assigned rating: </w:t>
      </w:r>
    </w:p>
    <w:p w14:paraId="43CA9EDA" w14:textId="56DBEB75" w:rsidR="0007148E" w:rsidRPr="00465E58" w:rsidRDefault="0007148E" w:rsidP="0007148E">
      <w:pPr>
        <w:pStyle w:val="Sarakstarindkopa"/>
        <w:numPr>
          <w:ilvl w:val="0"/>
          <w:numId w:val="24"/>
        </w:numPr>
        <w:spacing w:line="278" w:lineRule="auto"/>
        <w:contextualSpacing/>
        <w:jc w:val="both"/>
      </w:pPr>
      <w:r>
        <w:t xml:space="preserve">In the case of "Compliant with what is planned" – the project implementation continues as planned without any additional </w:t>
      </w:r>
      <w:proofErr w:type="gramStart"/>
      <w:r>
        <w:t>conditions;</w:t>
      </w:r>
      <w:proofErr w:type="gramEnd"/>
    </w:p>
    <w:p w14:paraId="6C24636E" w14:textId="307BFB20" w:rsidR="0007148E" w:rsidRPr="00465E58" w:rsidRDefault="0007148E" w:rsidP="0007148E">
      <w:pPr>
        <w:pStyle w:val="Sarakstarindkopa"/>
        <w:numPr>
          <w:ilvl w:val="0"/>
          <w:numId w:val="24"/>
        </w:numPr>
        <w:spacing w:line="278" w:lineRule="auto"/>
        <w:contextualSpacing/>
        <w:jc w:val="both"/>
      </w:pPr>
      <w:r>
        <w:t xml:space="preserve">In the case of "Compliant with suggestions for improving the course of research" – the grant beneficiary is required to coordinate any amendments to the project work plan with the Central Finance and Contracting </w:t>
      </w:r>
      <w:proofErr w:type="gramStart"/>
      <w:r>
        <w:t>Agency;</w:t>
      </w:r>
      <w:proofErr w:type="gramEnd"/>
    </w:p>
    <w:p w14:paraId="57884269" w14:textId="75A74A8A" w:rsidR="0007148E" w:rsidRPr="00465E58" w:rsidRDefault="0007148E" w:rsidP="0007148E">
      <w:pPr>
        <w:pStyle w:val="Sarakstarindkopa"/>
        <w:numPr>
          <w:ilvl w:val="0"/>
          <w:numId w:val="24"/>
        </w:numPr>
        <w:spacing w:line="278" w:lineRule="auto"/>
        <w:contextualSpacing/>
        <w:jc w:val="both"/>
      </w:pPr>
      <w:r>
        <w:t xml:space="preserve">In the case of "Non-compliant" – the Central Finance and Contracting Agency </w:t>
      </w:r>
      <w:proofErr w:type="gramStart"/>
      <w:r>
        <w:t>convenes</w:t>
      </w:r>
      <w:proofErr w:type="gramEnd"/>
      <w:r>
        <w:t xml:space="preserve"> an inter-agency meeting to decide whether to amend the project work plan or to terminate the project implementation agreement.</w:t>
      </w:r>
    </w:p>
    <w:p w14:paraId="5A1C7EAD" w14:textId="77777777" w:rsidR="008A0061" w:rsidRPr="00465E58" w:rsidRDefault="008A0061" w:rsidP="001553D9">
      <w:pPr>
        <w:pStyle w:val="Sarakstarindkopa"/>
        <w:ind w:left="0"/>
      </w:pPr>
    </w:p>
    <w:sectPr w:rsidR="008A0061" w:rsidRPr="00465E58">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74C05" w14:textId="77777777" w:rsidR="00517B84" w:rsidRDefault="00517B84" w:rsidP="00890272">
      <w:pPr>
        <w:spacing w:after="0" w:line="240" w:lineRule="auto"/>
      </w:pPr>
      <w:r>
        <w:separator/>
      </w:r>
    </w:p>
  </w:endnote>
  <w:endnote w:type="continuationSeparator" w:id="0">
    <w:p w14:paraId="08753139" w14:textId="77777777" w:rsidR="00517B84" w:rsidRDefault="00517B84" w:rsidP="00890272">
      <w:pPr>
        <w:spacing w:after="0" w:line="240" w:lineRule="auto"/>
      </w:pPr>
      <w:r>
        <w:continuationSeparator/>
      </w:r>
    </w:p>
  </w:endnote>
  <w:endnote w:type="continuationNotice" w:id="1">
    <w:p w14:paraId="50F65E55" w14:textId="77777777" w:rsidR="00517B84" w:rsidRDefault="00517B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Bold">
    <w:altName w:val="Times New Roman"/>
    <w:panose1 w:val="00000000000000000000"/>
    <w:charset w:val="B1"/>
    <w:family w:val="auto"/>
    <w:notTrueType/>
    <w:pitch w:val="default"/>
    <w:sig w:usb0="00000801"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877E2" w14:textId="77777777" w:rsidR="00517B84" w:rsidRDefault="00517B84" w:rsidP="00890272">
      <w:pPr>
        <w:spacing w:after="0" w:line="240" w:lineRule="auto"/>
      </w:pPr>
      <w:r>
        <w:separator/>
      </w:r>
    </w:p>
  </w:footnote>
  <w:footnote w:type="continuationSeparator" w:id="0">
    <w:p w14:paraId="5B85DB4A" w14:textId="77777777" w:rsidR="00517B84" w:rsidRDefault="00517B84" w:rsidP="00890272">
      <w:pPr>
        <w:spacing w:after="0" w:line="240" w:lineRule="auto"/>
      </w:pPr>
      <w:r>
        <w:continuationSeparator/>
      </w:r>
    </w:p>
  </w:footnote>
  <w:footnote w:type="continuationNotice" w:id="1">
    <w:p w14:paraId="1858FECF" w14:textId="77777777" w:rsidR="00517B84" w:rsidRDefault="00517B84">
      <w:pPr>
        <w:spacing w:after="0" w:line="240" w:lineRule="auto"/>
      </w:pPr>
    </w:p>
  </w:footnote>
  <w:footnote w:id="2">
    <w:p w14:paraId="52A8FF85" w14:textId="029C415E" w:rsidR="008653A0" w:rsidRPr="00B83384" w:rsidRDefault="008653A0" w:rsidP="008653A0">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w:t>
      </w:r>
      <w:r>
        <w:rPr>
          <w:rFonts w:ascii="Times New Roman" w:hAnsi="Times New Roman"/>
          <w:sz w:val="18"/>
        </w:rPr>
        <w:t>with companies representing each of the four eligible regions and operating in the peat industry, a cooperation agreement has been concluded, under which these companies collaborate with the scientific institutions involved in the implementation of the activity to define the topics and needs of research project proposals and to engage in other effective cooperation activities during the project implementation period.</w:t>
      </w:r>
    </w:p>
  </w:footnote>
  <w:footnote w:id="3">
    <w:p w14:paraId="385F6B28" w14:textId="77777777" w:rsidR="008653A0" w:rsidRPr="00B83384" w:rsidRDefault="008653A0" w:rsidP="008653A0">
      <w:pPr>
        <w:pStyle w:val="Vresteksts"/>
        <w:jc w:val="both"/>
        <w:rPr>
          <w:rFonts w:ascii="Times New Roman" w:eastAsia="Times New Roman" w:hAnsi="Times New Roman" w:cs="Times New Roman"/>
          <w:sz w:val="18"/>
          <w:szCs w:val="18"/>
        </w:rPr>
      </w:pPr>
      <w:r>
        <w:rPr>
          <w:rStyle w:val="Vresatsauce"/>
          <w:rFonts w:ascii="Times New Roman" w:hAnsi="Times New Roman" w:cs="Times New Roman"/>
        </w:rPr>
        <w:footnoteRef/>
      </w:r>
      <w:r>
        <w:rPr>
          <w:rFonts w:ascii="Times New Roman" w:hAnsi="Times New Roman"/>
        </w:rPr>
        <w:t xml:space="preserve"> </w:t>
      </w:r>
      <w:r>
        <w:rPr>
          <w:rFonts w:ascii="Times New Roman" w:hAnsi="Times New Roman"/>
          <w:sz w:val="18"/>
        </w:rPr>
        <w:t xml:space="preserve">The scientific articles have been written and published or accepted for publication in journals or conference proceedings included in the Web of Science, SCOPUS, or ERIH (A or B) databases, and at least five of them have been published or accepted for publication in </w:t>
      </w:r>
      <w:proofErr w:type="gramStart"/>
      <w:r>
        <w:rPr>
          <w:rFonts w:ascii="Times New Roman" w:hAnsi="Times New Roman"/>
          <w:sz w:val="18"/>
        </w:rPr>
        <w:t>first-quartile</w:t>
      </w:r>
      <w:proofErr w:type="gramEnd"/>
      <w:r>
        <w:rPr>
          <w:rFonts w:ascii="Times New Roman" w:hAnsi="Times New Roman"/>
          <w:sz w:val="18"/>
        </w:rPr>
        <w:t xml:space="preserve"> (Q1) journals included in these databases.</w:t>
      </w:r>
    </w:p>
  </w:footnote>
  <w:footnote w:id="4">
    <w:p w14:paraId="3F9EAF34" w14:textId="77777777" w:rsidR="008653A0" w:rsidRPr="00B83384" w:rsidRDefault="008653A0" w:rsidP="008653A0">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w:t>
      </w:r>
      <w:r>
        <w:rPr>
          <w:rFonts w:ascii="Times New Roman" w:hAnsi="Times New Roman"/>
          <w:sz w:val="18"/>
        </w:rPr>
        <w:t xml:space="preserve">Research proposals have been prepared and submitted to international research and development project grants (such as Horizon Europe, Horizon Europe Partnerships, the European Commission’s LIFE program, the </w:t>
      </w:r>
      <w:proofErr w:type="spellStart"/>
      <w:r>
        <w:rPr>
          <w:rFonts w:ascii="Times New Roman" w:hAnsi="Times New Roman"/>
          <w:sz w:val="18"/>
        </w:rPr>
        <w:t>Nordforsk</w:t>
      </w:r>
      <w:proofErr w:type="spellEnd"/>
      <w:r>
        <w:rPr>
          <w:rFonts w:ascii="Times New Roman" w:hAnsi="Times New Roman"/>
          <w:sz w:val="18"/>
        </w:rPr>
        <w:t xml:space="preserve"> program, and others) and have been evaluated as meeting or exceeding the quality threshold.</w:t>
      </w:r>
    </w:p>
  </w:footnote>
  <w:footnote w:id="5">
    <w:p w14:paraId="168E3420" w14:textId="7CE46D8E" w:rsidR="00B83384" w:rsidRDefault="00B83384" w:rsidP="00DA2529">
      <w:pPr>
        <w:pStyle w:val="Vresteksts"/>
        <w:jc w:val="both"/>
      </w:pPr>
      <w:r>
        <w:rPr>
          <w:rStyle w:val="Vresatsauce"/>
        </w:rPr>
        <w:footnoteRef/>
      </w:r>
      <w:r>
        <w:t xml:space="preserve"> </w:t>
      </w:r>
      <w:r>
        <w:rPr>
          <w:rFonts w:ascii="Times New Roman" w:hAnsi="Times New Roman"/>
          <w:color w:val="000000"/>
          <w:sz w:val="18"/>
        </w:rPr>
        <w:t xml:space="preserve">Cabinet Regulation of 26 November 2024 </w:t>
      </w:r>
      <w:hyperlink r:id="rId1" w:history="1">
        <w:r>
          <w:rPr>
            <w:rStyle w:val="Hipersaite"/>
            <w:rFonts w:ascii="Times New Roman" w:hAnsi="Times New Roman"/>
            <w:sz w:val="18"/>
          </w:rPr>
          <w:t>No. 746</w:t>
        </w:r>
      </w:hyperlink>
      <w:r>
        <w:rPr>
          <w:rFonts w:ascii="Times New Roman" w:hAnsi="Times New Roman"/>
          <w:color w:val="000000"/>
          <w:sz w:val="18"/>
        </w:rPr>
        <w:t xml:space="preserve"> "Regulations Regarding the Implementation of Activity 6.1.1.2 "Development of research for the sustainable use of natural resources in the context of environmental and climate objectives" of Specific Support Objective 6.1.1 "Mitigating the economic, social and environmental impacts of the transition to climate neutrality in the most affected regions" of the European Union Cohesion Policy </w:t>
      </w:r>
      <w:proofErr w:type="spellStart"/>
      <w:r>
        <w:rPr>
          <w:rFonts w:ascii="Times New Roman" w:hAnsi="Times New Roman"/>
          <w:color w:val="000000"/>
          <w:sz w:val="18"/>
        </w:rPr>
        <w:t>Programme</w:t>
      </w:r>
      <w:proofErr w:type="spellEnd"/>
      <w:r>
        <w:rPr>
          <w:rFonts w:ascii="Times New Roman" w:hAnsi="Times New Roman"/>
          <w:color w:val="000000"/>
          <w:sz w:val="18"/>
        </w:rPr>
        <w:t xml:space="preserve"> 2021–2027" (hereinafter – Cab. Reg. No.746).</w:t>
      </w:r>
    </w:p>
  </w:footnote>
  <w:footnote w:id="6">
    <w:p w14:paraId="4275C03B" w14:textId="77777777" w:rsidR="00836C2C" w:rsidRPr="006C1AED" w:rsidRDefault="00B83384" w:rsidP="00836C2C">
      <w:pPr>
        <w:pStyle w:val="tv2132"/>
        <w:spacing w:line="240" w:lineRule="auto"/>
        <w:ind w:firstLine="0"/>
        <w:jc w:val="both"/>
        <w:rPr>
          <w:color w:val="auto"/>
          <w:sz w:val="18"/>
          <w:szCs w:val="18"/>
        </w:rPr>
      </w:pPr>
      <w:r>
        <w:rPr>
          <w:rStyle w:val="Vresatsauce"/>
        </w:rPr>
        <w:footnoteRef/>
      </w:r>
      <w:r>
        <w:t xml:space="preserve"> </w:t>
      </w:r>
      <w:r w:rsidR="00836C2C" w:rsidRPr="006C1AED">
        <w:rPr>
          <w:color w:val="auto"/>
          <w:sz w:val="18"/>
        </w:rPr>
        <w:t>A new product refers to goods or services that are entirely new or that have improved functional characteristics or a changed intended use (including changes or improvements to technical parameters, components, materials, bundled software, and user-friendly features). The following are not considered new products:</w:t>
      </w:r>
    </w:p>
    <w:p w14:paraId="3A5C6B81" w14:textId="77777777" w:rsidR="00836C2C" w:rsidRPr="006C1AED" w:rsidRDefault="00836C2C" w:rsidP="00836C2C">
      <w:pPr>
        <w:pStyle w:val="tv2132"/>
        <w:spacing w:line="240" w:lineRule="auto"/>
        <w:ind w:firstLine="720"/>
        <w:jc w:val="both"/>
        <w:rPr>
          <w:color w:val="auto"/>
          <w:sz w:val="18"/>
          <w:szCs w:val="18"/>
        </w:rPr>
      </w:pPr>
      <w:r w:rsidRPr="006C1AED">
        <w:rPr>
          <w:color w:val="auto"/>
          <w:sz w:val="18"/>
        </w:rPr>
        <w:t>1. The suspension of use of a particular part of the process.</w:t>
      </w:r>
    </w:p>
    <w:p w14:paraId="06950610" w14:textId="77777777" w:rsidR="00836C2C" w:rsidRPr="006C1AED" w:rsidRDefault="00836C2C" w:rsidP="00836C2C">
      <w:pPr>
        <w:pStyle w:val="tv2132"/>
        <w:spacing w:line="240" w:lineRule="auto"/>
        <w:ind w:firstLine="720"/>
        <w:jc w:val="both"/>
        <w:rPr>
          <w:color w:val="auto"/>
          <w:sz w:val="18"/>
          <w:szCs w:val="18"/>
        </w:rPr>
      </w:pPr>
      <w:r w:rsidRPr="006C1AED">
        <w:rPr>
          <w:color w:val="auto"/>
          <w:sz w:val="18"/>
        </w:rPr>
        <w:t>2. Replacement or significant expansion of capital assets (purchase of modules identical to those currently in use, minor expansions, and hardware and software updates). New equipment or expansions must include significant improvements in specifications.</w:t>
      </w:r>
    </w:p>
    <w:p w14:paraId="1E165142" w14:textId="77777777" w:rsidR="00836C2C" w:rsidRPr="006C1AED" w:rsidRDefault="00836C2C" w:rsidP="00836C2C">
      <w:pPr>
        <w:pStyle w:val="tv2132"/>
        <w:spacing w:line="240" w:lineRule="auto"/>
        <w:ind w:firstLine="720"/>
        <w:rPr>
          <w:color w:val="auto"/>
          <w:sz w:val="18"/>
          <w:szCs w:val="18"/>
        </w:rPr>
      </w:pPr>
      <w:r w:rsidRPr="006C1AED">
        <w:rPr>
          <w:color w:val="auto"/>
          <w:sz w:val="18"/>
        </w:rPr>
        <w:t>3. Changes resulting from fluctuations in the prices of components (changes in product prices or production process productivity do not constitute product innovation; for example, in computer manufacturing, a decrease in the price of microchips leads to a decrease in the selling price of the same computer model).</w:t>
      </w:r>
    </w:p>
    <w:p w14:paraId="5938025A" w14:textId="77777777" w:rsidR="00836C2C" w:rsidRPr="006C1AED" w:rsidRDefault="00836C2C" w:rsidP="00836C2C">
      <w:pPr>
        <w:pStyle w:val="tv2132"/>
        <w:spacing w:line="240" w:lineRule="auto"/>
        <w:ind w:firstLine="720"/>
        <w:jc w:val="both"/>
        <w:rPr>
          <w:color w:val="auto"/>
          <w:sz w:val="18"/>
          <w:szCs w:val="18"/>
        </w:rPr>
      </w:pPr>
      <w:r w:rsidRPr="006C1AED">
        <w:rPr>
          <w:color w:val="auto"/>
          <w:sz w:val="18"/>
        </w:rPr>
        <w:t>4. Product adaptations to specific needs (for example, adapting a product to a customer’s needs without altering the functional or technical characteristics of the new product in a way that would make it more competitive than existing products).</w:t>
      </w:r>
    </w:p>
    <w:p w14:paraId="54BF2B6F" w14:textId="77777777" w:rsidR="00836C2C" w:rsidRPr="006C1AED" w:rsidRDefault="00836C2C" w:rsidP="00836C2C">
      <w:pPr>
        <w:pStyle w:val="tv2132"/>
        <w:spacing w:line="240" w:lineRule="auto"/>
        <w:ind w:firstLine="720"/>
        <w:jc w:val="both"/>
        <w:rPr>
          <w:color w:val="auto"/>
          <w:sz w:val="18"/>
          <w:szCs w:val="18"/>
        </w:rPr>
      </w:pPr>
      <w:r w:rsidRPr="006C1AED">
        <w:rPr>
          <w:color w:val="auto"/>
          <w:sz w:val="18"/>
        </w:rPr>
        <w:t>5. Daily, seasonal, and cyclical changes and improvements (for example, in the clothing industry, a new seasonal collection is not considered an innovation).</w:t>
      </w:r>
    </w:p>
    <w:p w14:paraId="44F21B03" w14:textId="77777777" w:rsidR="00836C2C" w:rsidRPr="006C1AED" w:rsidRDefault="00836C2C" w:rsidP="00836C2C">
      <w:pPr>
        <w:pStyle w:val="tv2132"/>
        <w:spacing w:line="240" w:lineRule="auto"/>
        <w:ind w:firstLine="720"/>
        <w:jc w:val="both"/>
        <w:rPr>
          <w:color w:val="auto"/>
          <w:sz w:val="18"/>
          <w:szCs w:val="18"/>
        </w:rPr>
      </w:pPr>
      <w:r w:rsidRPr="006C1AED">
        <w:rPr>
          <w:color w:val="auto"/>
          <w:sz w:val="18"/>
        </w:rPr>
        <w:t>6. Design changes (including taste and smell) that do not alter the product’s functions, intended use, or technical characteristics.</w:t>
      </w:r>
    </w:p>
    <w:p w14:paraId="17032C31" w14:textId="77777777" w:rsidR="00836C2C" w:rsidRPr="006C1AED" w:rsidRDefault="00836C2C" w:rsidP="00836C2C">
      <w:pPr>
        <w:pStyle w:val="tv2132"/>
        <w:spacing w:line="240" w:lineRule="auto"/>
        <w:ind w:firstLine="720"/>
        <w:jc w:val="both"/>
        <w:rPr>
          <w:color w:val="auto"/>
          <w:sz w:val="18"/>
          <w:szCs w:val="18"/>
        </w:rPr>
      </w:pPr>
      <w:r w:rsidRPr="006C1AED">
        <w:rPr>
          <w:color w:val="auto"/>
          <w:sz w:val="18"/>
        </w:rPr>
        <w:t>7. The resale of goods or processes produced by other manufacturers.</w:t>
      </w:r>
    </w:p>
    <w:p w14:paraId="6FC30F11" w14:textId="77777777" w:rsidR="00836C2C" w:rsidRPr="006C1AED" w:rsidRDefault="00836C2C" w:rsidP="00836C2C">
      <w:pPr>
        <w:pStyle w:val="tv2132"/>
        <w:spacing w:line="240" w:lineRule="auto"/>
        <w:ind w:firstLine="720"/>
        <w:jc w:val="both"/>
        <w:rPr>
          <w:color w:val="auto"/>
          <w:sz w:val="18"/>
          <w:szCs w:val="18"/>
        </w:rPr>
      </w:pPr>
      <w:r w:rsidRPr="006C1AED">
        <w:rPr>
          <w:color w:val="auto"/>
          <w:sz w:val="18"/>
        </w:rPr>
        <w:t>8. Improvements to promote marketing (including aesthetic changes).</w:t>
      </w:r>
    </w:p>
    <w:p w14:paraId="7FC66700" w14:textId="223C838B" w:rsidR="00B83384" w:rsidRPr="006C1AED" w:rsidRDefault="00836C2C" w:rsidP="006C1AED">
      <w:pPr>
        <w:spacing w:after="0" w:line="240" w:lineRule="auto"/>
        <w:ind w:firstLine="720"/>
        <w:jc w:val="both"/>
        <w:rPr>
          <w:rFonts w:ascii="Times New Roman" w:hAnsi="Times New Roman" w:cs="Times New Roman"/>
          <w:color w:val="000000"/>
          <w:sz w:val="18"/>
          <w:szCs w:val="18"/>
        </w:rPr>
      </w:pPr>
      <w:r w:rsidRPr="006C1AED">
        <w:rPr>
          <w:sz w:val="18"/>
        </w:rPr>
        <w:t xml:space="preserve">9. Improving </w:t>
      </w:r>
      <w:proofErr w:type="spellStart"/>
      <w:r w:rsidRPr="006C1AED">
        <w:rPr>
          <w:sz w:val="18"/>
        </w:rPr>
        <w:t>organisational</w:t>
      </w:r>
      <w:proofErr w:type="spellEnd"/>
      <w:r w:rsidRPr="006C1AED">
        <w:rPr>
          <w:sz w:val="18"/>
        </w:rPr>
        <w:t xml:space="preserve"> processes in the company’s operations.</w:t>
      </w:r>
    </w:p>
  </w:footnote>
  <w:footnote w:id="7">
    <w:p w14:paraId="3F481CFB" w14:textId="4030D0B5" w:rsidR="000D1704" w:rsidRPr="00713186" w:rsidRDefault="000D1704" w:rsidP="006C1AED">
      <w:pPr>
        <w:pStyle w:val="tv2132"/>
        <w:spacing w:line="240" w:lineRule="auto"/>
        <w:ind w:firstLine="0"/>
        <w:jc w:val="both"/>
      </w:pPr>
      <w:r w:rsidRPr="006C1AED">
        <w:rPr>
          <w:rStyle w:val="Vresatsauce"/>
        </w:rPr>
        <w:footnoteRef/>
      </w:r>
      <w:r w:rsidRPr="006C1AED">
        <w:t xml:space="preserve"> </w:t>
      </w:r>
      <w:r w:rsidR="00713186" w:rsidRPr="006C1AED">
        <w:rPr>
          <w:sz w:val="18"/>
        </w:rPr>
        <w:t xml:space="preserve">A new and innovative technology is a technology that is new and has not yet been proven in comparison to the technical level achieved in the industry, which involves a risk of technological or industrial failure and is not an </w:t>
      </w:r>
      <w:proofErr w:type="spellStart"/>
      <w:r w:rsidR="00713186" w:rsidRPr="006C1AED">
        <w:rPr>
          <w:sz w:val="18"/>
        </w:rPr>
        <w:t>optimisation</w:t>
      </w:r>
      <w:proofErr w:type="spellEnd"/>
      <w:r w:rsidR="00713186" w:rsidRPr="006C1AED">
        <w:rPr>
          <w:sz w:val="18"/>
        </w:rPr>
        <w:t xml:space="preserve"> or improvement of existing technology.</w:t>
      </w:r>
    </w:p>
  </w:footnote>
  <w:footnote w:id="8">
    <w:p w14:paraId="5552A565" w14:textId="0668AA92" w:rsidR="00836C2C" w:rsidRDefault="000D1704">
      <w:pPr>
        <w:pStyle w:val="Vresteksts"/>
      </w:pPr>
      <w:r w:rsidRPr="006C1AED">
        <w:rPr>
          <w:rStyle w:val="Vresatsauce"/>
        </w:rPr>
        <w:footnoteRef/>
      </w:r>
      <w:r w:rsidR="00836C2C" w:rsidRPr="006C1AED">
        <w:rPr>
          <w:rFonts w:ascii="Times New Roman" w:hAnsi="Times New Roman"/>
          <w:color w:val="000000"/>
          <w:sz w:val="18"/>
        </w:rPr>
        <w:t xml:space="preserve">Compliance with the definition of a new product or technology is assessed by taking into account: </w:t>
      </w:r>
      <w:r w:rsidR="00836C2C" w:rsidRPr="006C1AED">
        <w:rPr>
          <w:rFonts w:ascii="Times New Roman" w:hAnsi="Times New Roman"/>
          <w:sz w:val="18"/>
        </w:rPr>
        <w:t xml:space="preserve">a) a comparison of the target market and parameters of existing products or technologies on the market and the prototype developed within the project: functional characteristics, method of use, technical specifications, components, materials, software, and cost; b) the </w:t>
      </w:r>
      <w:proofErr w:type="spellStart"/>
      <w:r w:rsidR="00836C2C" w:rsidRPr="006C1AED">
        <w:rPr>
          <w:rFonts w:ascii="Times New Roman" w:hAnsi="Times New Roman"/>
          <w:sz w:val="18"/>
        </w:rPr>
        <w:t>commercialisation</w:t>
      </w:r>
      <w:proofErr w:type="spellEnd"/>
      <w:r w:rsidR="00836C2C" w:rsidRPr="006C1AED">
        <w:rPr>
          <w:rFonts w:ascii="Times New Roman" w:hAnsi="Times New Roman"/>
          <w:sz w:val="18"/>
        </w:rPr>
        <w:t xml:space="preserve"> potential of the new product/technology prototype developed within the project, </w:t>
      </w:r>
      <w:proofErr w:type="spellStart"/>
      <w:r w:rsidR="00836C2C" w:rsidRPr="006C1AED">
        <w:rPr>
          <w:rFonts w:ascii="Times New Roman" w:hAnsi="Times New Roman"/>
          <w:sz w:val="18"/>
        </w:rPr>
        <w:t>characterised</w:t>
      </w:r>
      <w:proofErr w:type="spellEnd"/>
      <w:r w:rsidR="00836C2C" w:rsidRPr="006C1AED">
        <w:rPr>
          <w:rFonts w:ascii="Times New Roman" w:hAnsi="Times New Roman"/>
          <w:sz w:val="18"/>
        </w:rPr>
        <w:t xml:space="preserve"> by the technology readiness level (TRL) and the degree of innovation.</w:t>
      </w:r>
    </w:p>
  </w:footnote>
  <w:footnote w:id="9">
    <w:p w14:paraId="77A80491" w14:textId="251E0C9B" w:rsidR="001D15E4" w:rsidRDefault="001D15E4" w:rsidP="001D15E4">
      <w:pPr>
        <w:pStyle w:val="Vresteksts"/>
        <w:jc w:val="both"/>
      </w:pPr>
      <w:r>
        <w:rPr>
          <w:rStyle w:val="Vresatsauce"/>
        </w:rPr>
        <w:footnoteRef/>
      </w:r>
      <w:r>
        <w:t xml:space="preserve"> </w:t>
      </w:r>
      <w:r>
        <w:rPr>
          <w:rFonts w:ascii="Times New Roman" w:hAnsi="Times New Roman"/>
          <w:color w:val="414142"/>
          <w:sz w:val="18"/>
          <w:shd w:val="clear" w:color="auto" w:fill="FFFFFF"/>
        </w:rPr>
        <w:t xml:space="preserve">rights that meet the definition set forth in Article 1(1)(b) of Commission Regulation No. 316/2014 - </w:t>
      </w:r>
      <w:r>
        <w:rPr>
          <w:rFonts w:ascii="Times New Roman" w:hAnsi="Times New Roman"/>
          <w:sz w:val="18"/>
        </w:rPr>
        <w:t>patents, utility models, supplementary protection certificates for medicinal products, plant breeders' certificates, software copyrights, know-how.</w:t>
      </w:r>
    </w:p>
  </w:footnote>
  <w:footnote w:id="10">
    <w:p w14:paraId="2CDD245B" w14:textId="2A81A7C3" w:rsidR="00CF73D4" w:rsidRPr="00DA2529" w:rsidRDefault="00CF73D4" w:rsidP="00DA2529">
      <w:pPr>
        <w:spacing w:after="0" w:line="240" w:lineRule="auto"/>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w:t>
      </w:r>
      <w:r>
        <w:rPr>
          <w:rFonts w:ascii="Times New Roman" w:hAnsi="Times New Roman"/>
          <w:sz w:val="18"/>
        </w:rPr>
        <w:t>The results must be consistent with the selected research category (basic research, industrial research, or experimental development, including the conditions set forth in Paragraph 31 of Cabinet Regulation No. 746, if multiple research categories are implemented within the project) and related to the research phases planned in the project.</w:t>
      </w:r>
    </w:p>
  </w:footnote>
  <w:footnote w:id="11">
    <w:p w14:paraId="7287AB26" w14:textId="23C6773D" w:rsidR="00733454" w:rsidRPr="00B83384" w:rsidRDefault="00733454" w:rsidP="00DA2529">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w:t>
      </w:r>
      <w:r>
        <w:rPr>
          <w:rFonts w:ascii="Times New Roman" w:hAnsi="Times New Roman"/>
          <w:sz w:val="18"/>
          <w:shd w:val="clear" w:color="auto" w:fill="FFFFFF"/>
        </w:rPr>
        <w:t>In accordance with the classification of the Nomenclature of territorial units for statistics 3 level (NUTS 3 level) in effect as of 25 November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172750"/>
      <w:docPartObj>
        <w:docPartGallery w:val="Page Numbers (Top of Page)"/>
        <w:docPartUnique/>
      </w:docPartObj>
    </w:sdtPr>
    <w:sdtEndPr>
      <w:rPr>
        <w:noProof/>
      </w:rPr>
    </w:sdtEndPr>
    <w:sdtContent>
      <w:p w14:paraId="1F494A26" w14:textId="1147206C" w:rsidR="008F381B" w:rsidRDefault="008F381B">
        <w:pPr>
          <w:pStyle w:val="Galvene"/>
          <w:jc w:val="center"/>
        </w:pPr>
        <w:r>
          <w:fldChar w:fldCharType="begin"/>
        </w:r>
        <w:r>
          <w:instrText xml:space="preserve"> PAGE   \* MERGEFORMAT </w:instrText>
        </w:r>
        <w:r>
          <w:fldChar w:fldCharType="separate"/>
        </w:r>
        <w:r w:rsidR="00C674D3">
          <w:t>2</w:t>
        </w:r>
        <w:r>
          <w:fldChar w:fldCharType="end"/>
        </w:r>
      </w:p>
    </w:sdtContent>
  </w:sdt>
  <w:p w14:paraId="29B18D24" w14:textId="77777777" w:rsidR="000A5A33" w:rsidRDefault="000A5A33" w:rsidP="003C773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0DBE"/>
    <w:multiLevelType w:val="multilevel"/>
    <w:tmpl w:val="C5D29460"/>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858E9"/>
    <w:multiLevelType w:val="hybridMultilevel"/>
    <w:tmpl w:val="8014DE62"/>
    <w:lvl w:ilvl="0" w:tplc="D0CE16C8">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E63592"/>
    <w:multiLevelType w:val="hybridMultilevel"/>
    <w:tmpl w:val="F5D69A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0632F2"/>
    <w:multiLevelType w:val="hybridMultilevel"/>
    <w:tmpl w:val="9AAC23F8"/>
    <w:lvl w:ilvl="0" w:tplc="5C080BBC">
      <w:start w:val="1"/>
      <w:numFmt w:val="lowerLetter"/>
      <w:lvlText w:val="%1)"/>
      <w:lvlJc w:val="left"/>
      <w:pPr>
        <w:ind w:left="800" w:hanging="44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DD46AD"/>
    <w:multiLevelType w:val="hybridMultilevel"/>
    <w:tmpl w:val="20DE60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13F6208"/>
    <w:multiLevelType w:val="hybridMultilevel"/>
    <w:tmpl w:val="52F2794A"/>
    <w:lvl w:ilvl="0" w:tplc="B1882A9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2D41BE"/>
    <w:multiLevelType w:val="multilevel"/>
    <w:tmpl w:val="BE4609B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E73AAB"/>
    <w:multiLevelType w:val="hybridMultilevel"/>
    <w:tmpl w:val="6A20B6D4"/>
    <w:lvl w:ilvl="0" w:tplc="B644DDD2">
      <w:start w:val="1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5635C46"/>
    <w:multiLevelType w:val="hybridMultilevel"/>
    <w:tmpl w:val="4E06B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7F3109"/>
    <w:multiLevelType w:val="hybridMultilevel"/>
    <w:tmpl w:val="ED9C11CC"/>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094032"/>
    <w:multiLevelType w:val="hybridMultilevel"/>
    <w:tmpl w:val="F03481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ADF191A"/>
    <w:multiLevelType w:val="hybridMultilevel"/>
    <w:tmpl w:val="52223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DF56D92"/>
    <w:multiLevelType w:val="hybridMultilevel"/>
    <w:tmpl w:val="2690D058"/>
    <w:lvl w:ilvl="0" w:tplc="98B4B7F8">
      <w:start w:val="1"/>
      <w:numFmt w:val="lowerLetter"/>
      <w:lvlText w:val="%1)"/>
      <w:lvlJc w:val="left"/>
      <w:pPr>
        <w:ind w:left="1080" w:hanging="360"/>
      </w:pPr>
      <w:rPr>
        <w:rFonts w:hint="default"/>
      </w:rPr>
    </w:lvl>
    <w:lvl w:ilvl="1" w:tplc="2B48DF32" w:tentative="1">
      <w:start w:val="1"/>
      <w:numFmt w:val="lowerLetter"/>
      <w:lvlText w:val="%2."/>
      <w:lvlJc w:val="left"/>
      <w:pPr>
        <w:ind w:left="1800" w:hanging="360"/>
      </w:pPr>
    </w:lvl>
    <w:lvl w:ilvl="2" w:tplc="0D4EBCB6" w:tentative="1">
      <w:start w:val="1"/>
      <w:numFmt w:val="lowerRoman"/>
      <w:lvlText w:val="%3."/>
      <w:lvlJc w:val="right"/>
      <w:pPr>
        <w:ind w:left="2520" w:hanging="180"/>
      </w:pPr>
    </w:lvl>
    <w:lvl w:ilvl="3" w:tplc="36E8D72A" w:tentative="1">
      <w:start w:val="1"/>
      <w:numFmt w:val="decimal"/>
      <w:lvlText w:val="%4."/>
      <w:lvlJc w:val="left"/>
      <w:pPr>
        <w:ind w:left="3240" w:hanging="360"/>
      </w:pPr>
    </w:lvl>
    <w:lvl w:ilvl="4" w:tplc="E33ADE4C" w:tentative="1">
      <w:start w:val="1"/>
      <w:numFmt w:val="lowerLetter"/>
      <w:lvlText w:val="%5."/>
      <w:lvlJc w:val="left"/>
      <w:pPr>
        <w:ind w:left="3960" w:hanging="360"/>
      </w:pPr>
    </w:lvl>
    <w:lvl w:ilvl="5" w:tplc="BA9C776C" w:tentative="1">
      <w:start w:val="1"/>
      <w:numFmt w:val="lowerRoman"/>
      <w:lvlText w:val="%6."/>
      <w:lvlJc w:val="right"/>
      <w:pPr>
        <w:ind w:left="4680" w:hanging="180"/>
      </w:pPr>
    </w:lvl>
    <w:lvl w:ilvl="6" w:tplc="FD460A06" w:tentative="1">
      <w:start w:val="1"/>
      <w:numFmt w:val="decimal"/>
      <w:lvlText w:val="%7."/>
      <w:lvlJc w:val="left"/>
      <w:pPr>
        <w:ind w:left="5400" w:hanging="360"/>
      </w:pPr>
    </w:lvl>
    <w:lvl w:ilvl="7" w:tplc="FE4A0DA4" w:tentative="1">
      <w:start w:val="1"/>
      <w:numFmt w:val="lowerLetter"/>
      <w:lvlText w:val="%8."/>
      <w:lvlJc w:val="left"/>
      <w:pPr>
        <w:ind w:left="6120" w:hanging="360"/>
      </w:pPr>
    </w:lvl>
    <w:lvl w:ilvl="8" w:tplc="AAE0D2E6" w:tentative="1">
      <w:start w:val="1"/>
      <w:numFmt w:val="lowerRoman"/>
      <w:lvlText w:val="%9."/>
      <w:lvlJc w:val="right"/>
      <w:pPr>
        <w:ind w:left="6840" w:hanging="180"/>
      </w:pPr>
    </w:lvl>
  </w:abstractNum>
  <w:abstractNum w:abstractNumId="13" w15:restartNumberingAfterBreak="0">
    <w:nsid w:val="4EBE2748"/>
    <w:multiLevelType w:val="multilevel"/>
    <w:tmpl w:val="15DE29B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05F244E"/>
    <w:multiLevelType w:val="hybridMultilevel"/>
    <w:tmpl w:val="F266C712"/>
    <w:lvl w:ilvl="0" w:tplc="04260017">
      <w:start w:val="1"/>
      <w:numFmt w:val="lowerLetter"/>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5" w15:restartNumberingAfterBreak="0">
    <w:nsid w:val="512A6D5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13D5F2D"/>
    <w:multiLevelType w:val="hybridMultilevel"/>
    <w:tmpl w:val="A588DB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832DBE"/>
    <w:multiLevelType w:val="hybridMultilevel"/>
    <w:tmpl w:val="E93A0F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CB69C9"/>
    <w:multiLevelType w:val="hybridMultilevel"/>
    <w:tmpl w:val="DEF26C58"/>
    <w:lvl w:ilvl="0" w:tplc="0750F718">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ECE461C"/>
    <w:multiLevelType w:val="hybridMultilevel"/>
    <w:tmpl w:val="C5ACD7B8"/>
    <w:lvl w:ilvl="0" w:tplc="43F6C914">
      <w:start w:val="1"/>
      <w:numFmt w:val="bullet"/>
      <w:lvlText w:val="•"/>
      <w:lvlJc w:val="left"/>
      <w:pPr>
        <w:tabs>
          <w:tab w:val="num" w:pos="720"/>
        </w:tabs>
        <w:ind w:left="720" w:hanging="360"/>
      </w:pPr>
      <w:rPr>
        <w:rFonts w:ascii="Times New Roman" w:hAnsi="Times New Roman" w:hint="default"/>
      </w:rPr>
    </w:lvl>
    <w:lvl w:ilvl="1" w:tplc="A4025E68" w:tentative="1">
      <w:start w:val="1"/>
      <w:numFmt w:val="bullet"/>
      <w:lvlText w:val="•"/>
      <w:lvlJc w:val="left"/>
      <w:pPr>
        <w:tabs>
          <w:tab w:val="num" w:pos="1440"/>
        </w:tabs>
        <w:ind w:left="1440" w:hanging="360"/>
      </w:pPr>
      <w:rPr>
        <w:rFonts w:ascii="Times New Roman" w:hAnsi="Times New Roman" w:hint="default"/>
      </w:rPr>
    </w:lvl>
    <w:lvl w:ilvl="2" w:tplc="4F6440BC" w:tentative="1">
      <w:start w:val="1"/>
      <w:numFmt w:val="bullet"/>
      <w:lvlText w:val="•"/>
      <w:lvlJc w:val="left"/>
      <w:pPr>
        <w:tabs>
          <w:tab w:val="num" w:pos="2160"/>
        </w:tabs>
        <w:ind w:left="2160" w:hanging="360"/>
      </w:pPr>
      <w:rPr>
        <w:rFonts w:ascii="Times New Roman" w:hAnsi="Times New Roman" w:hint="default"/>
      </w:rPr>
    </w:lvl>
    <w:lvl w:ilvl="3" w:tplc="EECC9944" w:tentative="1">
      <w:start w:val="1"/>
      <w:numFmt w:val="bullet"/>
      <w:lvlText w:val="•"/>
      <w:lvlJc w:val="left"/>
      <w:pPr>
        <w:tabs>
          <w:tab w:val="num" w:pos="2880"/>
        </w:tabs>
        <w:ind w:left="2880" w:hanging="360"/>
      </w:pPr>
      <w:rPr>
        <w:rFonts w:ascii="Times New Roman" w:hAnsi="Times New Roman" w:hint="default"/>
      </w:rPr>
    </w:lvl>
    <w:lvl w:ilvl="4" w:tplc="30128F42" w:tentative="1">
      <w:start w:val="1"/>
      <w:numFmt w:val="bullet"/>
      <w:lvlText w:val="•"/>
      <w:lvlJc w:val="left"/>
      <w:pPr>
        <w:tabs>
          <w:tab w:val="num" w:pos="3600"/>
        </w:tabs>
        <w:ind w:left="3600" w:hanging="360"/>
      </w:pPr>
      <w:rPr>
        <w:rFonts w:ascii="Times New Roman" w:hAnsi="Times New Roman" w:hint="default"/>
      </w:rPr>
    </w:lvl>
    <w:lvl w:ilvl="5" w:tplc="44BC53F6" w:tentative="1">
      <w:start w:val="1"/>
      <w:numFmt w:val="bullet"/>
      <w:lvlText w:val="•"/>
      <w:lvlJc w:val="left"/>
      <w:pPr>
        <w:tabs>
          <w:tab w:val="num" w:pos="4320"/>
        </w:tabs>
        <w:ind w:left="4320" w:hanging="360"/>
      </w:pPr>
      <w:rPr>
        <w:rFonts w:ascii="Times New Roman" w:hAnsi="Times New Roman" w:hint="default"/>
      </w:rPr>
    </w:lvl>
    <w:lvl w:ilvl="6" w:tplc="9962DB54" w:tentative="1">
      <w:start w:val="1"/>
      <w:numFmt w:val="bullet"/>
      <w:lvlText w:val="•"/>
      <w:lvlJc w:val="left"/>
      <w:pPr>
        <w:tabs>
          <w:tab w:val="num" w:pos="5040"/>
        </w:tabs>
        <w:ind w:left="5040" w:hanging="360"/>
      </w:pPr>
      <w:rPr>
        <w:rFonts w:ascii="Times New Roman" w:hAnsi="Times New Roman" w:hint="default"/>
      </w:rPr>
    </w:lvl>
    <w:lvl w:ilvl="7" w:tplc="ADDC55DC" w:tentative="1">
      <w:start w:val="1"/>
      <w:numFmt w:val="bullet"/>
      <w:lvlText w:val="•"/>
      <w:lvlJc w:val="left"/>
      <w:pPr>
        <w:tabs>
          <w:tab w:val="num" w:pos="5760"/>
        </w:tabs>
        <w:ind w:left="5760" w:hanging="360"/>
      </w:pPr>
      <w:rPr>
        <w:rFonts w:ascii="Times New Roman" w:hAnsi="Times New Roman" w:hint="default"/>
      </w:rPr>
    </w:lvl>
    <w:lvl w:ilvl="8" w:tplc="4B64D04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F6F68C2"/>
    <w:multiLevelType w:val="hybridMultilevel"/>
    <w:tmpl w:val="80D60A3A"/>
    <w:lvl w:ilvl="0" w:tplc="04260011">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8B83B66"/>
    <w:multiLevelType w:val="hybridMultilevel"/>
    <w:tmpl w:val="441C4CDE"/>
    <w:lvl w:ilvl="0" w:tplc="04090011">
      <w:start w:val="1"/>
      <w:numFmt w:val="decimal"/>
      <w:lvlText w:val="%1)"/>
      <w:lvlJc w:val="left"/>
      <w:pPr>
        <w:ind w:left="1080" w:hanging="360"/>
      </w:pPr>
      <w:rPr>
        <w:rFonts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DF226C1"/>
    <w:multiLevelType w:val="hybridMultilevel"/>
    <w:tmpl w:val="C4628A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50C2FA2"/>
    <w:multiLevelType w:val="hybridMultilevel"/>
    <w:tmpl w:val="E93A0F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7747C38"/>
    <w:multiLevelType w:val="hybridMultilevel"/>
    <w:tmpl w:val="87706952"/>
    <w:lvl w:ilvl="0" w:tplc="E5244E58">
      <w:start w:val="1"/>
      <w:numFmt w:val="bullet"/>
      <w:lvlText w:val="•"/>
      <w:lvlJc w:val="left"/>
      <w:pPr>
        <w:tabs>
          <w:tab w:val="num" w:pos="720"/>
        </w:tabs>
        <w:ind w:left="720" w:hanging="360"/>
      </w:pPr>
      <w:rPr>
        <w:rFonts w:ascii="Times New Roman" w:hAnsi="Times New Roman" w:hint="default"/>
      </w:rPr>
    </w:lvl>
    <w:lvl w:ilvl="1" w:tplc="F3A0DB5E" w:tentative="1">
      <w:start w:val="1"/>
      <w:numFmt w:val="bullet"/>
      <w:lvlText w:val="•"/>
      <w:lvlJc w:val="left"/>
      <w:pPr>
        <w:tabs>
          <w:tab w:val="num" w:pos="1440"/>
        </w:tabs>
        <w:ind w:left="1440" w:hanging="360"/>
      </w:pPr>
      <w:rPr>
        <w:rFonts w:ascii="Times New Roman" w:hAnsi="Times New Roman" w:hint="default"/>
      </w:rPr>
    </w:lvl>
    <w:lvl w:ilvl="2" w:tplc="2C5E89D8" w:tentative="1">
      <w:start w:val="1"/>
      <w:numFmt w:val="bullet"/>
      <w:lvlText w:val="•"/>
      <w:lvlJc w:val="left"/>
      <w:pPr>
        <w:tabs>
          <w:tab w:val="num" w:pos="2160"/>
        </w:tabs>
        <w:ind w:left="2160" w:hanging="360"/>
      </w:pPr>
      <w:rPr>
        <w:rFonts w:ascii="Times New Roman" w:hAnsi="Times New Roman" w:hint="default"/>
      </w:rPr>
    </w:lvl>
    <w:lvl w:ilvl="3" w:tplc="B01EDB68" w:tentative="1">
      <w:start w:val="1"/>
      <w:numFmt w:val="bullet"/>
      <w:lvlText w:val="•"/>
      <w:lvlJc w:val="left"/>
      <w:pPr>
        <w:tabs>
          <w:tab w:val="num" w:pos="2880"/>
        </w:tabs>
        <w:ind w:left="2880" w:hanging="360"/>
      </w:pPr>
      <w:rPr>
        <w:rFonts w:ascii="Times New Roman" w:hAnsi="Times New Roman" w:hint="default"/>
      </w:rPr>
    </w:lvl>
    <w:lvl w:ilvl="4" w:tplc="A2D2F4CC" w:tentative="1">
      <w:start w:val="1"/>
      <w:numFmt w:val="bullet"/>
      <w:lvlText w:val="•"/>
      <w:lvlJc w:val="left"/>
      <w:pPr>
        <w:tabs>
          <w:tab w:val="num" w:pos="3600"/>
        </w:tabs>
        <w:ind w:left="3600" w:hanging="360"/>
      </w:pPr>
      <w:rPr>
        <w:rFonts w:ascii="Times New Roman" w:hAnsi="Times New Roman" w:hint="default"/>
      </w:rPr>
    </w:lvl>
    <w:lvl w:ilvl="5" w:tplc="BF64D526" w:tentative="1">
      <w:start w:val="1"/>
      <w:numFmt w:val="bullet"/>
      <w:lvlText w:val="•"/>
      <w:lvlJc w:val="left"/>
      <w:pPr>
        <w:tabs>
          <w:tab w:val="num" w:pos="4320"/>
        </w:tabs>
        <w:ind w:left="4320" w:hanging="360"/>
      </w:pPr>
      <w:rPr>
        <w:rFonts w:ascii="Times New Roman" w:hAnsi="Times New Roman" w:hint="default"/>
      </w:rPr>
    </w:lvl>
    <w:lvl w:ilvl="6" w:tplc="9FD06CC6" w:tentative="1">
      <w:start w:val="1"/>
      <w:numFmt w:val="bullet"/>
      <w:lvlText w:val="•"/>
      <w:lvlJc w:val="left"/>
      <w:pPr>
        <w:tabs>
          <w:tab w:val="num" w:pos="5040"/>
        </w:tabs>
        <w:ind w:left="5040" w:hanging="360"/>
      </w:pPr>
      <w:rPr>
        <w:rFonts w:ascii="Times New Roman" w:hAnsi="Times New Roman" w:hint="default"/>
      </w:rPr>
    </w:lvl>
    <w:lvl w:ilvl="7" w:tplc="75C6AC14" w:tentative="1">
      <w:start w:val="1"/>
      <w:numFmt w:val="bullet"/>
      <w:lvlText w:val="•"/>
      <w:lvlJc w:val="left"/>
      <w:pPr>
        <w:tabs>
          <w:tab w:val="num" w:pos="5760"/>
        </w:tabs>
        <w:ind w:left="5760" w:hanging="360"/>
      </w:pPr>
      <w:rPr>
        <w:rFonts w:ascii="Times New Roman" w:hAnsi="Times New Roman" w:hint="default"/>
      </w:rPr>
    </w:lvl>
    <w:lvl w:ilvl="8" w:tplc="0CC07E46" w:tentative="1">
      <w:start w:val="1"/>
      <w:numFmt w:val="bullet"/>
      <w:lvlText w:val="•"/>
      <w:lvlJc w:val="left"/>
      <w:pPr>
        <w:tabs>
          <w:tab w:val="num" w:pos="6480"/>
        </w:tabs>
        <w:ind w:left="6480" w:hanging="360"/>
      </w:pPr>
      <w:rPr>
        <w:rFonts w:ascii="Times New Roman" w:hAnsi="Times New Roman" w:hint="default"/>
      </w:rPr>
    </w:lvl>
  </w:abstractNum>
  <w:num w:numId="1" w16cid:durableId="1466699427">
    <w:abstractNumId w:val="15"/>
  </w:num>
  <w:num w:numId="2" w16cid:durableId="765922996">
    <w:abstractNumId w:val="8"/>
  </w:num>
  <w:num w:numId="3" w16cid:durableId="71122278">
    <w:abstractNumId w:val="0"/>
  </w:num>
  <w:num w:numId="4" w16cid:durableId="395662474">
    <w:abstractNumId w:val="13"/>
  </w:num>
  <w:num w:numId="5" w16cid:durableId="608394666">
    <w:abstractNumId w:val="4"/>
  </w:num>
  <w:num w:numId="6" w16cid:durableId="1245720311">
    <w:abstractNumId w:val="16"/>
  </w:num>
  <w:num w:numId="7" w16cid:durableId="773592724">
    <w:abstractNumId w:val="21"/>
  </w:num>
  <w:num w:numId="8" w16cid:durableId="1996910491">
    <w:abstractNumId w:val="24"/>
  </w:num>
  <w:num w:numId="9" w16cid:durableId="2031758517">
    <w:abstractNumId w:val="19"/>
  </w:num>
  <w:num w:numId="10" w16cid:durableId="1277250813">
    <w:abstractNumId w:val="5"/>
  </w:num>
  <w:num w:numId="11" w16cid:durableId="146751449">
    <w:abstractNumId w:val="2"/>
  </w:num>
  <w:num w:numId="12" w16cid:durableId="380908322">
    <w:abstractNumId w:val="7"/>
  </w:num>
  <w:num w:numId="13" w16cid:durableId="130949146">
    <w:abstractNumId w:val="22"/>
  </w:num>
  <w:num w:numId="14" w16cid:durableId="1074008315">
    <w:abstractNumId w:val="14"/>
  </w:num>
  <w:num w:numId="15" w16cid:durableId="831794633">
    <w:abstractNumId w:val="20"/>
  </w:num>
  <w:num w:numId="16" w16cid:durableId="1321738001">
    <w:abstractNumId w:val="6"/>
  </w:num>
  <w:num w:numId="17" w16cid:durableId="1509249532">
    <w:abstractNumId w:val="10"/>
  </w:num>
  <w:num w:numId="18" w16cid:durableId="2139030415">
    <w:abstractNumId w:val="11"/>
  </w:num>
  <w:num w:numId="19" w16cid:durableId="87700546">
    <w:abstractNumId w:val="9"/>
  </w:num>
  <w:num w:numId="20" w16cid:durableId="922643943">
    <w:abstractNumId w:val="23"/>
  </w:num>
  <w:num w:numId="21" w16cid:durableId="132528174">
    <w:abstractNumId w:val="17"/>
  </w:num>
  <w:num w:numId="22" w16cid:durableId="2012680692">
    <w:abstractNumId w:val="18"/>
  </w:num>
  <w:num w:numId="23" w16cid:durableId="1031565283">
    <w:abstractNumId w:val="12"/>
  </w:num>
  <w:num w:numId="24" w16cid:durableId="1210141970">
    <w:abstractNumId w:val="3"/>
  </w:num>
  <w:num w:numId="25" w16cid:durableId="737704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306"/>
    <w:rsid w:val="00001D3D"/>
    <w:rsid w:val="00002E8D"/>
    <w:rsid w:val="00026F6B"/>
    <w:rsid w:val="00032868"/>
    <w:rsid w:val="000431AD"/>
    <w:rsid w:val="0007148E"/>
    <w:rsid w:val="000808FA"/>
    <w:rsid w:val="000910BD"/>
    <w:rsid w:val="00096219"/>
    <w:rsid w:val="000A5A33"/>
    <w:rsid w:val="000B703B"/>
    <w:rsid w:val="000C2B21"/>
    <w:rsid w:val="000D1704"/>
    <w:rsid w:val="000D7A63"/>
    <w:rsid w:val="000E28CF"/>
    <w:rsid w:val="000F28FD"/>
    <w:rsid w:val="000F3381"/>
    <w:rsid w:val="0010261E"/>
    <w:rsid w:val="00105136"/>
    <w:rsid w:val="0013176E"/>
    <w:rsid w:val="001409CF"/>
    <w:rsid w:val="001553D9"/>
    <w:rsid w:val="001638D7"/>
    <w:rsid w:val="001706A8"/>
    <w:rsid w:val="0018246F"/>
    <w:rsid w:val="00192460"/>
    <w:rsid w:val="00194C94"/>
    <w:rsid w:val="001B2599"/>
    <w:rsid w:val="001C19A4"/>
    <w:rsid w:val="001C2C5E"/>
    <w:rsid w:val="001D15E4"/>
    <w:rsid w:val="001D335E"/>
    <w:rsid w:val="001F666D"/>
    <w:rsid w:val="001F73B9"/>
    <w:rsid w:val="00201901"/>
    <w:rsid w:val="00232CFE"/>
    <w:rsid w:val="00243CE5"/>
    <w:rsid w:val="00283130"/>
    <w:rsid w:val="00292510"/>
    <w:rsid w:val="00297C83"/>
    <w:rsid w:val="002A1846"/>
    <w:rsid w:val="002A417B"/>
    <w:rsid w:val="002D51FA"/>
    <w:rsid w:val="002F238D"/>
    <w:rsid w:val="003142DE"/>
    <w:rsid w:val="00316C7A"/>
    <w:rsid w:val="00332CC7"/>
    <w:rsid w:val="00337217"/>
    <w:rsid w:val="00352E88"/>
    <w:rsid w:val="00352FB3"/>
    <w:rsid w:val="00371F43"/>
    <w:rsid w:val="00376E97"/>
    <w:rsid w:val="00380761"/>
    <w:rsid w:val="003956C3"/>
    <w:rsid w:val="003A5FCE"/>
    <w:rsid w:val="003C1232"/>
    <w:rsid w:val="003C60B7"/>
    <w:rsid w:val="003C773F"/>
    <w:rsid w:val="003D1273"/>
    <w:rsid w:val="003D20E3"/>
    <w:rsid w:val="003D5B0D"/>
    <w:rsid w:val="003D7D7A"/>
    <w:rsid w:val="003E1796"/>
    <w:rsid w:val="003E1C7A"/>
    <w:rsid w:val="003E6F84"/>
    <w:rsid w:val="00402C51"/>
    <w:rsid w:val="00406500"/>
    <w:rsid w:val="004143B3"/>
    <w:rsid w:val="00416B5A"/>
    <w:rsid w:val="00417FF3"/>
    <w:rsid w:val="0042610A"/>
    <w:rsid w:val="004458A9"/>
    <w:rsid w:val="004601D2"/>
    <w:rsid w:val="00461575"/>
    <w:rsid w:val="00462EF4"/>
    <w:rsid w:val="00465E58"/>
    <w:rsid w:val="00474EB8"/>
    <w:rsid w:val="00475326"/>
    <w:rsid w:val="00476A8B"/>
    <w:rsid w:val="004840BC"/>
    <w:rsid w:val="00485493"/>
    <w:rsid w:val="00487CD5"/>
    <w:rsid w:val="004949E4"/>
    <w:rsid w:val="004A1F68"/>
    <w:rsid w:val="004A20A0"/>
    <w:rsid w:val="004B1C8E"/>
    <w:rsid w:val="004D0EAB"/>
    <w:rsid w:val="004D28D2"/>
    <w:rsid w:val="004E58B6"/>
    <w:rsid w:val="00510627"/>
    <w:rsid w:val="0051360C"/>
    <w:rsid w:val="00517B84"/>
    <w:rsid w:val="005317A1"/>
    <w:rsid w:val="00536C55"/>
    <w:rsid w:val="00544FE4"/>
    <w:rsid w:val="00546554"/>
    <w:rsid w:val="0055411C"/>
    <w:rsid w:val="00585589"/>
    <w:rsid w:val="0058677D"/>
    <w:rsid w:val="0059535B"/>
    <w:rsid w:val="005A0816"/>
    <w:rsid w:val="005B54A5"/>
    <w:rsid w:val="005B78EB"/>
    <w:rsid w:val="005C1306"/>
    <w:rsid w:val="005C5BB4"/>
    <w:rsid w:val="005D22B6"/>
    <w:rsid w:val="005D5A1B"/>
    <w:rsid w:val="005E5AE9"/>
    <w:rsid w:val="005F3E53"/>
    <w:rsid w:val="005F730B"/>
    <w:rsid w:val="0062352B"/>
    <w:rsid w:val="00627015"/>
    <w:rsid w:val="0062761A"/>
    <w:rsid w:val="00640C59"/>
    <w:rsid w:val="006428F0"/>
    <w:rsid w:val="0065339B"/>
    <w:rsid w:val="00653EE6"/>
    <w:rsid w:val="00663E1C"/>
    <w:rsid w:val="00690ED7"/>
    <w:rsid w:val="00695DD7"/>
    <w:rsid w:val="006974A0"/>
    <w:rsid w:val="006B3FF1"/>
    <w:rsid w:val="006B7884"/>
    <w:rsid w:val="006C1AED"/>
    <w:rsid w:val="006D661E"/>
    <w:rsid w:val="006E1C60"/>
    <w:rsid w:val="006E77F2"/>
    <w:rsid w:val="006F7095"/>
    <w:rsid w:val="006F7C3D"/>
    <w:rsid w:val="00712BC7"/>
    <w:rsid w:val="00713186"/>
    <w:rsid w:val="00714330"/>
    <w:rsid w:val="00722462"/>
    <w:rsid w:val="00733454"/>
    <w:rsid w:val="0073701A"/>
    <w:rsid w:val="00782067"/>
    <w:rsid w:val="00783528"/>
    <w:rsid w:val="007B21C0"/>
    <w:rsid w:val="007D1D00"/>
    <w:rsid w:val="007D3D0C"/>
    <w:rsid w:val="0080231E"/>
    <w:rsid w:val="008103DF"/>
    <w:rsid w:val="00811514"/>
    <w:rsid w:val="00811D67"/>
    <w:rsid w:val="00813B4F"/>
    <w:rsid w:val="00822857"/>
    <w:rsid w:val="0083045E"/>
    <w:rsid w:val="00836720"/>
    <w:rsid w:val="00836C2C"/>
    <w:rsid w:val="008512DA"/>
    <w:rsid w:val="00852367"/>
    <w:rsid w:val="00853C94"/>
    <w:rsid w:val="008564E1"/>
    <w:rsid w:val="00862AE9"/>
    <w:rsid w:val="008653A0"/>
    <w:rsid w:val="00882136"/>
    <w:rsid w:val="00890272"/>
    <w:rsid w:val="00890B38"/>
    <w:rsid w:val="00892507"/>
    <w:rsid w:val="0089533A"/>
    <w:rsid w:val="008967E7"/>
    <w:rsid w:val="008A0022"/>
    <w:rsid w:val="008A0061"/>
    <w:rsid w:val="008A158F"/>
    <w:rsid w:val="008A17AE"/>
    <w:rsid w:val="008A2507"/>
    <w:rsid w:val="008A6E01"/>
    <w:rsid w:val="008B21A2"/>
    <w:rsid w:val="008B7C16"/>
    <w:rsid w:val="008D2665"/>
    <w:rsid w:val="008D3FD4"/>
    <w:rsid w:val="008D52F0"/>
    <w:rsid w:val="008E3BFF"/>
    <w:rsid w:val="008F381B"/>
    <w:rsid w:val="00900877"/>
    <w:rsid w:val="00910DA5"/>
    <w:rsid w:val="00913C12"/>
    <w:rsid w:val="00913FC5"/>
    <w:rsid w:val="00916E1D"/>
    <w:rsid w:val="00921E04"/>
    <w:rsid w:val="00921F8F"/>
    <w:rsid w:val="009238D4"/>
    <w:rsid w:val="0093203C"/>
    <w:rsid w:val="0094193C"/>
    <w:rsid w:val="00942C21"/>
    <w:rsid w:val="00943955"/>
    <w:rsid w:val="009449CE"/>
    <w:rsid w:val="00966890"/>
    <w:rsid w:val="0097535D"/>
    <w:rsid w:val="009753FB"/>
    <w:rsid w:val="00994AE5"/>
    <w:rsid w:val="009B57DF"/>
    <w:rsid w:val="009C3C7A"/>
    <w:rsid w:val="009C4F0B"/>
    <w:rsid w:val="009C5E23"/>
    <w:rsid w:val="009D10DD"/>
    <w:rsid w:val="00A03C74"/>
    <w:rsid w:val="00A12100"/>
    <w:rsid w:val="00A13DC6"/>
    <w:rsid w:val="00A16D81"/>
    <w:rsid w:val="00A228CF"/>
    <w:rsid w:val="00A23699"/>
    <w:rsid w:val="00A2662B"/>
    <w:rsid w:val="00A3200A"/>
    <w:rsid w:val="00A50640"/>
    <w:rsid w:val="00A50938"/>
    <w:rsid w:val="00A51EDC"/>
    <w:rsid w:val="00A57A75"/>
    <w:rsid w:val="00A6140A"/>
    <w:rsid w:val="00A64CFD"/>
    <w:rsid w:val="00A7233F"/>
    <w:rsid w:val="00A9685A"/>
    <w:rsid w:val="00A96874"/>
    <w:rsid w:val="00A976B0"/>
    <w:rsid w:val="00AA177D"/>
    <w:rsid w:val="00AB11D2"/>
    <w:rsid w:val="00AC430E"/>
    <w:rsid w:val="00AD227D"/>
    <w:rsid w:val="00AD5E45"/>
    <w:rsid w:val="00AE54A1"/>
    <w:rsid w:val="00AE58C0"/>
    <w:rsid w:val="00AF5F95"/>
    <w:rsid w:val="00B062CF"/>
    <w:rsid w:val="00B06506"/>
    <w:rsid w:val="00B07BBB"/>
    <w:rsid w:val="00B11232"/>
    <w:rsid w:val="00B17AA9"/>
    <w:rsid w:val="00B20B2C"/>
    <w:rsid w:val="00B3222B"/>
    <w:rsid w:val="00B52B25"/>
    <w:rsid w:val="00B83384"/>
    <w:rsid w:val="00B85514"/>
    <w:rsid w:val="00B96C45"/>
    <w:rsid w:val="00B974B1"/>
    <w:rsid w:val="00BA4155"/>
    <w:rsid w:val="00BD1BE1"/>
    <w:rsid w:val="00BE2310"/>
    <w:rsid w:val="00BE572A"/>
    <w:rsid w:val="00BF2004"/>
    <w:rsid w:val="00C06B13"/>
    <w:rsid w:val="00C23274"/>
    <w:rsid w:val="00C502A9"/>
    <w:rsid w:val="00C54E82"/>
    <w:rsid w:val="00C624D6"/>
    <w:rsid w:val="00C674D3"/>
    <w:rsid w:val="00C74151"/>
    <w:rsid w:val="00C8793C"/>
    <w:rsid w:val="00C9075A"/>
    <w:rsid w:val="00C97735"/>
    <w:rsid w:val="00CB6C5F"/>
    <w:rsid w:val="00CC4524"/>
    <w:rsid w:val="00CF73D4"/>
    <w:rsid w:val="00D35508"/>
    <w:rsid w:val="00D44398"/>
    <w:rsid w:val="00D44ADC"/>
    <w:rsid w:val="00D478F9"/>
    <w:rsid w:val="00D56598"/>
    <w:rsid w:val="00D60CC2"/>
    <w:rsid w:val="00D73628"/>
    <w:rsid w:val="00D9070B"/>
    <w:rsid w:val="00D91526"/>
    <w:rsid w:val="00D9237A"/>
    <w:rsid w:val="00DA2529"/>
    <w:rsid w:val="00DB03DB"/>
    <w:rsid w:val="00DC00DC"/>
    <w:rsid w:val="00DC2473"/>
    <w:rsid w:val="00DD1B02"/>
    <w:rsid w:val="00DD5682"/>
    <w:rsid w:val="00DE6CC9"/>
    <w:rsid w:val="00DF3946"/>
    <w:rsid w:val="00E04724"/>
    <w:rsid w:val="00E07C1A"/>
    <w:rsid w:val="00E22AFB"/>
    <w:rsid w:val="00E25280"/>
    <w:rsid w:val="00E60080"/>
    <w:rsid w:val="00E6601C"/>
    <w:rsid w:val="00E823A0"/>
    <w:rsid w:val="00E83FA2"/>
    <w:rsid w:val="00E94CB6"/>
    <w:rsid w:val="00EA0615"/>
    <w:rsid w:val="00EA261D"/>
    <w:rsid w:val="00EA3842"/>
    <w:rsid w:val="00EB3E50"/>
    <w:rsid w:val="00EB77BB"/>
    <w:rsid w:val="00EC0FA4"/>
    <w:rsid w:val="00ED0515"/>
    <w:rsid w:val="00ED0D45"/>
    <w:rsid w:val="00ED4B71"/>
    <w:rsid w:val="00ED57BA"/>
    <w:rsid w:val="00ED763F"/>
    <w:rsid w:val="00EE1BAC"/>
    <w:rsid w:val="00EE21A1"/>
    <w:rsid w:val="00EF69D8"/>
    <w:rsid w:val="00F00D26"/>
    <w:rsid w:val="00F04495"/>
    <w:rsid w:val="00F23950"/>
    <w:rsid w:val="00F52491"/>
    <w:rsid w:val="00F62F2A"/>
    <w:rsid w:val="00F648A6"/>
    <w:rsid w:val="00F6746E"/>
    <w:rsid w:val="00FB0160"/>
    <w:rsid w:val="00FD4F11"/>
    <w:rsid w:val="00FD5F5D"/>
    <w:rsid w:val="00FE5C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76C30"/>
  <w15:docId w15:val="{E9A6207B-86AB-449D-B051-777CE9A0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
    <w:basedOn w:val="Parasts"/>
    <w:link w:val="SarakstarindkopaRakstz"/>
    <w:uiPriority w:val="34"/>
    <w:qFormat/>
    <w:rsid w:val="00C624D6"/>
    <w:pPr>
      <w:spacing w:after="0" w:line="240" w:lineRule="auto"/>
      <w:ind w:left="720"/>
    </w:pPr>
    <w:rPr>
      <w:rFonts w:ascii="Times New Roman" w:eastAsia="Times New Roman" w:hAnsi="Times New Roman" w:cs="Times New Roman"/>
      <w:sz w:val="24"/>
      <w:szCs w:val="24"/>
    </w:rPr>
  </w:style>
  <w:style w:type="character" w:customStyle="1" w:styleId="SarakstarindkopaRakstz">
    <w:name w:val="Saraksta rindkopa Rakstz."/>
    <w:aliases w:val="H&amp;P List Paragraph Rakstz.,2 Rakstz."/>
    <w:link w:val="Sarakstarindkopa"/>
    <w:uiPriority w:val="34"/>
    <w:locked/>
    <w:rsid w:val="00C624D6"/>
    <w:rPr>
      <w:rFonts w:ascii="Times New Roman" w:eastAsia="Times New Roman" w:hAnsi="Times New Roman" w:cs="Times New Roman"/>
      <w:sz w:val="24"/>
      <w:szCs w:val="24"/>
    </w:rPr>
  </w:style>
  <w:style w:type="table" w:styleId="Reatabula">
    <w:name w:val="Table Grid"/>
    <w:basedOn w:val="Parastatabula"/>
    <w:uiPriority w:val="39"/>
    <w:rsid w:val="000D7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A00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A0061"/>
    <w:rPr>
      <w:rFonts w:ascii="Segoe UI" w:hAnsi="Segoe UI" w:cs="Segoe UI"/>
      <w:sz w:val="18"/>
      <w:szCs w:val="18"/>
    </w:rPr>
  </w:style>
  <w:style w:type="character" w:styleId="Komentraatsauce">
    <w:name w:val="annotation reference"/>
    <w:basedOn w:val="Noklusjumarindkopasfonts"/>
    <w:uiPriority w:val="99"/>
    <w:semiHidden/>
    <w:unhideWhenUsed/>
    <w:rsid w:val="00FD4F11"/>
    <w:rPr>
      <w:sz w:val="16"/>
      <w:szCs w:val="16"/>
    </w:rPr>
  </w:style>
  <w:style w:type="paragraph" w:styleId="Komentrateksts">
    <w:name w:val="annotation text"/>
    <w:basedOn w:val="Parasts"/>
    <w:link w:val="KomentratekstsRakstz"/>
    <w:uiPriority w:val="99"/>
    <w:unhideWhenUsed/>
    <w:rsid w:val="00FD4F11"/>
    <w:pPr>
      <w:spacing w:line="240" w:lineRule="auto"/>
    </w:pPr>
    <w:rPr>
      <w:sz w:val="20"/>
      <w:szCs w:val="20"/>
    </w:rPr>
  </w:style>
  <w:style w:type="character" w:customStyle="1" w:styleId="KomentratekstsRakstz">
    <w:name w:val="Komentāra teksts Rakstz."/>
    <w:basedOn w:val="Noklusjumarindkopasfonts"/>
    <w:link w:val="Komentrateksts"/>
    <w:uiPriority w:val="99"/>
    <w:rsid w:val="00FD4F11"/>
    <w:rPr>
      <w:sz w:val="20"/>
      <w:szCs w:val="20"/>
    </w:rPr>
  </w:style>
  <w:style w:type="paragraph" w:styleId="Komentratma">
    <w:name w:val="annotation subject"/>
    <w:basedOn w:val="Komentrateksts"/>
    <w:next w:val="Komentrateksts"/>
    <w:link w:val="KomentratmaRakstz"/>
    <w:uiPriority w:val="99"/>
    <w:semiHidden/>
    <w:unhideWhenUsed/>
    <w:rsid w:val="00FD4F11"/>
    <w:rPr>
      <w:b/>
      <w:bCs/>
    </w:rPr>
  </w:style>
  <w:style w:type="character" w:customStyle="1" w:styleId="KomentratmaRakstz">
    <w:name w:val="Komentāra tēma Rakstz."/>
    <w:basedOn w:val="KomentratekstsRakstz"/>
    <w:link w:val="Komentratma"/>
    <w:uiPriority w:val="99"/>
    <w:semiHidden/>
    <w:rsid w:val="00FD4F11"/>
    <w:rPr>
      <w:b/>
      <w:bCs/>
      <w:sz w:val="20"/>
      <w:szCs w:val="20"/>
    </w:rPr>
  </w:style>
  <w:style w:type="paragraph" w:styleId="Vresteksts">
    <w:name w:val="footnote text"/>
    <w:aliases w:val="Footnote,Fußnote"/>
    <w:basedOn w:val="Parasts"/>
    <w:link w:val="VrestekstsRakstz"/>
    <w:uiPriority w:val="99"/>
    <w:semiHidden/>
    <w:unhideWhenUsed/>
    <w:rsid w:val="00890272"/>
    <w:pPr>
      <w:spacing w:after="0" w:line="240" w:lineRule="auto"/>
    </w:pPr>
    <w:rPr>
      <w:sz w:val="20"/>
      <w:szCs w:val="20"/>
    </w:rPr>
  </w:style>
  <w:style w:type="character" w:customStyle="1" w:styleId="VrestekstsRakstz">
    <w:name w:val="Vēres teksts Rakstz."/>
    <w:aliases w:val="Footnote Rakstz.,Fußnote Rakstz."/>
    <w:basedOn w:val="Noklusjumarindkopasfonts"/>
    <w:link w:val="Vresteksts"/>
    <w:uiPriority w:val="99"/>
    <w:semiHidden/>
    <w:rsid w:val="00890272"/>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890272"/>
    <w:rPr>
      <w:vertAlign w:val="superscript"/>
    </w:rPr>
  </w:style>
  <w:style w:type="paragraph" w:customStyle="1" w:styleId="tv2132">
    <w:name w:val="tv2132"/>
    <w:basedOn w:val="Parasts"/>
    <w:rsid w:val="0059535B"/>
    <w:pPr>
      <w:spacing w:after="0" w:line="360" w:lineRule="auto"/>
      <w:ind w:firstLine="300"/>
    </w:pPr>
    <w:rPr>
      <w:rFonts w:ascii="Times New Roman" w:eastAsia="Times New Roman" w:hAnsi="Times New Roman" w:cs="Times New Roman"/>
      <w:color w:val="414142"/>
      <w:sz w:val="20"/>
      <w:szCs w:val="20"/>
      <w:lang w:eastAsia="lv-LV"/>
    </w:rPr>
  </w:style>
  <w:style w:type="paragraph" w:styleId="Galvene">
    <w:name w:val="header"/>
    <w:basedOn w:val="Parasts"/>
    <w:link w:val="GalveneRakstz"/>
    <w:uiPriority w:val="99"/>
    <w:unhideWhenUsed/>
    <w:rsid w:val="000A5A3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A5A33"/>
  </w:style>
  <w:style w:type="paragraph" w:styleId="Kjene">
    <w:name w:val="footer"/>
    <w:basedOn w:val="Parasts"/>
    <w:link w:val="KjeneRakstz"/>
    <w:uiPriority w:val="99"/>
    <w:unhideWhenUsed/>
    <w:rsid w:val="000A5A3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A5A33"/>
  </w:style>
  <w:style w:type="paragraph" w:styleId="Prskatjums">
    <w:name w:val="Revision"/>
    <w:hidden/>
    <w:uiPriority w:val="99"/>
    <w:semiHidden/>
    <w:rsid w:val="001409CF"/>
    <w:pPr>
      <w:spacing w:after="0" w:line="240" w:lineRule="auto"/>
    </w:pPr>
  </w:style>
  <w:style w:type="character" w:styleId="Hipersaite">
    <w:name w:val="Hyperlink"/>
    <w:basedOn w:val="Noklusjumarindkopasfonts"/>
    <w:uiPriority w:val="99"/>
    <w:unhideWhenUsed/>
    <w:rsid w:val="006428F0"/>
    <w:rPr>
      <w:color w:val="0000FF"/>
      <w:u w:val="single"/>
    </w:rPr>
  </w:style>
  <w:style w:type="character" w:styleId="Izclums">
    <w:name w:val="Emphasis"/>
    <w:basedOn w:val="Noklusjumarindkopasfonts"/>
    <w:uiPriority w:val="20"/>
    <w:qFormat/>
    <w:rsid w:val="006428F0"/>
    <w:rPr>
      <w:i/>
      <w:iCs/>
    </w:rPr>
  </w:style>
  <w:style w:type="paragraph" w:customStyle="1" w:styleId="Default">
    <w:name w:val="Default"/>
    <w:rsid w:val="005317A1"/>
    <w:pPr>
      <w:autoSpaceDE w:val="0"/>
      <w:autoSpaceDN w:val="0"/>
      <w:adjustRightInd w:val="0"/>
      <w:spacing w:after="0" w:line="240" w:lineRule="auto"/>
    </w:pPr>
    <w:rPr>
      <w:rFonts w:ascii="Times New Roman" w:hAnsi="Times New Roman" w:cs="Times New Roman"/>
      <w:color w:val="000000"/>
      <w:sz w:val="24"/>
      <w:szCs w:val="24"/>
    </w:rPr>
  </w:style>
  <w:style w:type="paragraph" w:styleId="Beiguvresteksts">
    <w:name w:val="endnote text"/>
    <w:basedOn w:val="Parasts"/>
    <w:link w:val="BeiguvrestekstsRakstz"/>
    <w:uiPriority w:val="99"/>
    <w:semiHidden/>
    <w:unhideWhenUsed/>
    <w:rsid w:val="005317A1"/>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317A1"/>
    <w:rPr>
      <w:sz w:val="20"/>
      <w:szCs w:val="20"/>
    </w:rPr>
  </w:style>
  <w:style w:type="character" w:styleId="Beiguvresatsauce">
    <w:name w:val="endnote reference"/>
    <w:basedOn w:val="Noklusjumarindkopasfonts"/>
    <w:uiPriority w:val="99"/>
    <w:unhideWhenUsed/>
    <w:rsid w:val="005317A1"/>
    <w:rPr>
      <w:vertAlign w:val="superscript"/>
    </w:rPr>
  </w:style>
  <w:style w:type="paragraph" w:customStyle="1" w:styleId="CharCharCharChar">
    <w:name w:val="Char Char Char Char"/>
    <w:aliases w:val="Char2"/>
    <w:basedOn w:val="Parasts"/>
    <w:next w:val="Parasts"/>
    <w:link w:val="Vresatsauce"/>
    <w:uiPriority w:val="99"/>
    <w:rsid w:val="00CF73D4"/>
    <w:pPr>
      <w:spacing w:line="240" w:lineRule="exact"/>
      <w:jc w:val="both"/>
      <w:textAlignment w:val="baseline"/>
    </w:pPr>
    <w:rPr>
      <w:vertAlign w:val="superscript"/>
    </w:rPr>
  </w:style>
  <w:style w:type="character" w:customStyle="1" w:styleId="scayt-misspell-word">
    <w:name w:val="scayt-misspell-word"/>
    <w:basedOn w:val="Noklusjumarindkopasfonts"/>
    <w:rsid w:val="00EF69D8"/>
  </w:style>
  <w:style w:type="character" w:styleId="Neatrisintapieminana">
    <w:name w:val="Unresolved Mention"/>
    <w:basedOn w:val="Noklusjumarindkopasfonts"/>
    <w:uiPriority w:val="99"/>
    <w:semiHidden/>
    <w:unhideWhenUsed/>
    <w:rsid w:val="00DA2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07451">
      <w:bodyDiv w:val="1"/>
      <w:marLeft w:val="0"/>
      <w:marRight w:val="0"/>
      <w:marTop w:val="0"/>
      <w:marBottom w:val="0"/>
      <w:divBdr>
        <w:top w:val="none" w:sz="0" w:space="0" w:color="auto"/>
        <w:left w:val="none" w:sz="0" w:space="0" w:color="auto"/>
        <w:bottom w:val="none" w:sz="0" w:space="0" w:color="auto"/>
        <w:right w:val="none" w:sz="0" w:space="0" w:color="auto"/>
      </w:divBdr>
      <w:divsChild>
        <w:div w:id="222523797">
          <w:marLeft w:val="547"/>
          <w:marRight w:val="0"/>
          <w:marTop w:val="0"/>
          <w:marBottom w:val="0"/>
          <w:divBdr>
            <w:top w:val="none" w:sz="0" w:space="0" w:color="auto"/>
            <w:left w:val="none" w:sz="0" w:space="0" w:color="auto"/>
            <w:bottom w:val="none" w:sz="0" w:space="0" w:color="auto"/>
            <w:right w:val="none" w:sz="0" w:space="0" w:color="auto"/>
          </w:divBdr>
        </w:div>
      </w:divsChild>
    </w:div>
    <w:div w:id="452989893">
      <w:bodyDiv w:val="1"/>
      <w:marLeft w:val="0"/>
      <w:marRight w:val="0"/>
      <w:marTop w:val="0"/>
      <w:marBottom w:val="0"/>
      <w:divBdr>
        <w:top w:val="none" w:sz="0" w:space="0" w:color="auto"/>
        <w:left w:val="none" w:sz="0" w:space="0" w:color="auto"/>
        <w:bottom w:val="none" w:sz="0" w:space="0" w:color="auto"/>
        <w:right w:val="none" w:sz="0" w:space="0" w:color="auto"/>
      </w:divBdr>
      <w:divsChild>
        <w:div w:id="903376738">
          <w:marLeft w:val="0"/>
          <w:marRight w:val="0"/>
          <w:marTop w:val="0"/>
          <w:marBottom w:val="0"/>
          <w:divBdr>
            <w:top w:val="none" w:sz="0" w:space="0" w:color="auto"/>
            <w:left w:val="none" w:sz="0" w:space="0" w:color="auto"/>
            <w:bottom w:val="none" w:sz="0" w:space="0" w:color="auto"/>
            <w:right w:val="none" w:sz="0" w:space="0" w:color="auto"/>
          </w:divBdr>
          <w:divsChild>
            <w:div w:id="224612606">
              <w:marLeft w:val="0"/>
              <w:marRight w:val="0"/>
              <w:marTop w:val="0"/>
              <w:marBottom w:val="0"/>
              <w:divBdr>
                <w:top w:val="none" w:sz="0" w:space="0" w:color="auto"/>
                <w:left w:val="none" w:sz="0" w:space="0" w:color="auto"/>
                <w:bottom w:val="none" w:sz="0" w:space="0" w:color="auto"/>
                <w:right w:val="none" w:sz="0" w:space="0" w:color="auto"/>
              </w:divBdr>
              <w:divsChild>
                <w:div w:id="1394542499">
                  <w:marLeft w:val="0"/>
                  <w:marRight w:val="0"/>
                  <w:marTop w:val="0"/>
                  <w:marBottom w:val="0"/>
                  <w:divBdr>
                    <w:top w:val="none" w:sz="0" w:space="0" w:color="auto"/>
                    <w:left w:val="none" w:sz="0" w:space="0" w:color="auto"/>
                    <w:bottom w:val="none" w:sz="0" w:space="0" w:color="auto"/>
                    <w:right w:val="none" w:sz="0" w:space="0" w:color="auto"/>
                  </w:divBdr>
                  <w:divsChild>
                    <w:div w:id="203949459">
                      <w:marLeft w:val="0"/>
                      <w:marRight w:val="0"/>
                      <w:marTop w:val="0"/>
                      <w:marBottom w:val="0"/>
                      <w:divBdr>
                        <w:top w:val="none" w:sz="0" w:space="0" w:color="auto"/>
                        <w:left w:val="none" w:sz="0" w:space="0" w:color="auto"/>
                        <w:bottom w:val="none" w:sz="0" w:space="0" w:color="auto"/>
                        <w:right w:val="none" w:sz="0" w:space="0" w:color="auto"/>
                      </w:divBdr>
                      <w:divsChild>
                        <w:div w:id="782455867">
                          <w:marLeft w:val="0"/>
                          <w:marRight w:val="0"/>
                          <w:marTop w:val="0"/>
                          <w:marBottom w:val="0"/>
                          <w:divBdr>
                            <w:top w:val="none" w:sz="0" w:space="0" w:color="auto"/>
                            <w:left w:val="none" w:sz="0" w:space="0" w:color="auto"/>
                            <w:bottom w:val="none" w:sz="0" w:space="0" w:color="auto"/>
                            <w:right w:val="none" w:sz="0" w:space="0" w:color="auto"/>
                          </w:divBdr>
                          <w:divsChild>
                            <w:div w:id="131244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570676">
      <w:bodyDiv w:val="1"/>
      <w:marLeft w:val="0"/>
      <w:marRight w:val="0"/>
      <w:marTop w:val="0"/>
      <w:marBottom w:val="0"/>
      <w:divBdr>
        <w:top w:val="none" w:sz="0" w:space="0" w:color="auto"/>
        <w:left w:val="none" w:sz="0" w:space="0" w:color="auto"/>
        <w:bottom w:val="none" w:sz="0" w:space="0" w:color="auto"/>
        <w:right w:val="none" w:sz="0" w:space="0" w:color="auto"/>
      </w:divBdr>
      <w:divsChild>
        <w:div w:id="2132478851">
          <w:marLeft w:val="547"/>
          <w:marRight w:val="0"/>
          <w:marTop w:val="0"/>
          <w:marBottom w:val="0"/>
          <w:divBdr>
            <w:top w:val="none" w:sz="0" w:space="0" w:color="auto"/>
            <w:left w:val="none" w:sz="0" w:space="0" w:color="auto"/>
            <w:bottom w:val="none" w:sz="0" w:space="0" w:color="auto"/>
            <w:right w:val="none" w:sz="0" w:space="0" w:color="auto"/>
          </w:divBdr>
        </w:div>
      </w:divsChild>
    </w:div>
    <w:div w:id="532573216">
      <w:bodyDiv w:val="1"/>
      <w:marLeft w:val="0"/>
      <w:marRight w:val="0"/>
      <w:marTop w:val="0"/>
      <w:marBottom w:val="0"/>
      <w:divBdr>
        <w:top w:val="none" w:sz="0" w:space="0" w:color="auto"/>
        <w:left w:val="none" w:sz="0" w:space="0" w:color="auto"/>
        <w:bottom w:val="none" w:sz="0" w:space="0" w:color="auto"/>
        <w:right w:val="none" w:sz="0" w:space="0" w:color="auto"/>
      </w:divBdr>
    </w:div>
    <w:div w:id="872306889">
      <w:bodyDiv w:val="1"/>
      <w:marLeft w:val="0"/>
      <w:marRight w:val="0"/>
      <w:marTop w:val="0"/>
      <w:marBottom w:val="0"/>
      <w:divBdr>
        <w:top w:val="none" w:sz="0" w:space="0" w:color="auto"/>
        <w:left w:val="none" w:sz="0" w:space="0" w:color="auto"/>
        <w:bottom w:val="none" w:sz="0" w:space="0" w:color="auto"/>
        <w:right w:val="none" w:sz="0" w:space="0" w:color="auto"/>
      </w:divBdr>
      <w:divsChild>
        <w:div w:id="1787695363">
          <w:marLeft w:val="0"/>
          <w:marRight w:val="0"/>
          <w:marTop w:val="0"/>
          <w:marBottom w:val="0"/>
          <w:divBdr>
            <w:top w:val="none" w:sz="0" w:space="0" w:color="auto"/>
            <w:left w:val="none" w:sz="0" w:space="0" w:color="auto"/>
            <w:bottom w:val="none" w:sz="0" w:space="0" w:color="auto"/>
            <w:right w:val="none" w:sz="0" w:space="0" w:color="auto"/>
          </w:divBdr>
          <w:divsChild>
            <w:div w:id="817384106">
              <w:marLeft w:val="0"/>
              <w:marRight w:val="0"/>
              <w:marTop w:val="0"/>
              <w:marBottom w:val="0"/>
              <w:divBdr>
                <w:top w:val="none" w:sz="0" w:space="0" w:color="auto"/>
                <w:left w:val="none" w:sz="0" w:space="0" w:color="auto"/>
                <w:bottom w:val="none" w:sz="0" w:space="0" w:color="auto"/>
                <w:right w:val="none" w:sz="0" w:space="0" w:color="auto"/>
              </w:divBdr>
              <w:divsChild>
                <w:div w:id="1648167214">
                  <w:marLeft w:val="0"/>
                  <w:marRight w:val="0"/>
                  <w:marTop w:val="0"/>
                  <w:marBottom w:val="0"/>
                  <w:divBdr>
                    <w:top w:val="none" w:sz="0" w:space="0" w:color="auto"/>
                    <w:left w:val="none" w:sz="0" w:space="0" w:color="auto"/>
                    <w:bottom w:val="none" w:sz="0" w:space="0" w:color="auto"/>
                    <w:right w:val="none" w:sz="0" w:space="0" w:color="auto"/>
                  </w:divBdr>
                  <w:divsChild>
                    <w:div w:id="1125583488">
                      <w:marLeft w:val="0"/>
                      <w:marRight w:val="0"/>
                      <w:marTop w:val="0"/>
                      <w:marBottom w:val="0"/>
                      <w:divBdr>
                        <w:top w:val="none" w:sz="0" w:space="0" w:color="auto"/>
                        <w:left w:val="none" w:sz="0" w:space="0" w:color="auto"/>
                        <w:bottom w:val="none" w:sz="0" w:space="0" w:color="auto"/>
                        <w:right w:val="none" w:sz="0" w:space="0" w:color="auto"/>
                      </w:divBdr>
                      <w:divsChild>
                        <w:div w:id="419526712">
                          <w:marLeft w:val="0"/>
                          <w:marRight w:val="0"/>
                          <w:marTop w:val="0"/>
                          <w:marBottom w:val="0"/>
                          <w:divBdr>
                            <w:top w:val="none" w:sz="0" w:space="0" w:color="auto"/>
                            <w:left w:val="none" w:sz="0" w:space="0" w:color="auto"/>
                            <w:bottom w:val="none" w:sz="0" w:space="0" w:color="auto"/>
                            <w:right w:val="none" w:sz="0" w:space="0" w:color="auto"/>
                          </w:divBdr>
                          <w:divsChild>
                            <w:div w:id="124584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663857">
      <w:bodyDiv w:val="1"/>
      <w:marLeft w:val="0"/>
      <w:marRight w:val="0"/>
      <w:marTop w:val="0"/>
      <w:marBottom w:val="0"/>
      <w:divBdr>
        <w:top w:val="none" w:sz="0" w:space="0" w:color="auto"/>
        <w:left w:val="none" w:sz="0" w:space="0" w:color="auto"/>
        <w:bottom w:val="none" w:sz="0" w:space="0" w:color="auto"/>
        <w:right w:val="none" w:sz="0" w:space="0" w:color="auto"/>
      </w:divBdr>
      <w:divsChild>
        <w:div w:id="1741051725">
          <w:marLeft w:val="0"/>
          <w:marRight w:val="0"/>
          <w:marTop w:val="0"/>
          <w:marBottom w:val="567"/>
          <w:divBdr>
            <w:top w:val="none" w:sz="0" w:space="0" w:color="auto"/>
            <w:left w:val="none" w:sz="0" w:space="0" w:color="auto"/>
            <w:bottom w:val="none" w:sz="0" w:space="0" w:color="auto"/>
            <w:right w:val="none" w:sz="0" w:space="0" w:color="auto"/>
          </w:divBdr>
        </w:div>
        <w:div w:id="1912764050">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56674-eiropas-savienibas-kohezijas-politikas-programmas-20212027-gadam-611-specifiska-atbalsta-merka-parejas-uz-klimatneitralitati-radito-ekonomisko-socialo-un-vides-seku-mazinasana-visvairak-skartajos-regionos-6112-pasakuma-petniecibas-attistiba-dabas-resursu-ilgtspejigai-izmantosanai-vides-un-klimata-merku-konteksta-istenosanas-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3E4018BECFA2041A654C630CBF3D616" ma:contentTypeVersion="16" ma:contentTypeDescription="Izveidot jaunu dokumentu." ma:contentTypeScope="" ma:versionID="a5fb4dc36f1129be75ca9ba4c929efb4">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e14f405282eccbbee873715015b6fa7c"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0a5c478-70da-4e6f-b4c8-7ea1b194223d}"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AF34BE-ED4C-4328-97A8-23953F3FBC49}"/>
</file>

<file path=customXml/itemProps2.xml><?xml version="1.0" encoding="utf-8"?>
<ds:datastoreItem xmlns:ds="http://schemas.openxmlformats.org/officeDocument/2006/customXml" ds:itemID="{BD9943A3-78FD-4158-8CD4-7FC34ACF5F34}">
  <ds:schemaRefs>
    <ds:schemaRef ds:uri="http://schemas.microsoft.com/office/2006/metadata/properties"/>
    <ds:schemaRef ds:uri="http://schemas.microsoft.com/office/infopath/2007/PartnerControls"/>
    <ds:schemaRef ds:uri="bd659194-de00-4ccd-bb95-b10d17529a5f"/>
    <ds:schemaRef ds:uri="027db945-d6b9-442b-b2c1-2b991705272a"/>
  </ds:schemaRefs>
</ds:datastoreItem>
</file>

<file path=customXml/itemProps3.xml><?xml version="1.0" encoding="utf-8"?>
<ds:datastoreItem xmlns:ds="http://schemas.openxmlformats.org/officeDocument/2006/customXml" ds:itemID="{78E3FD8C-3076-47EE-9ACC-3BD8B6ECFC5B}">
  <ds:schemaRefs>
    <ds:schemaRef ds:uri="http://schemas.openxmlformats.org/officeDocument/2006/bibliography"/>
  </ds:schemaRefs>
</ds:datastoreItem>
</file>

<file path=customXml/itemProps4.xml><?xml version="1.0" encoding="utf-8"?>
<ds:datastoreItem xmlns:ds="http://schemas.openxmlformats.org/officeDocument/2006/customXml" ds:itemID="{20136F21-789A-4069-B71B-FEB0A4DE6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4942</Words>
  <Characters>2818</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Usāre</dc:creator>
  <cp:keywords/>
  <cp:lastModifiedBy>Madara Ose</cp:lastModifiedBy>
  <cp:revision>5</cp:revision>
  <dcterms:created xsi:type="dcterms:W3CDTF">2026-04-09T08:19:00Z</dcterms:created>
  <dcterms:modified xsi:type="dcterms:W3CDTF">2026-04-09T12:34:00Z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y fmtid="{D5CDD505-2E9C-101B-9397-08002B2CF9AE}" pid="3" name="MediaServiceImageTags">
    <vt:lpwstr/>
  </property>
  <property fmtid="{D5CDD505-2E9C-101B-9397-08002B2CF9AE}" pid="4" name="docLang">
    <vt:lpwstr>en</vt:lpwstr>
  </property>
</Properties>
</file>