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A0F1F" w14:textId="77777777" w:rsidR="00DD5F9B" w:rsidRDefault="00DD5F9B">
      <w:pPr>
        <w:rPr>
          <w:b/>
          <w:bCs/>
          <w:i/>
          <w:iCs/>
          <w:sz w:val="20"/>
          <w:szCs w:val="20"/>
          <w:u w:val="single"/>
        </w:rPr>
      </w:pPr>
    </w:p>
    <w:p w14:paraId="41D7950D" w14:textId="28DB19E6" w:rsidR="005E1D0A" w:rsidRPr="00DD5F9B" w:rsidRDefault="005E1D0A">
      <w:pPr>
        <w:rPr>
          <w:b/>
          <w:bCs/>
          <w:i/>
          <w:iCs/>
          <w:sz w:val="20"/>
          <w:szCs w:val="20"/>
          <w:u w:val="single"/>
        </w:rPr>
      </w:pPr>
      <w:r w:rsidRPr="00DD5F9B">
        <w:rPr>
          <w:b/>
          <w:bCs/>
          <w:i/>
          <w:iCs/>
          <w:sz w:val="20"/>
          <w:szCs w:val="20"/>
          <w:u w:val="single"/>
        </w:rPr>
        <w:t xml:space="preserve">Skaidrojums </w:t>
      </w:r>
      <w:r w:rsidR="00CE49B4">
        <w:rPr>
          <w:b/>
          <w:bCs/>
          <w:i/>
          <w:iCs/>
          <w:sz w:val="20"/>
          <w:szCs w:val="20"/>
          <w:u w:val="single"/>
        </w:rPr>
        <w:t xml:space="preserve">MKN </w:t>
      </w:r>
      <w:r w:rsidR="00C621CC">
        <w:rPr>
          <w:b/>
          <w:bCs/>
          <w:i/>
          <w:iCs/>
          <w:sz w:val="20"/>
          <w:szCs w:val="20"/>
          <w:u w:val="single"/>
        </w:rPr>
        <w:t xml:space="preserve">projekta </w:t>
      </w:r>
      <w:r w:rsidRPr="00DD5F9B">
        <w:rPr>
          <w:b/>
          <w:bCs/>
          <w:i/>
          <w:iCs/>
          <w:sz w:val="20"/>
          <w:szCs w:val="20"/>
          <w:u w:val="single"/>
        </w:rPr>
        <w:t>anotācijā:</w:t>
      </w:r>
    </w:p>
    <w:p w14:paraId="6BD8D00A" w14:textId="355D7A6C" w:rsidR="009D09C8" w:rsidRPr="00DD5F9B" w:rsidRDefault="005E1D0A" w:rsidP="007E79B7">
      <w:pPr>
        <w:jc w:val="both"/>
        <w:rPr>
          <w:sz w:val="20"/>
          <w:szCs w:val="20"/>
        </w:rPr>
      </w:pPr>
      <w:r w:rsidRPr="00DD5F9B">
        <w:rPr>
          <w:sz w:val="20"/>
          <w:szCs w:val="20"/>
        </w:rPr>
        <w:t xml:space="preserve">Programmas rezultāta rādītāja “66 555 000 </w:t>
      </w:r>
      <w:r w:rsidRPr="00DD5F9B">
        <w:rPr>
          <w:i/>
          <w:sz w:val="20"/>
          <w:szCs w:val="20"/>
        </w:rPr>
        <w:t>euro</w:t>
      </w:r>
      <w:r w:rsidRPr="00DD5F9B">
        <w:rPr>
          <w:sz w:val="20"/>
          <w:szCs w:val="20"/>
        </w:rPr>
        <w:t xml:space="preserve"> darba algu fonda pieaugums privātajos komersantos” sasniegšanā ir pieļaujama gan jaunu darbavietu radīšana, gan esošo darbavietu algu fonda palielināšana, proti, rādītāja izpildē tiks ieskaitīts gan jaunradīto darbavietu, gan esošo darbavietu darba samaksas pieaugums kumulatīvi – izmaksas, kas radušās komersantam. Rādītāju vērtības varēs ieskaitīt un summēt, ja tās radušās divu kalendāra gadu laikā pirms projekta iesnieguma iesniegšanas un ne vēlāk kā trešajā kalendāra gadā pēc projekta noslēguma maksājuma veikšanas, nepārsniedzot 2029. gada 31. decembri. Rādītāja vērtības tiks pārbaudītas VID datu bāzē (datu noliktava). Piemēram,  ja projektu iesniedz 2024. gadā, tad bāzes gads</w:t>
      </w:r>
      <w:r w:rsidR="00081306">
        <w:rPr>
          <w:sz w:val="20"/>
          <w:szCs w:val="20"/>
        </w:rPr>
        <w:t>,</w:t>
      </w:r>
      <w:r w:rsidRPr="00DD5F9B">
        <w:rPr>
          <w:sz w:val="20"/>
          <w:szCs w:val="20"/>
        </w:rPr>
        <w:t xml:space="preserve"> pret kuru tiks vērtēta rādītāju sasniegšana, ir 2021. gads</w:t>
      </w:r>
      <w:r w:rsidR="007006CF" w:rsidRPr="00DD5F9B">
        <w:rPr>
          <w:sz w:val="20"/>
          <w:szCs w:val="20"/>
        </w:rPr>
        <w:t xml:space="preserve">, </w:t>
      </w:r>
      <w:r w:rsidR="006536CF" w:rsidRPr="00DD5F9B">
        <w:rPr>
          <w:rStyle w:val="ui-provider"/>
          <w:sz w:val="20"/>
          <w:szCs w:val="20"/>
        </w:rPr>
        <w:t>par kur</w:t>
      </w:r>
      <w:r w:rsidR="007006CF" w:rsidRPr="00DD5F9B">
        <w:rPr>
          <w:rStyle w:val="ui-provider"/>
          <w:sz w:val="20"/>
          <w:szCs w:val="20"/>
        </w:rPr>
        <w:t>u</w:t>
      </w:r>
      <w:r w:rsidR="006536CF" w:rsidRPr="00DD5F9B">
        <w:rPr>
          <w:rStyle w:val="ui-provider"/>
          <w:sz w:val="20"/>
          <w:szCs w:val="20"/>
        </w:rPr>
        <w:t xml:space="preserve"> komersants gada pārskatu iesniedz VID 2022. gada pirmajā pusē</w:t>
      </w:r>
      <w:r w:rsidR="006536CF" w:rsidRPr="00DD5F9B">
        <w:rPr>
          <w:sz w:val="20"/>
          <w:szCs w:val="20"/>
        </w:rPr>
        <w:t xml:space="preserve"> </w:t>
      </w:r>
      <w:r w:rsidR="00751906" w:rsidRPr="00DD5F9B">
        <w:rPr>
          <w:rStyle w:val="ui-provider"/>
          <w:sz w:val="20"/>
          <w:szCs w:val="20"/>
        </w:rPr>
        <w:t>(vērtē 2022</w:t>
      </w:r>
      <w:r w:rsidR="00FA39A6" w:rsidRPr="00DD5F9B">
        <w:rPr>
          <w:rStyle w:val="ui-provider"/>
          <w:sz w:val="20"/>
          <w:szCs w:val="20"/>
        </w:rPr>
        <w:t>.</w:t>
      </w:r>
      <w:r w:rsidR="00751906" w:rsidRPr="00DD5F9B">
        <w:rPr>
          <w:rStyle w:val="ui-provider"/>
          <w:sz w:val="20"/>
          <w:szCs w:val="20"/>
        </w:rPr>
        <w:t xml:space="preserve"> un 2023. gada datus pret 2021.</w:t>
      </w:r>
      <w:r w:rsidR="00FA39A6" w:rsidRPr="00DD5F9B">
        <w:rPr>
          <w:rStyle w:val="ui-provider"/>
          <w:sz w:val="20"/>
          <w:szCs w:val="20"/>
        </w:rPr>
        <w:t xml:space="preserve"> gad</w:t>
      </w:r>
      <w:r w:rsidR="00641EF5" w:rsidRPr="00DD5F9B">
        <w:rPr>
          <w:rStyle w:val="ui-provider"/>
          <w:sz w:val="20"/>
          <w:szCs w:val="20"/>
        </w:rPr>
        <w:t>a datiem</w:t>
      </w:r>
      <w:r w:rsidR="007006CF" w:rsidRPr="00DD5F9B">
        <w:rPr>
          <w:rStyle w:val="ui-provider"/>
          <w:sz w:val="20"/>
          <w:szCs w:val="20"/>
        </w:rPr>
        <w:t>).</w:t>
      </w:r>
      <w:r w:rsidR="00814990" w:rsidRPr="00DD5F9B">
        <w:rPr>
          <w:rStyle w:val="ui-provider"/>
          <w:sz w:val="20"/>
          <w:szCs w:val="20"/>
        </w:rPr>
        <w:t xml:space="preserve"> </w:t>
      </w:r>
      <w:r w:rsidRPr="00DD5F9B">
        <w:rPr>
          <w:sz w:val="20"/>
          <w:szCs w:val="20"/>
        </w:rPr>
        <w:t xml:space="preserve">Ja šī projekta īstenošana tiks pabeigta 2026. gadā, tad rādītāju vērtības var ieskaitīt līdz 2029. gadam </w:t>
      </w:r>
      <w:r w:rsidR="00A344A9" w:rsidRPr="00DD5F9B">
        <w:rPr>
          <w:sz w:val="20"/>
          <w:szCs w:val="20"/>
        </w:rPr>
        <w:t>(</w:t>
      </w:r>
      <w:r w:rsidR="00FE7B1E" w:rsidRPr="00DD5F9B">
        <w:rPr>
          <w:sz w:val="20"/>
          <w:szCs w:val="20"/>
        </w:rPr>
        <w:t>ieskaitot</w:t>
      </w:r>
      <w:r w:rsidR="00A344A9" w:rsidRPr="00DD5F9B">
        <w:rPr>
          <w:sz w:val="20"/>
          <w:szCs w:val="20"/>
        </w:rPr>
        <w:t xml:space="preserve">), </w:t>
      </w:r>
      <w:r w:rsidR="00CC77EE" w:rsidRPr="00DD5F9B">
        <w:rPr>
          <w:sz w:val="20"/>
          <w:szCs w:val="20"/>
        </w:rPr>
        <w:t xml:space="preserve">proti, </w:t>
      </w:r>
      <w:r w:rsidR="00F81C77" w:rsidRPr="00DD5F9B">
        <w:rPr>
          <w:sz w:val="20"/>
          <w:szCs w:val="20"/>
        </w:rPr>
        <w:t>ņem vērā</w:t>
      </w:r>
      <w:r w:rsidR="00CC77EE" w:rsidRPr="00DD5F9B">
        <w:rPr>
          <w:sz w:val="20"/>
          <w:szCs w:val="20"/>
        </w:rPr>
        <w:t xml:space="preserve"> </w:t>
      </w:r>
      <w:r w:rsidR="0058117D" w:rsidRPr="00DD5F9B">
        <w:rPr>
          <w:sz w:val="20"/>
          <w:szCs w:val="20"/>
        </w:rPr>
        <w:t xml:space="preserve">no 2024. – 2029. gadam  (ieskaitot) </w:t>
      </w:r>
      <w:r w:rsidR="00A344A9" w:rsidRPr="00DD5F9B">
        <w:rPr>
          <w:sz w:val="20"/>
          <w:szCs w:val="20"/>
        </w:rPr>
        <w:t>VID datu bāzē pieejamo</w:t>
      </w:r>
      <w:r w:rsidR="00E825CD" w:rsidRPr="00DD5F9B">
        <w:rPr>
          <w:sz w:val="20"/>
          <w:szCs w:val="20"/>
        </w:rPr>
        <w:t xml:space="preserve"> aktuālo</w:t>
      </w:r>
      <w:r w:rsidR="00A344A9" w:rsidRPr="00DD5F9B">
        <w:rPr>
          <w:sz w:val="20"/>
          <w:szCs w:val="20"/>
        </w:rPr>
        <w:t xml:space="preserve"> informāciju</w:t>
      </w:r>
      <w:r w:rsidR="00175639" w:rsidRPr="00DD5F9B">
        <w:rPr>
          <w:sz w:val="20"/>
          <w:szCs w:val="20"/>
        </w:rPr>
        <w:t>.</w:t>
      </w:r>
      <w:r w:rsidR="00A344A9" w:rsidRPr="00DD5F9B">
        <w:rPr>
          <w:sz w:val="20"/>
          <w:szCs w:val="20"/>
        </w:rPr>
        <w:t xml:space="preserve"> </w:t>
      </w:r>
      <w:r w:rsidRPr="00DD5F9B">
        <w:rPr>
          <w:sz w:val="20"/>
          <w:szCs w:val="20"/>
        </w:rPr>
        <w:t xml:space="preserve">Piemēram, ja projektā paredzēta gan </w:t>
      </w:r>
      <w:r w:rsidR="007E1D0E" w:rsidRPr="00DD5F9B">
        <w:rPr>
          <w:sz w:val="20"/>
          <w:szCs w:val="20"/>
        </w:rPr>
        <w:t>uzņēmējdarbības attīstībai nepieciešamā ceļa</w:t>
      </w:r>
      <w:r w:rsidRPr="00DD5F9B">
        <w:rPr>
          <w:sz w:val="20"/>
          <w:szCs w:val="20"/>
        </w:rPr>
        <w:t xml:space="preserve">, gan  </w:t>
      </w:r>
      <w:r w:rsidR="00C92AF0" w:rsidRPr="00DD5F9B">
        <w:rPr>
          <w:sz w:val="20"/>
          <w:szCs w:val="20"/>
        </w:rPr>
        <w:t>uzņēmējdarbības</w:t>
      </w:r>
      <w:r w:rsidR="009B562D" w:rsidRPr="00DD5F9B">
        <w:rPr>
          <w:sz w:val="20"/>
          <w:szCs w:val="20"/>
        </w:rPr>
        <w:t xml:space="preserve"> mērķiem paredzētās</w:t>
      </w:r>
      <w:r w:rsidR="00C92AF0" w:rsidRPr="00DD5F9B">
        <w:rPr>
          <w:sz w:val="20"/>
          <w:szCs w:val="20"/>
        </w:rPr>
        <w:t xml:space="preserve"> ēkas </w:t>
      </w:r>
      <w:r w:rsidRPr="00DD5F9B">
        <w:rPr>
          <w:sz w:val="20"/>
          <w:szCs w:val="20"/>
        </w:rPr>
        <w:t>būvniecība, tad tiks ieskaitītas</w:t>
      </w:r>
      <w:r w:rsidR="00324488" w:rsidRPr="00DD5F9B">
        <w:rPr>
          <w:sz w:val="20"/>
          <w:szCs w:val="20"/>
        </w:rPr>
        <w:t xml:space="preserve"> komersantu, kas atrodas pie ceļa</w:t>
      </w:r>
      <w:r w:rsidR="00A51615" w:rsidRPr="00DD5F9B">
        <w:rPr>
          <w:sz w:val="20"/>
          <w:szCs w:val="20"/>
        </w:rPr>
        <w:t>,</w:t>
      </w:r>
      <w:r w:rsidRPr="00DD5F9B">
        <w:rPr>
          <w:sz w:val="20"/>
          <w:szCs w:val="20"/>
        </w:rPr>
        <w:t xml:space="preserve"> rādītāju vērtības no 2022. līdz 2029. gadam kumulatīvi, tās summējot. </w:t>
      </w:r>
      <w:r w:rsidR="00A51615" w:rsidRPr="00DD5F9B">
        <w:rPr>
          <w:sz w:val="20"/>
          <w:szCs w:val="20"/>
        </w:rPr>
        <w:t>Savukārt, a</w:t>
      </w:r>
      <w:r w:rsidRPr="00DD5F9B">
        <w:rPr>
          <w:sz w:val="20"/>
          <w:szCs w:val="20"/>
        </w:rPr>
        <w:t>ttiecībā uz</w:t>
      </w:r>
      <w:r w:rsidR="0046402B" w:rsidRPr="00DD5F9B">
        <w:rPr>
          <w:sz w:val="20"/>
          <w:szCs w:val="20"/>
        </w:rPr>
        <w:t xml:space="preserve"> piemērā minētās</w:t>
      </w:r>
      <w:r w:rsidRPr="00DD5F9B">
        <w:rPr>
          <w:sz w:val="20"/>
          <w:szCs w:val="20"/>
        </w:rPr>
        <w:t xml:space="preserve"> ēkas būvniecību, ja ēka tiks izbūvēta 2026. gadā, tiks ieskaitītas komersanta rādītāju vērtības no 2027. līdz 2029. gadam</w:t>
      </w:r>
      <w:r w:rsidR="00770CC5" w:rsidRPr="00DD5F9B">
        <w:rPr>
          <w:sz w:val="20"/>
          <w:szCs w:val="20"/>
        </w:rPr>
        <w:t xml:space="preserve"> kumulatīvi, tās summējot</w:t>
      </w:r>
      <w:r w:rsidRPr="00DD5F9B">
        <w:rPr>
          <w:sz w:val="20"/>
          <w:szCs w:val="20"/>
        </w:rPr>
        <w:t>. Šādā kompleksā projektā tiks vērtēta rādītāju sasniegšan</w:t>
      </w:r>
      <w:r w:rsidR="00F5458D" w:rsidRPr="00DD5F9B">
        <w:rPr>
          <w:sz w:val="20"/>
          <w:szCs w:val="20"/>
        </w:rPr>
        <w:t>a</w:t>
      </w:r>
      <w:r w:rsidRPr="00DD5F9B">
        <w:rPr>
          <w:sz w:val="20"/>
          <w:szCs w:val="20"/>
        </w:rPr>
        <w:t xml:space="preserve"> </w:t>
      </w:r>
      <w:r w:rsidR="00300007" w:rsidRPr="00DD5F9B">
        <w:rPr>
          <w:sz w:val="20"/>
          <w:szCs w:val="20"/>
        </w:rPr>
        <w:t xml:space="preserve">projektā </w:t>
      </w:r>
      <w:r w:rsidRPr="00DD5F9B">
        <w:rPr>
          <w:sz w:val="20"/>
          <w:szCs w:val="20"/>
        </w:rPr>
        <w:t>kopumā,  neizdalot atsevišķi to sasniegšanu pret izbūvēto ceļu vai ēku, līdz ar  to</w:t>
      </w:r>
      <w:r w:rsidR="00A80877" w:rsidRPr="00DD5F9B">
        <w:rPr>
          <w:sz w:val="20"/>
          <w:szCs w:val="20"/>
        </w:rPr>
        <w:t xml:space="preserve"> projektos, kuros ir paredzētas kompleksas darbības un kuros rādītāju devēji ir vairāki komersanti, </w:t>
      </w:r>
      <w:r w:rsidR="00846FEC" w:rsidRPr="00DD5F9B">
        <w:rPr>
          <w:sz w:val="20"/>
          <w:szCs w:val="20"/>
        </w:rPr>
        <w:t>pašvaldība var</w:t>
      </w:r>
      <w:r w:rsidRPr="00DD5F9B">
        <w:rPr>
          <w:sz w:val="20"/>
          <w:szCs w:val="20"/>
        </w:rPr>
        <w:t xml:space="preserve"> vadīt </w:t>
      </w:r>
      <w:r w:rsidR="009978B4" w:rsidRPr="00DD5F9B">
        <w:rPr>
          <w:sz w:val="20"/>
          <w:szCs w:val="20"/>
        </w:rPr>
        <w:t xml:space="preserve">rādītāju nesasniegšanas riskus gadījumā, ja kādam no komersantiem projekta īstenošanas laikā mainās </w:t>
      </w:r>
      <w:r w:rsidR="002C24C2" w:rsidRPr="00DD5F9B">
        <w:rPr>
          <w:sz w:val="20"/>
          <w:szCs w:val="20"/>
        </w:rPr>
        <w:t>plānotā rādītāju izpilde</w:t>
      </w:r>
      <w:r w:rsidRPr="00DD5F9B">
        <w:rPr>
          <w:sz w:val="20"/>
          <w:szCs w:val="20"/>
        </w:rPr>
        <w:t>. Proti, ja kāds no komersantiem nesasniedz plānotās rādītāju vērtības, bet cits komersants tās pārsniedz, tiks vērtēta rādītāju vērtību izpilde projektā kopumā. Atbilstoši RPP</w:t>
      </w:r>
      <w:r w:rsidR="00BB6926" w:rsidRPr="00DD5F9B">
        <w:rPr>
          <w:rStyle w:val="FootnoteReference"/>
          <w:sz w:val="20"/>
          <w:szCs w:val="20"/>
        </w:rPr>
        <w:footnoteReference w:id="2"/>
      </w:r>
      <w:r w:rsidRPr="00DD5F9B">
        <w:rPr>
          <w:sz w:val="20"/>
          <w:szCs w:val="20"/>
        </w:rPr>
        <w:t xml:space="preserve"> nozīmīgās atšķirības ekonomiskajā aktivitātē tiešā veidā ietekmē pašvaldību budžetu apjomus, jo pašvaldībās, kurās ir zemāka ekonomiskā aktivitāte (lielāks bezdarbs u.c.) un zemāka vidējā alga, ir mazāki nodokļu ieņēmumi. </w:t>
      </w:r>
      <w:r w:rsidR="00946113" w:rsidRPr="00DD5F9B">
        <w:rPr>
          <w:sz w:val="20"/>
          <w:szCs w:val="20"/>
        </w:rPr>
        <w:t xml:space="preserve">Savukārt jaunu darba vietu izveide palielina konkurenci starp darba devējiem, tādējādi veicinot vidējās algas un labklājības pieaugumu.  </w:t>
      </w:r>
      <w:r w:rsidRPr="00DD5F9B">
        <w:rPr>
          <w:sz w:val="20"/>
          <w:szCs w:val="20"/>
        </w:rPr>
        <w:t xml:space="preserve">Ņemot vērā cilvēkresursu trūkumu reģionos, ir būtiski veidot tādus atbalsta instrumentus, kas tiešā veidā būtu mērķēti uz darba algu pieaugumu un cilvēkresursu piesaisti reģioniem. Līdz ar to, lai veicinātu reģionālās politikas mērķi, kas ir radīt priekšnosacījumus visu reģionu ekonomiskā potenciāla attīstībai un sociālekonomisko atšķirību mazināšanai reģionos, ir būtiski radīt un attīstīt tādas darbavietas, kur </w:t>
      </w:r>
      <w:r w:rsidR="00154FA9" w:rsidRPr="00DD5F9B">
        <w:rPr>
          <w:sz w:val="20"/>
          <w:szCs w:val="20"/>
        </w:rPr>
        <w:t>algu līmenis ir</w:t>
      </w:r>
      <w:r w:rsidRPr="00DD5F9B">
        <w:rPr>
          <w:sz w:val="20"/>
          <w:szCs w:val="20"/>
        </w:rPr>
        <w:t xml:space="preserve"> virs vidējā valst</w:t>
      </w:r>
      <w:r w:rsidR="00154FA9" w:rsidRPr="00DD5F9B">
        <w:rPr>
          <w:sz w:val="20"/>
          <w:szCs w:val="20"/>
        </w:rPr>
        <w:t>ī</w:t>
      </w:r>
      <w:r w:rsidR="008B2012" w:rsidRPr="00DD5F9B">
        <w:rPr>
          <w:sz w:val="20"/>
          <w:szCs w:val="20"/>
        </w:rPr>
        <w:t>, attiecīgi,</w:t>
      </w:r>
      <w:r w:rsidR="001A384E" w:rsidRPr="00DD5F9B">
        <w:rPr>
          <w:sz w:val="20"/>
          <w:szCs w:val="20"/>
        </w:rPr>
        <w:t xml:space="preserve"> pašvaldībām</w:t>
      </w:r>
      <w:r w:rsidR="00231D3B" w:rsidRPr="00DD5F9B">
        <w:rPr>
          <w:sz w:val="20"/>
          <w:szCs w:val="20"/>
        </w:rPr>
        <w:t xml:space="preserve"> būtu</w:t>
      </w:r>
      <w:r w:rsidR="00C611C4" w:rsidRPr="00DD5F9B">
        <w:rPr>
          <w:sz w:val="20"/>
          <w:szCs w:val="20"/>
        </w:rPr>
        <w:t xml:space="preserve"> jāizvērtē iespēja</w:t>
      </w:r>
      <w:r w:rsidR="00231D3B" w:rsidRPr="00DD5F9B">
        <w:rPr>
          <w:sz w:val="20"/>
          <w:szCs w:val="20"/>
        </w:rPr>
        <w:t xml:space="preserve"> prioritāri </w:t>
      </w:r>
      <w:r w:rsidR="008B2012" w:rsidRPr="00DD5F9B">
        <w:rPr>
          <w:sz w:val="20"/>
          <w:szCs w:val="20"/>
        </w:rPr>
        <w:t xml:space="preserve"> </w:t>
      </w:r>
      <w:r w:rsidR="00C611C4" w:rsidRPr="00DD5F9B">
        <w:rPr>
          <w:sz w:val="20"/>
          <w:szCs w:val="20"/>
        </w:rPr>
        <w:t xml:space="preserve">attīstīt tādas </w:t>
      </w:r>
      <w:r w:rsidR="00E576DB" w:rsidRPr="00DD5F9B">
        <w:rPr>
          <w:sz w:val="20"/>
          <w:szCs w:val="20"/>
        </w:rPr>
        <w:t xml:space="preserve">komersantu pieprasījumā balstītas </w:t>
      </w:r>
      <w:r w:rsidR="00C611C4" w:rsidRPr="00DD5F9B">
        <w:rPr>
          <w:sz w:val="20"/>
          <w:szCs w:val="20"/>
        </w:rPr>
        <w:t>uzņēmējdarbības teritorijas, kas veicina iepriekš minēto reģionālās politikas mērķu</w:t>
      </w:r>
      <w:r w:rsidR="000B58C2" w:rsidRPr="00DD5F9B">
        <w:rPr>
          <w:sz w:val="20"/>
          <w:szCs w:val="20"/>
        </w:rPr>
        <w:t xml:space="preserve"> izpildi.</w:t>
      </w:r>
    </w:p>
    <w:p w14:paraId="67B1F900" w14:textId="4E213AC7" w:rsidR="000678F0" w:rsidRPr="00DD5F9B" w:rsidRDefault="000678F0" w:rsidP="009D09C8">
      <w:pPr>
        <w:spacing w:before="120"/>
        <w:rPr>
          <w:b/>
          <w:bCs/>
          <w:sz w:val="20"/>
          <w:szCs w:val="20"/>
          <w:u w:val="single"/>
        </w:rPr>
      </w:pPr>
      <w:r w:rsidRPr="00DD5F9B">
        <w:rPr>
          <w:b/>
          <w:bCs/>
          <w:sz w:val="20"/>
          <w:szCs w:val="20"/>
          <w:u w:val="single"/>
        </w:rPr>
        <w:t>Projekta piemērs:</w:t>
      </w:r>
    </w:p>
    <w:p w14:paraId="5B8FBBE5" w14:textId="2F4FCB0F" w:rsidR="000678F0" w:rsidRPr="00DD5F9B" w:rsidRDefault="000678F0">
      <w:pPr>
        <w:rPr>
          <w:sz w:val="20"/>
          <w:szCs w:val="20"/>
        </w:rPr>
      </w:pPr>
      <w:r w:rsidRPr="00DD5F9B">
        <w:rPr>
          <w:sz w:val="20"/>
          <w:szCs w:val="20"/>
        </w:rPr>
        <w:t xml:space="preserve">ERAF finansējums 1 milj. </w:t>
      </w:r>
      <w:r w:rsidRPr="00DD5F9B">
        <w:rPr>
          <w:i/>
          <w:iCs/>
          <w:sz w:val="20"/>
          <w:szCs w:val="20"/>
        </w:rPr>
        <w:t>euro</w:t>
      </w:r>
    </w:p>
    <w:p w14:paraId="2CD00E99" w14:textId="6B0B523B" w:rsidR="000678F0" w:rsidRPr="00DD5F9B" w:rsidRDefault="000678F0">
      <w:pPr>
        <w:rPr>
          <w:sz w:val="20"/>
          <w:szCs w:val="20"/>
        </w:rPr>
      </w:pPr>
      <w:r w:rsidRPr="00DD5F9B">
        <w:rPr>
          <w:sz w:val="20"/>
          <w:szCs w:val="20"/>
        </w:rPr>
        <w:t>Darba algu fonda pieaugums: min. 500 000</w:t>
      </w:r>
      <w:r w:rsidRPr="00DD5F9B">
        <w:rPr>
          <w:i/>
          <w:iCs/>
          <w:sz w:val="20"/>
          <w:szCs w:val="20"/>
        </w:rPr>
        <w:t xml:space="preserve"> euro</w:t>
      </w:r>
    </w:p>
    <w:p w14:paraId="43693309" w14:textId="5493A57D" w:rsidR="000678F0" w:rsidRPr="00DD5F9B" w:rsidRDefault="000678F0">
      <w:pPr>
        <w:rPr>
          <w:sz w:val="20"/>
          <w:szCs w:val="20"/>
        </w:rPr>
      </w:pPr>
      <w:r w:rsidRPr="00DD5F9B">
        <w:rPr>
          <w:sz w:val="20"/>
          <w:szCs w:val="20"/>
        </w:rPr>
        <w:t>Projektu iesniedz 2024. gadā</w:t>
      </w:r>
      <w:r w:rsidR="00412E89" w:rsidRPr="00DD5F9B">
        <w:rPr>
          <w:sz w:val="20"/>
          <w:szCs w:val="20"/>
        </w:rPr>
        <w:t>, pabeidz 2026. gadā</w:t>
      </w:r>
      <w:r w:rsidR="00AA0C3E" w:rsidRPr="00DD5F9B">
        <w:rPr>
          <w:sz w:val="20"/>
          <w:szCs w:val="20"/>
        </w:rPr>
        <w:t xml:space="preserve"> </w:t>
      </w:r>
    </w:p>
    <w:p w14:paraId="056212B2" w14:textId="3E4D8C35" w:rsidR="000678F0" w:rsidRPr="00DD5F9B" w:rsidRDefault="000678F0" w:rsidP="00154FA9">
      <w:pPr>
        <w:spacing w:after="120"/>
        <w:rPr>
          <w:sz w:val="20"/>
          <w:szCs w:val="20"/>
        </w:rPr>
      </w:pPr>
      <w:r w:rsidRPr="00DD5F9B">
        <w:rPr>
          <w:sz w:val="20"/>
          <w:szCs w:val="20"/>
        </w:rPr>
        <w:t>Bāzes gads: 2021. gads</w:t>
      </w:r>
    </w:p>
    <w:tbl>
      <w:tblPr>
        <w:tblStyle w:val="TableGrid"/>
        <w:tblW w:w="15304" w:type="dxa"/>
        <w:tblLook w:val="04A0" w:firstRow="1" w:lastRow="0" w:firstColumn="1" w:lastColumn="0" w:noHBand="0" w:noVBand="1"/>
      </w:tblPr>
      <w:tblGrid>
        <w:gridCol w:w="498"/>
        <w:gridCol w:w="2045"/>
        <w:gridCol w:w="1659"/>
        <w:gridCol w:w="935"/>
        <w:gridCol w:w="935"/>
        <w:gridCol w:w="1067"/>
        <w:gridCol w:w="1067"/>
        <w:gridCol w:w="935"/>
        <w:gridCol w:w="989"/>
        <w:gridCol w:w="1064"/>
        <w:gridCol w:w="1275"/>
        <w:gridCol w:w="1598"/>
        <w:gridCol w:w="1237"/>
      </w:tblGrid>
      <w:tr w:rsidR="009E1604" w:rsidRPr="00DD5F9B" w14:paraId="649887D0" w14:textId="21C117B3" w:rsidTr="00C621CC">
        <w:tc>
          <w:tcPr>
            <w:tcW w:w="498" w:type="dxa"/>
            <w:vMerge w:val="restart"/>
            <w:vAlign w:val="center"/>
          </w:tcPr>
          <w:p w14:paraId="4C676C10" w14:textId="51CED2F6" w:rsidR="00154FA9" w:rsidRPr="00DD5F9B" w:rsidRDefault="00154FA9" w:rsidP="00C621CC">
            <w:pPr>
              <w:rPr>
                <w:b/>
                <w:bCs/>
                <w:sz w:val="20"/>
                <w:szCs w:val="20"/>
              </w:rPr>
            </w:pPr>
            <w:r w:rsidRPr="00DD5F9B">
              <w:rPr>
                <w:b/>
                <w:bCs/>
                <w:sz w:val="20"/>
                <w:szCs w:val="20"/>
              </w:rPr>
              <w:t>Nr.</w:t>
            </w:r>
          </w:p>
        </w:tc>
        <w:tc>
          <w:tcPr>
            <w:tcW w:w="2045" w:type="dxa"/>
            <w:vMerge w:val="restart"/>
            <w:vAlign w:val="center"/>
          </w:tcPr>
          <w:p w14:paraId="7B4D3B57" w14:textId="16AB8058" w:rsidR="00154FA9" w:rsidRPr="00DD5F9B" w:rsidRDefault="00154FA9" w:rsidP="00C621CC">
            <w:pPr>
              <w:jc w:val="center"/>
              <w:rPr>
                <w:b/>
                <w:bCs/>
                <w:sz w:val="20"/>
                <w:szCs w:val="20"/>
              </w:rPr>
            </w:pPr>
            <w:r w:rsidRPr="00DD5F9B">
              <w:rPr>
                <w:b/>
                <w:bCs/>
                <w:sz w:val="20"/>
                <w:szCs w:val="20"/>
              </w:rPr>
              <w:t>Projekta darbība</w:t>
            </w:r>
          </w:p>
        </w:tc>
        <w:tc>
          <w:tcPr>
            <w:tcW w:w="1659" w:type="dxa"/>
            <w:vMerge w:val="restart"/>
            <w:vAlign w:val="center"/>
          </w:tcPr>
          <w:p w14:paraId="5CEA6939" w14:textId="52839F0C" w:rsidR="00154FA9" w:rsidRPr="00DD5F9B" w:rsidRDefault="00154FA9" w:rsidP="00C621CC">
            <w:pPr>
              <w:jc w:val="center"/>
              <w:rPr>
                <w:b/>
                <w:bCs/>
                <w:sz w:val="20"/>
                <w:szCs w:val="20"/>
              </w:rPr>
            </w:pPr>
            <w:r w:rsidRPr="00DD5F9B">
              <w:rPr>
                <w:b/>
                <w:bCs/>
                <w:sz w:val="20"/>
                <w:szCs w:val="20"/>
              </w:rPr>
              <w:t>Komersants</w:t>
            </w:r>
            <w:r w:rsidR="001220C4" w:rsidRPr="00DD5F9B">
              <w:rPr>
                <w:rStyle w:val="FootnoteReference"/>
                <w:b/>
                <w:bCs/>
                <w:sz w:val="20"/>
                <w:szCs w:val="20"/>
              </w:rPr>
              <w:footnoteReference w:id="3"/>
            </w:r>
          </w:p>
        </w:tc>
        <w:tc>
          <w:tcPr>
            <w:tcW w:w="9865" w:type="dxa"/>
            <w:gridSpan w:val="9"/>
            <w:vAlign w:val="center"/>
          </w:tcPr>
          <w:p w14:paraId="4F65BC7D" w14:textId="74040D51" w:rsidR="00154FA9" w:rsidRPr="00DD5F9B" w:rsidRDefault="00154FA9" w:rsidP="00E625F6">
            <w:pPr>
              <w:jc w:val="center"/>
              <w:rPr>
                <w:b/>
                <w:bCs/>
                <w:sz w:val="20"/>
                <w:szCs w:val="20"/>
              </w:rPr>
            </w:pPr>
            <w:r w:rsidRPr="00DD5F9B">
              <w:rPr>
                <w:b/>
                <w:bCs/>
                <w:sz w:val="20"/>
                <w:szCs w:val="20"/>
              </w:rPr>
              <w:t>Darba algu izmaksa (euro) no VID datu noliktavas</w:t>
            </w:r>
            <w:r w:rsidRPr="00DD5F9B">
              <w:rPr>
                <w:rStyle w:val="FootnoteReference"/>
                <w:b/>
                <w:bCs/>
                <w:sz w:val="20"/>
                <w:szCs w:val="20"/>
              </w:rPr>
              <w:footnoteReference w:id="4"/>
            </w:r>
            <w:r w:rsidRPr="00DD5F9B">
              <w:rPr>
                <w:b/>
                <w:bCs/>
                <w:sz w:val="20"/>
                <w:szCs w:val="20"/>
              </w:rPr>
              <w:t xml:space="preserve"> (kopā euro/gadā)</w:t>
            </w:r>
          </w:p>
        </w:tc>
        <w:tc>
          <w:tcPr>
            <w:tcW w:w="1237" w:type="dxa"/>
            <w:vMerge w:val="restart"/>
            <w:vAlign w:val="center"/>
          </w:tcPr>
          <w:p w14:paraId="07B6E002" w14:textId="68114AD3" w:rsidR="00154FA9" w:rsidRPr="00DD5F9B" w:rsidRDefault="00154FA9" w:rsidP="00E625F6">
            <w:pPr>
              <w:jc w:val="center"/>
              <w:rPr>
                <w:b/>
                <w:bCs/>
                <w:sz w:val="20"/>
                <w:szCs w:val="20"/>
              </w:rPr>
            </w:pPr>
            <w:r w:rsidRPr="00DD5F9B">
              <w:rPr>
                <w:b/>
                <w:bCs/>
                <w:sz w:val="20"/>
                <w:szCs w:val="20"/>
              </w:rPr>
              <w:t>Darba algu fonda pieaugums KOPĀ, EUR</w:t>
            </w:r>
          </w:p>
        </w:tc>
      </w:tr>
      <w:tr w:rsidR="007F0A08" w:rsidRPr="00DD5F9B" w14:paraId="1D662445" w14:textId="0DBC6620" w:rsidTr="009E1604">
        <w:tc>
          <w:tcPr>
            <w:tcW w:w="498" w:type="dxa"/>
            <w:vMerge/>
          </w:tcPr>
          <w:p w14:paraId="1D1C5CCF" w14:textId="77777777" w:rsidR="00154FA9" w:rsidRPr="00DD5F9B" w:rsidRDefault="00154FA9" w:rsidP="00410873">
            <w:pPr>
              <w:jc w:val="center"/>
              <w:rPr>
                <w:b/>
                <w:bCs/>
                <w:sz w:val="20"/>
                <w:szCs w:val="20"/>
              </w:rPr>
            </w:pPr>
          </w:p>
        </w:tc>
        <w:tc>
          <w:tcPr>
            <w:tcW w:w="2045" w:type="dxa"/>
            <w:vMerge/>
          </w:tcPr>
          <w:p w14:paraId="67C6751B" w14:textId="36A96F37" w:rsidR="00154FA9" w:rsidRPr="00DD5F9B" w:rsidRDefault="00154FA9">
            <w:pPr>
              <w:rPr>
                <w:b/>
                <w:bCs/>
                <w:sz w:val="20"/>
                <w:szCs w:val="20"/>
              </w:rPr>
            </w:pPr>
          </w:p>
        </w:tc>
        <w:tc>
          <w:tcPr>
            <w:tcW w:w="1659" w:type="dxa"/>
            <w:vMerge/>
          </w:tcPr>
          <w:p w14:paraId="43878884" w14:textId="77777777" w:rsidR="00154FA9" w:rsidRPr="00DD5F9B" w:rsidRDefault="00154FA9">
            <w:pPr>
              <w:rPr>
                <w:b/>
                <w:bCs/>
                <w:sz w:val="20"/>
                <w:szCs w:val="20"/>
              </w:rPr>
            </w:pPr>
          </w:p>
        </w:tc>
        <w:tc>
          <w:tcPr>
            <w:tcW w:w="935" w:type="dxa"/>
            <w:vAlign w:val="center"/>
          </w:tcPr>
          <w:p w14:paraId="418D0585" w14:textId="71030E99" w:rsidR="00154FA9" w:rsidRPr="00DD5F9B" w:rsidRDefault="00154FA9" w:rsidP="009D2205">
            <w:pPr>
              <w:jc w:val="center"/>
              <w:rPr>
                <w:b/>
                <w:bCs/>
                <w:sz w:val="20"/>
                <w:szCs w:val="20"/>
              </w:rPr>
            </w:pPr>
            <w:r w:rsidRPr="00DD5F9B">
              <w:rPr>
                <w:b/>
                <w:bCs/>
                <w:sz w:val="20"/>
                <w:szCs w:val="20"/>
              </w:rPr>
              <w:t>2021</w:t>
            </w:r>
            <w:r w:rsidR="009D2205">
              <w:rPr>
                <w:b/>
                <w:bCs/>
                <w:sz w:val="20"/>
                <w:szCs w:val="20"/>
              </w:rPr>
              <w:t xml:space="preserve"> </w:t>
            </w:r>
            <w:r w:rsidR="009D2205" w:rsidRPr="009D2205">
              <w:rPr>
                <w:sz w:val="20"/>
                <w:szCs w:val="20"/>
              </w:rPr>
              <w:t>(bāzes gads)</w:t>
            </w:r>
          </w:p>
        </w:tc>
        <w:tc>
          <w:tcPr>
            <w:tcW w:w="935" w:type="dxa"/>
            <w:vAlign w:val="center"/>
          </w:tcPr>
          <w:p w14:paraId="5A19A9CA" w14:textId="5A1E635E" w:rsidR="00154FA9" w:rsidRPr="00DD5F9B" w:rsidRDefault="00154FA9" w:rsidP="009D2205">
            <w:pPr>
              <w:jc w:val="center"/>
              <w:rPr>
                <w:b/>
                <w:bCs/>
                <w:sz w:val="20"/>
                <w:szCs w:val="20"/>
              </w:rPr>
            </w:pPr>
            <w:r w:rsidRPr="00DD5F9B">
              <w:rPr>
                <w:b/>
                <w:bCs/>
                <w:sz w:val="20"/>
                <w:szCs w:val="20"/>
              </w:rPr>
              <w:t>2022</w:t>
            </w:r>
          </w:p>
        </w:tc>
        <w:tc>
          <w:tcPr>
            <w:tcW w:w="1067" w:type="dxa"/>
            <w:vAlign w:val="center"/>
          </w:tcPr>
          <w:p w14:paraId="2593887F" w14:textId="58280705" w:rsidR="00154FA9" w:rsidRPr="00DD5F9B" w:rsidRDefault="00154FA9" w:rsidP="009D2205">
            <w:pPr>
              <w:jc w:val="center"/>
              <w:rPr>
                <w:b/>
                <w:bCs/>
                <w:sz w:val="20"/>
                <w:szCs w:val="20"/>
              </w:rPr>
            </w:pPr>
            <w:r w:rsidRPr="00DD5F9B">
              <w:rPr>
                <w:b/>
                <w:bCs/>
                <w:sz w:val="20"/>
                <w:szCs w:val="20"/>
              </w:rPr>
              <w:t>2023</w:t>
            </w:r>
          </w:p>
        </w:tc>
        <w:tc>
          <w:tcPr>
            <w:tcW w:w="1067" w:type="dxa"/>
            <w:vAlign w:val="center"/>
          </w:tcPr>
          <w:p w14:paraId="27E82902" w14:textId="5FD200C8" w:rsidR="00154FA9" w:rsidRPr="00DD5F9B" w:rsidRDefault="00154FA9" w:rsidP="009D2205">
            <w:pPr>
              <w:jc w:val="center"/>
              <w:rPr>
                <w:b/>
                <w:bCs/>
                <w:sz w:val="20"/>
                <w:szCs w:val="20"/>
              </w:rPr>
            </w:pPr>
            <w:r w:rsidRPr="00DD5F9B">
              <w:rPr>
                <w:b/>
                <w:bCs/>
                <w:sz w:val="20"/>
                <w:szCs w:val="20"/>
              </w:rPr>
              <w:t>2024</w:t>
            </w:r>
          </w:p>
        </w:tc>
        <w:tc>
          <w:tcPr>
            <w:tcW w:w="935" w:type="dxa"/>
            <w:vAlign w:val="center"/>
          </w:tcPr>
          <w:p w14:paraId="107A0666" w14:textId="7104872D" w:rsidR="00154FA9" w:rsidRPr="00DD5F9B" w:rsidRDefault="00154FA9" w:rsidP="009D2205">
            <w:pPr>
              <w:jc w:val="center"/>
              <w:rPr>
                <w:b/>
                <w:bCs/>
                <w:sz w:val="20"/>
                <w:szCs w:val="20"/>
              </w:rPr>
            </w:pPr>
            <w:r w:rsidRPr="00DD5F9B">
              <w:rPr>
                <w:b/>
                <w:bCs/>
                <w:sz w:val="20"/>
                <w:szCs w:val="20"/>
              </w:rPr>
              <w:t>2025</w:t>
            </w:r>
          </w:p>
        </w:tc>
        <w:tc>
          <w:tcPr>
            <w:tcW w:w="989" w:type="dxa"/>
            <w:vAlign w:val="center"/>
          </w:tcPr>
          <w:p w14:paraId="34543446" w14:textId="74AC1AE9" w:rsidR="00154FA9" w:rsidRPr="00DD5F9B" w:rsidRDefault="00154FA9" w:rsidP="009D2205">
            <w:pPr>
              <w:jc w:val="center"/>
              <w:rPr>
                <w:b/>
                <w:bCs/>
                <w:sz w:val="20"/>
                <w:szCs w:val="20"/>
              </w:rPr>
            </w:pPr>
            <w:r w:rsidRPr="00DD5F9B">
              <w:rPr>
                <w:b/>
                <w:bCs/>
                <w:sz w:val="20"/>
                <w:szCs w:val="20"/>
              </w:rPr>
              <w:t>2026</w:t>
            </w:r>
          </w:p>
        </w:tc>
        <w:tc>
          <w:tcPr>
            <w:tcW w:w="1064" w:type="dxa"/>
            <w:vAlign w:val="center"/>
          </w:tcPr>
          <w:p w14:paraId="4C88698D" w14:textId="01C610D5" w:rsidR="00154FA9" w:rsidRPr="00DD5F9B" w:rsidRDefault="00154FA9" w:rsidP="009D2205">
            <w:pPr>
              <w:jc w:val="center"/>
              <w:rPr>
                <w:b/>
                <w:bCs/>
                <w:sz w:val="20"/>
                <w:szCs w:val="20"/>
              </w:rPr>
            </w:pPr>
            <w:r w:rsidRPr="00DD5F9B">
              <w:rPr>
                <w:b/>
                <w:bCs/>
                <w:sz w:val="20"/>
                <w:szCs w:val="20"/>
              </w:rPr>
              <w:t>2027</w:t>
            </w:r>
          </w:p>
        </w:tc>
        <w:tc>
          <w:tcPr>
            <w:tcW w:w="1275" w:type="dxa"/>
            <w:vAlign w:val="center"/>
          </w:tcPr>
          <w:p w14:paraId="774BF627" w14:textId="52DEAEA8" w:rsidR="00154FA9" w:rsidRPr="00DD5F9B" w:rsidRDefault="00154FA9" w:rsidP="009D2205">
            <w:pPr>
              <w:jc w:val="center"/>
              <w:rPr>
                <w:b/>
                <w:bCs/>
                <w:sz w:val="20"/>
                <w:szCs w:val="20"/>
              </w:rPr>
            </w:pPr>
            <w:r w:rsidRPr="00DD5F9B">
              <w:rPr>
                <w:b/>
                <w:bCs/>
                <w:sz w:val="20"/>
                <w:szCs w:val="20"/>
              </w:rPr>
              <w:t>2028</w:t>
            </w:r>
            <w:r w:rsidR="009451F0" w:rsidRPr="009451F0">
              <w:rPr>
                <w:rStyle w:val="FootnoteReference"/>
                <w:b/>
                <w:bCs/>
                <w:i/>
                <w:iCs/>
                <w:sz w:val="20"/>
                <w:szCs w:val="20"/>
              </w:rPr>
              <w:footnoteReference w:id="5"/>
            </w:r>
            <w:r w:rsidR="00DB19C5">
              <w:rPr>
                <w:b/>
                <w:bCs/>
                <w:sz w:val="20"/>
                <w:szCs w:val="20"/>
              </w:rPr>
              <w:t xml:space="preserve"> </w:t>
            </w:r>
            <w:r w:rsidR="00DB19C5" w:rsidRPr="008A0690">
              <w:rPr>
                <w:sz w:val="18"/>
                <w:szCs w:val="18"/>
              </w:rPr>
              <w:t>(rādītāj</w:t>
            </w:r>
            <w:r w:rsidR="008A0690" w:rsidRPr="008A0690">
              <w:rPr>
                <w:sz w:val="18"/>
                <w:szCs w:val="18"/>
              </w:rPr>
              <w:t>a vērtība</w:t>
            </w:r>
            <w:r w:rsidR="00DB19C5" w:rsidRPr="008A0690">
              <w:rPr>
                <w:sz w:val="18"/>
                <w:szCs w:val="18"/>
              </w:rPr>
              <w:t xml:space="preserve"> sasnieg</w:t>
            </w:r>
            <w:r w:rsidR="008A0690" w:rsidRPr="008A0690">
              <w:rPr>
                <w:sz w:val="18"/>
                <w:szCs w:val="18"/>
              </w:rPr>
              <w:t>ta</w:t>
            </w:r>
            <w:r w:rsidR="00DB19C5" w:rsidRPr="008A0690">
              <w:rPr>
                <w:sz w:val="18"/>
                <w:szCs w:val="18"/>
              </w:rPr>
              <w:t>)</w:t>
            </w:r>
          </w:p>
        </w:tc>
        <w:tc>
          <w:tcPr>
            <w:tcW w:w="1598" w:type="dxa"/>
            <w:vAlign w:val="center"/>
          </w:tcPr>
          <w:p w14:paraId="79B054D5" w14:textId="77777777" w:rsidR="00B61770" w:rsidRDefault="00154FA9" w:rsidP="009D2205">
            <w:pPr>
              <w:jc w:val="center"/>
              <w:rPr>
                <w:i/>
                <w:iCs/>
                <w:sz w:val="20"/>
                <w:szCs w:val="20"/>
              </w:rPr>
            </w:pPr>
            <w:r w:rsidRPr="009451F0">
              <w:rPr>
                <w:b/>
                <w:bCs/>
                <w:i/>
                <w:iCs/>
                <w:sz w:val="20"/>
                <w:szCs w:val="20"/>
              </w:rPr>
              <w:t>20</w:t>
            </w:r>
            <w:r w:rsidR="00B61770" w:rsidRPr="00B61770">
              <w:rPr>
                <w:b/>
                <w:bCs/>
                <w:i/>
                <w:iCs/>
                <w:sz w:val="20"/>
                <w:szCs w:val="20"/>
              </w:rPr>
              <w:t>29</w:t>
            </w:r>
            <w:r w:rsidR="00B61770">
              <w:rPr>
                <w:i/>
                <w:iCs/>
                <w:sz w:val="20"/>
                <w:szCs w:val="20"/>
              </w:rPr>
              <w:t xml:space="preserve"> </w:t>
            </w:r>
          </w:p>
          <w:p w14:paraId="5B06F52E" w14:textId="668824AC" w:rsidR="00154FA9" w:rsidRPr="00B61770" w:rsidRDefault="00B61770" w:rsidP="009D2205">
            <w:pPr>
              <w:jc w:val="center"/>
              <w:rPr>
                <w:i/>
                <w:iCs/>
                <w:sz w:val="18"/>
                <w:szCs w:val="18"/>
              </w:rPr>
            </w:pPr>
            <w:r w:rsidRPr="00B61770">
              <w:rPr>
                <w:i/>
                <w:iCs/>
                <w:sz w:val="18"/>
                <w:szCs w:val="18"/>
              </w:rPr>
              <w:t>(pēdējais rādītāj</w:t>
            </w:r>
            <w:r w:rsidR="008A0690">
              <w:rPr>
                <w:i/>
                <w:iCs/>
                <w:sz w:val="18"/>
                <w:szCs w:val="18"/>
              </w:rPr>
              <w:t>a</w:t>
            </w:r>
            <w:r w:rsidRPr="00B61770">
              <w:rPr>
                <w:i/>
                <w:iCs/>
                <w:sz w:val="18"/>
                <w:szCs w:val="18"/>
              </w:rPr>
              <w:t xml:space="preserve"> sasniegšanas gads)</w:t>
            </w:r>
          </w:p>
        </w:tc>
        <w:tc>
          <w:tcPr>
            <w:tcW w:w="1237" w:type="dxa"/>
            <w:vMerge/>
          </w:tcPr>
          <w:p w14:paraId="0FA69259" w14:textId="77777777" w:rsidR="00154FA9" w:rsidRPr="00DD5F9B" w:rsidRDefault="00154FA9">
            <w:pPr>
              <w:rPr>
                <w:b/>
                <w:bCs/>
                <w:sz w:val="20"/>
                <w:szCs w:val="20"/>
              </w:rPr>
            </w:pPr>
          </w:p>
        </w:tc>
      </w:tr>
      <w:tr w:rsidR="00A25937" w:rsidRPr="00DD5F9B" w14:paraId="4A695D2A" w14:textId="04492711" w:rsidTr="009E1604">
        <w:tc>
          <w:tcPr>
            <w:tcW w:w="498" w:type="dxa"/>
          </w:tcPr>
          <w:p w14:paraId="6B401C33" w14:textId="068000C3" w:rsidR="00A25937" w:rsidRPr="00DD5F9B" w:rsidRDefault="00A25937" w:rsidP="00410873">
            <w:pPr>
              <w:jc w:val="center"/>
              <w:rPr>
                <w:sz w:val="20"/>
                <w:szCs w:val="20"/>
              </w:rPr>
            </w:pPr>
            <w:r w:rsidRPr="00DD5F9B">
              <w:rPr>
                <w:sz w:val="20"/>
                <w:szCs w:val="20"/>
              </w:rPr>
              <w:t>1</w:t>
            </w:r>
          </w:p>
        </w:tc>
        <w:tc>
          <w:tcPr>
            <w:tcW w:w="2045" w:type="dxa"/>
          </w:tcPr>
          <w:p w14:paraId="4A9F14D2" w14:textId="02850B03" w:rsidR="00A25937" w:rsidRPr="00DD5F9B" w:rsidRDefault="00A25937">
            <w:pPr>
              <w:rPr>
                <w:sz w:val="20"/>
                <w:szCs w:val="20"/>
              </w:rPr>
            </w:pPr>
            <w:r w:rsidRPr="00DD5F9B">
              <w:rPr>
                <w:sz w:val="20"/>
                <w:szCs w:val="20"/>
              </w:rPr>
              <w:t>Ceļa pārbūv</w:t>
            </w:r>
            <w:r w:rsidR="003C0DB2">
              <w:rPr>
                <w:sz w:val="20"/>
                <w:szCs w:val="20"/>
              </w:rPr>
              <w:t xml:space="preserve">e </w:t>
            </w:r>
            <w:r w:rsidRPr="00DD5F9B">
              <w:rPr>
                <w:sz w:val="20"/>
                <w:szCs w:val="20"/>
              </w:rPr>
              <w:t>(nav komercdarbības atbalsts)</w:t>
            </w:r>
          </w:p>
        </w:tc>
        <w:tc>
          <w:tcPr>
            <w:tcW w:w="1659" w:type="dxa"/>
          </w:tcPr>
          <w:p w14:paraId="53EEA975" w14:textId="24C754B2" w:rsidR="00A25937" w:rsidRPr="00DD5F9B" w:rsidRDefault="00A25937" w:rsidP="00946113">
            <w:pPr>
              <w:jc w:val="both"/>
              <w:rPr>
                <w:sz w:val="20"/>
                <w:szCs w:val="20"/>
              </w:rPr>
            </w:pPr>
            <w:r w:rsidRPr="00DD5F9B">
              <w:rPr>
                <w:sz w:val="20"/>
                <w:szCs w:val="20"/>
              </w:rPr>
              <w:t>Esošs komersants pie ceļa</w:t>
            </w:r>
          </w:p>
        </w:tc>
        <w:tc>
          <w:tcPr>
            <w:tcW w:w="935" w:type="dxa"/>
            <w:vAlign w:val="center"/>
          </w:tcPr>
          <w:p w14:paraId="05E7E04C" w14:textId="16685F57" w:rsidR="00A25937" w:rsidRPr="00DD5F9B" w:rsidRDefault="00A25937" w:rsidP="0043172B">
            <w:pPr>
              <w:jc w:val="center"/>
              <w:rPr>
                <w:sz w:val="20"/>
                <w:szCs w:val="20"/>
              </w:rPr>
            </w:pPr>
            <w:r w:rsidRPr="00DD5F9B">
              <w:rPr>
                <w:sz w:val="20"/>
                <w:szCs w:val="20"/>
              </w:rPr>
              <w:t>500 000</w:t>
            </w:r>
          </w:p>
        </w:tc>
        <w:tc>
          <w:tcPr>
            <w:tcW w:w="935" w:type="dxa"/>
            <w:vAlign w:val="center"/>
          </w:tcPr>
          <w:p w14:paraId="0675DF4C" w14:textId="3D1E42EE" w:rsidR="00A25937" w:rsidRPr="00DD5F9B" w:rsidRDefault="00A25937" w:rsidP="0043172B">
            <w:pPr>
              <w:jc w:val="center"/>
              <w:rPr>
                <w:sz w:val="20"/>
                <w:szCs w:val="20"/>
              </w:rPr>
            </w:pPr>
            <w:r w:rsidRPr="00DD5F9B">
              <w:rPr>
                <w:sz w:val="20"/>
                <w:szCs w:val="20"/>
              </w:rPr>
              <w:t>490 000</w:t>
            </w:r>
          </w:p>
          <w:p w14:paraId="2B948194" w14:textId="79A41CE8" w:rsidR="00A25937" w:rsidRPr="00DD5F9B" w:rsidRDefault="00A25937" w:rsidP="0043172B">
            <w:pPr>
              <w:jc w:val="center"/>
              <w:rPr>
                <w:sz w:val="20"/>
                <w:szCs w:val="20"/>
              </w:rPr>
            </w:pPr>
            <w:r>
              <w:rPr>
                <w:sz w:val="20"/>
                <w:szCs w:val="20"/>
              </w:rPr>
              <w:t>(</w:t>
            </w:r>
            <w:r w:rsidRPr="007D12F1">
              <w:rPr>
                <w:color w:val="538135" w:themeColor="accent6" w:themeShade="BF"/>
                <w:sz w:val="20"/>
                <w:szCs w:val="20"/>
              </w:rPr>
              <w:t>+ 0</w:t>
            </w:r>
            <w:r>
              <w:rPr>
                <w:rStyle w:val="FootnoteReference"/>
                <w:sz w:val="20"/>
                <w:szCs w:val="20"/>
              </w:rPr>
              <w:footnoteReference w:id="6"/>
            </w:r>
            <w:r>
              <w:rPr>
                <w:sz w:val="20"/>
                <w:szCs w:val="20"/>
              </w:rPr>
              <w:t>)</w:t>
            </w:r>
          </w:p>
        </w:tc>
        <w:tc>
          <w:tcPr>
            <w:tcW w:w="1067" w:type="dxa"/>
            <w:vAlign w:val="center"/>
          </w:tcPr>
          <w:p w14:paraId="0E6E1CA4" w14:textId="0D59D300" w:rsidR="00A25937" w:rsidRPr="00DD5F9B" w:rsidRDefault="00A25937" w:rsidP="00154FA9">
            <w:pPr>
              <w:jc w:val="center"/>
              <w:rPr>
                <w:color w:val="538135" w:themeColor="accent6" w:themeShade="BF"/>
                <w:sz w:val="20"/>
                <w:szCs w:val="20"/>
              </w:rPr>
            </w:pPr>
            <w:r w:rsidRPr="00DD5F9B">
              <w:rPr>
                <w:sz w:val="20"/>
                <w:szCs w:val="20"/>
              </w:rPr>
              <w:t>5</w:t>
            </w:r>
            <w:r w:rsidR="00036937">
              <w:rPr>
                <w:sz w:val="20"/>
                <w:szCs w:val="20"/>
              </w:rPr>
              <w:t>2</w:t>
            </w:r>
            <w:r w:rsidRPr="00DD5F9B">
              <w:rPr>
                <w:sz w:val="20"/>
                <w:szCs w:val="20"/>
              </w:rPr>
              <w:t>0 000</w:t>
            </w:r>
          </w:p>
          <w:p w14:paraId="7B3BC68E" w14:textId="69951E2B" w:rsidR="00A25937" w:rsidRPr="00DD5F9B" w:rsidRDefault="00A25937" w:rsidP="00154FA9">
            <w:pPr>
              <w:jc w:val="center"/>
              <w:rPr>
                <w:sz w:val="20"/>
                <w:szCs w:val="20"/>
              </w:rPr>
            </w:pPr>
            <w:r w:rsidRPr="00DD5F9B">
              <w:rPr>
                <w:sz w:val="20"/>
                <w:szCs w:val="20"/>
              </w:rPr>
              <w:t>(</w:t>
            </w:r>
            <w:r w:rsidRPr="00DD5F9B">
              <w:rPr>
                <w:color w:val="538135" w:themeColor="accent6" w:themeShade="BF"/>
                <w:sz w:val="20"/>
                <w:szCs w:val="20"/>
              </w:rPr>
              <w:t>+</w:t>
            </w:r>
            <w:r w:rsidR="00356938">
              <w:rPr>
                <w:color w:val="538135" w:themeColor="accent6" w:themeShade="BF"/>
                <w:sz w:val="20"/>
                <w:szCs w:val="20"/>
              </w:rPr>
              <w:t>2</w:t>
            </w:r>
            <w:r w:rsidRPr="00DD5F9B">
              <w:rPr>
                <w:color w:val="538135" w:themeColor="accent6" w:themeShade="BF"/>
                <w:sz w:val="20"/>
                <w:szCs w:val="20"/>
              </w:rPr>
              <w:t>0 000</w:t>
            </w:r>
            <w:r w:rsidRPr="00DD5F9B">
              <w:rPr>
                <w:sz w:val="20"/>
                <w:szCs w:val="20"/>
              </w:rPr>
              <w:t>)</w:t>
            </w:r>
          </w:p>
        </w:tc>
        <w:tc>
          <w:tcPr>
            <w:tcW w:w="1067" w:type="dxa"/>
            <w:vAlign w:val="center"/>
          </w:tcPr>
          <w:p w14:paraId="6DD24398" w14:textId="0AEC4860" w:rsidR="00A25937" w:rsidRPr="00DD5F9B" w:rsidRDefault="00A25937" w:rsidP="00154FA9">
            <w:pPr>
              <w:jc w:val="center"/>
              <w:rPr>
                <w:sz w:val="20"/>
                <w:szCs w:val="20"/>
              </w:rPr>
            </w:pPr>
            <w:r w:rsidRPr="00DD5F9B">
              <w:rPr>
                <w:sz w:val="20"/>
                <w:szCs w:val="20"/>
              </w:rPr>
              <w:t>5</w:t>
            </w:r>
            <w:r w:rsidR="00036937">
              <w:rPr>
                <w:sz w:val="20"/>
                <w:szCs w:val="20"/>
              </w:rPr>
              <w:t>4</w:t>
            </w:r>
            <w:r w:rsidRPr="00DD5F9B">
              <w:rPr>
                <w:sz w:val="20"/>
                <w:szCs w:val="20"/>
              </w:rPr>
              <w:t>0 000</w:t>
            </w:r>
          </w:p>
          <w:p w14:paraId="3F3D33D7" w14:textId="30F2A5B5" w:rsidR="00A25937" w:rsidRPr="00DD5F9B" w:rsidRDefault="00A25937" w:rsidP="00154FA9">
            <w:pPr>
              <w:jc w:val="center"/>
              <w:rPr>
                <w:sz w:val="20"/>
                <w:szCs w:val="20"/>
              </w:rPr>
            </w:pPr>
            <w:r w:rsidRPr="00DD5F9B">
              <w:rPr>
                <w:sz w:val="20"/>
                <w:szCs w:val="20"/>
              </w:rPr>
              <w:t>(</w:t>
            </w:r>
            <w:r w:rsidRPr="00DD5F9B">
              <w:rPr>
                <w:color w:val="538135" w:themeColor="accent6" w:themeShade="BF"/>
                <w:sz w:val="20"/>
                <w:szCs w:val="20"/>
              </w:rPr>
              <w:t>+</w:t>
            </w:r>
            <w:r w:rsidR="00356938">
              <w:rPr>
                <w:color w:val="538135" w:themeColor="accent6" w:themeShade="BF"/>
                <w:sz w:val="20"/>
                <w:szCs w:val="20"/>
              </w:rPr>
              <w:t>4</w:t>
            </w:r>
            <w:r w:rsidRPr="00DD5F9B">
              <w:rPr>
                <w:color w:val="538135" w:themeColor="accent6" w:themeShade="BF"/>
                <w:sz w:val="20"/>
                <w:szCs w:val="20"/>
              </w:rPr>
              <w:t>0 000</w:t>
            </w:r>
            <w:r w:rsidRPr="00DD5F9B">
              <w:rPr>
                <w:sz w:val="20"/>
                <w:szCs w:val="20"/>
              </w:rPr>
              <w:t>)</w:t>
            </w:r>
          </w:p>
        </w:tc>
        <w:tc>
          <w:tcPr>
            <w:tcW w:w="935" w:type="dxa"/>
            <w:vAlign w:val="center"/>
          </w:tcPr>
          <w:p w14:paraId="5C8DFDF8" w14:textId="2BFE13E5" w:rsidR="00A25937" w:rsidRPr="00DD5F9B" w:rsidRDefault="00A25937" w:rsidP="00154FA9">
            <w:pPr>
              <w:jc w:val="center"/>
              <w:rPr>
                <w:sz w:val="20"/>
                <w:szCs w:val="20"/>
              </w:rPr>
            </w:pPr>
            <w:r w:rsidRPr="00DD5F9B">
              <w:rPr>
                <w:sz w:val="20"/>
                <w:szCs w:val="20"/>
              </w:rPr>
              <w:t>500 000</w:t>
            </w:r>
          </w:p>
          <w:p w14:paraId="29FA9B7E" w14:textId="3A1603FF" w:rsidR="00A25937" w:rsidRPr="00DD5F9B" w:rsidRDefault="00A25937" w:rsidP="00154FA9">
            <w:pPr>
              <w:jc w:val="center"/>
              <w:rPr>
                <w:sz w:val="20"/>
                <w:szCs w:val="20"/>
              </w:rPr>
            </w:pPr>
            <w:r>
              <w:rPr>
                <w:sz w:val="20"/>
                <w:szCs w:val="20"/>
              </w:rPr>
              <w:t>(</w:t>
            </w:r>
            <w:r w:rsidRPr="00943BF5">
              <w:rPr>
                <w:color w:val="538135" w:themeColor="accent6" w:themeShade="BF"/>
                <w:sz w:val="20"/>
                <w:szCs w:val="20"/>
              </w:rPr>
              <w:t>+ 0</w:t>
            </w:r>
            <w:r>
              <w:rPr>
                <w:sz w:val="20"/>
                <w:szCs w:val="20"/>
              </w:rPr>
              <w:t>)</w:t>
            </w:r>
          </w:p>
        </w:tc>
        <w:tc>
          <w:tcPr>
            <w:tcW w:w="989" w:type="dxa"/>
            <w:vAlign w:val="center"/>
          </w:tcPr>
          <w:p w14:paraId="77360A27" w14:textId="64DCD0A1" w:rsidR="00A25937" w:rsidRPr="00DD5F9B" w:rsidRDefault="00036937" w:rsidP="00154FA9">
            <w:pPr>
              <w:jc w:val="center"/>
              <w:rPr>
                <w:sz w:val="20"/>
                <w:szCs w:val="20"/>
              </w:rPr>
            </w:pPr>
            <w:r>
              <w:rPr>
                <w:sz w:val="20"/>
                <w:szCs w:val="20"/>
              </w:rPr>
              <w:t>52</w:t>
            </w:r>
            <w:r w:rsidR="00A25937" w:rsidRPr="00DD5F9B">
              <w:rPr>
                <w:sz w:val="20"/>
                <w:szCs w:val="20"/>
              </w:rPr>
              <w:t>0 000</w:t>
            </w:r>
          </w:p>
          <w:p w14:paraId="0E2C0931" w14:textId="1477D667" w:rsidR="00A25937" w:rsidRPr="00DD5F9B" w:rsidRDefault="00A25937" w:rsidP="00154FA9">
            <w:pPr>
              <w:jc w:val="center"/>
              <w:rPr>
                <w:sz w:val="20"/>
                <w:szCs w:val="20"/>
              </w:rPr>
            </w:pPr>
            <w:r w:rsidRPr="00DD5F9B">
              <w:rPr>
                <w:sz w:val="20"/>
                <w:szCs w:val="20"/>
              </w:rPr>
              <w:t>(</w:t>
            </w:r>
            <w:r w:rsidRPr="00DD5F9B">
              <w:rPr>
                <w:color w:val="538135" w:themeColor="accent6" w:themeShade="BF"/>
                <w:sz w:val="20"/>
                <w:szCs w:val="20"/>
              </w:rPr>
              <w:t>+</w:t>
            </w:r>
            <w:r w:rsidR="004F719F">
              <w:rPr>
                <w:color w:val="538135" w:themeColor="accent6" w:themeShade="BF"/>
                <w:sz w:val="20"/>
                <w:szCs w:val="20"/>
              </w:rPr>
              <w:t>2</w:t>
            </w:r>
            <w:r w:rsidRPr="00DD5F9B">
              <w:rPr>
                <w:color w:val="538135" w:themeColor="accent6" w:themeShade="BF"/>
                <w:sz w:val="20"/>
                <w:szCs w:val="20"/>
              </w:rPr>
              <w:t>0 000</w:t>
            </w:r>
            <w:r w:rsidRPr="00DD5F9B">
              <w:rPr>
                <w:sz w:val="20"/>
                <w:szCs w:val="20"/>
              </w:rPr>
              <w:t>)</w:t>
            </w:r>
          </w:p>
        </w:tc>
        <w:tc>
          <w:tcPr>
            <w:tcW w:w="1064" w:type="dxa"/>
            <w:vAlign w:val="center"/>
          </w:tcPr>
          <w:p w14:paraId="7E07C621" w14:textId="049A2944" w:rsidR="00A25937" w:rsidRPr="00DD5F9B" w:rsidRDefault="00036937" w:rsidP="00154FA9">
            <w:pPr>
              <w:jc w:val="center"/>
              <w:rPr>
                <w:sz w:val="20"/>
                <w:szCs w:val="20"/>
              </w:rPr>
            </w:pPr>
            <w:r>
              <w:rPr>
                <w:sz w:val="20"/>
                <w:szCs w:val="20"/>
              </w:rPr>
              <w:t>56</w:t>
            </w:r>
            <w:r w:rsidR="00A25937" w:rsidRPr="00DD5F9B">
              <w:rPr>
                <w:sz w:val="20"/>
                <w:szCs w:val="20"/>
              </w:rPr>
              <w:t>0 000</w:t>
            </w:r>
          </w:p>
          <w:p w14:paraId="251DB96D" w14:textId="4A8BC490" w:rsidR="00A25937" w:rsidRPr="00DD5F9B" w:rsidRDefault="00A25937" w:rsidP="00154FA9">
            <w:pPr>
              <w:jc w:val="center"/>
              <w:rPr>
                <w:sz w:val="20"/>
                <w:szCs w:val="20"/>
              </w:rPr>
            </w:pPr>
            <w:r w:rsidRPr="00DD5F9B">
              <w:rPr>
                <w:sz w:val="20"/>
                <w:szCs w:val="20"/>
              </w:rPr>
              <w:t>(</w:t>
            </w:r>
            <w:r w:rsidRPr="00DD5F9B">
              <w:rPr>
                <w:color w:val="538135" w:themeColor="accent6" w:themeShade="BF"/>
                <w:sz w:val="20"/>
                <w:szCs w:val="20"/>
              </w:rPr>
              <w:t>+</w:t>
            </w:r>
            <w:r w:rsidR="00CA3E14">
              <w:rPr>
                <w:color w:val="538135" w:themeColor="accent6" w:themeShade="BF"/>
                <w:sz w:val="20"/>
                <w:szCs w:val="20"/>
              </w:rPr>
              <w:t>6</w:t>
            </w:r>
            <w:r w:rsidRPr="00DD5F9B">
              <w:rPr>
                <w:color w:val="538135" w:themeColor="accent6" w:themeShade="BF"/>
                <w:sz w:val="20"/>
                <w:szCs w:val="20"/>
              </w:rPr>
              <w:t>0 000</w:t>
            </w:r>
            <w:r w:rsidRPr="00DD5F9B">
              <w:rPr>
                <w:sz w:val="20"/>
                <w:szCs w:val="20"/>
              </w:rPr>
              <w:t>)</w:t>
            </w:r>
          </w:p>
        </w:tc>
        <w:tc>
          <w:tcPr>
            <w:tcW w:w="1275" w:type="dxa"/>
            <w:vAlign w:val="center"/>
          </w:tcPr>
          <w:p w14:paraId="126B7B14" w14:textId="44B7F10C" w:rsidR="00A25937" w:rsidRPr="00DD5F9B" w:rsidRDefault="00036937" w:rsidP="00154FA9">
            <w:pPr>
              <w:jc w:val="center"/>
              <w:rPr>
                <w:sz w:val="20"/>
                <w:szCs w:val="20"/>
              </w:rPr>
            </w:pPr>
            <w:r>
              <w:rPr>
                <w:sz w:val="20"/>
                <w:szCs w:val="20"/>
              </w:rPr>
              <w:t>56</w:t>
            </w:r>
            <w:r w:rsidR="00A25937" w:rsidRPr="00DD5F9B">
              <w:rPr>
                <w:sz w:val="20"/>
                <w:szCs w:val="20"/>
              </w:rPr>
              <w:t>0 000</w:t>
            </w:r>
          </w:p>
          <w:p w14:paraId="06626AF8" w14:textId="09955E99" w:rsidR="00A25937" w:rsidRPr="00DD5F9B" w:rsidRDefault="00A25937" w:rsidP="00154FA9">
            <w:pPr>
              <w:jc w:val="center"/>
              <w:rPr>
                <w:sz w:val="20"/>
                <w:szCs w:val="20"/>
              </w:rPr>
            </w:pPr>
            <w:r w:rsidRPr="00DD5F9B">
              <w:rPr>
                <w:sz w:val="20"/>
                <w:szCs w:val="20"/>
              </w:rPr>
              <w:t>(</w:t>
            </w:r>
            <w:r w:rsidRPr="00DD5F9B">
              <w:rPr>
                <w:color w:val="538135" w:themeColor="accent6" w:themeShade="BF"/>
                <w:sz w:val="20"/>
                <w:szCs w:val="20"/>
              </w:rPr>
              <w:t>+</w:t>
            </w:r>
            <w:r w:rsidR="00CA3E14">
              <w:rPr>
                <w:color w:val="538135" w:themeColor="accent6" w:themeShade="BF"/>
                <w:sz w:val="20"/>
                <w:szCs w:val="20"/>
              </w:rPr>
              <w:t>6</w:t>
            </w:r>
            <w:r w:rsidRPr="00DD5F9B">
              <w:rPr>
                <w:color w:val="538135" w:themeColor="accent6" w:themeShade="BF"/>
                <w:sz w:val="20"/>
                <w:szCs w:val="20"/>
              </w:rPr>
              <w:t>0</w:t>
            </w:r>
            <w:r w:rsidR="00356938">
              <w:rPr>
                <w:color w:val="538135" w:themeColor="accent6" w:themeShade="BF"/>
                <w:sz w:val="20"/>
                <w:szCs w:val="20"/>
              </w:rPr>
              <w:t xml:space="preserve"> 0</w:t>
            </w:r>
            <w:r w:rsidRPr="00DD5F9B">
              <w:rPr>
                <w:color w:val="538135" w:themeColor="accent6" w:themeShade="BF"/>
                <w:sz w:val="20"/>
                <w:szCs w:val="20"/>
              </w:rPr>
              <w:t>00</w:t>
            </w:r>
            <w:r w:rsidRPr="00DD5F9B">
              <w:rPr>
                <w:sz w:val="20"/>
                <w:szCs w:val="20"/>
              </w:rPr>
              <w:t>)</w:t>
            </w:r>
          </w:p>
        </w:tc>
        <w:tc>
          <w:tcPr>
            <w:tcW w:w="1598" w:type="dxa"/>
            <w:vMerge w:val="restart"/>
            <w:vAlign w:val="center"/>
          </w:tcPr>
          <w:p w14:paraId="49AAA9EC" w14:textId="43122C81" w:rsidR="00A25937" w:rsidRPr="0013197B" w:rsidRDefault="00A25937" w:rsidP="00154FA9">
            <w:pPr>
              <w:jc w:val="center"/>
              <w:rPr>
                <w:i/>
                <w:iCs/>
                <w:sz w:val="18"/>
                <w:szCs w:val="18"/>
              </w:rPr>
            </w:pPr>
            <w:r w:rsidRPr="0013197B">
              <w:rPr>
                <w:i/>
                <w:iCs/>
                <w:sz w:val="18"/>
                <w:szCs w:val="18"/>
              </w:rPr>
              <w:t>Rādītāja vērtība sasniegta ātrāk</w:t>
            </w:r>
            <w:r w:rsidR="007F0A08" w:rsidRPr="0013197B">
              <w:rPr>
                <w:i/>
                <w:iCs/>
                <w:sz w:val="18"/>
                <w:szCs w:val="18"/>
              </w:rPr>
              <w:t>, turpmāk</w:t>
            </w:r>
            <w:r w:rsidR="007A2331" w:rsidRPr="0013197B">
              <w:rPr>
                <w:i/>
                <w:iCs/>
                <w:sz w:val="18"/>
                <w:szCs w:val="18"/>
              </w:rPr>
              <w:t>a</w:t>
            </w:r>
            <w:r w:rsidR="007F0A08" w:rsidRPr="0013197B">
              <w:rPr>
                <w:i/>
                <w:iCs/>
                <w:sz w:val="18"/>
                <w:szCs w:val="18"/>
              </w:rPr>
              <w:t xml:space="preserve"> uzraudzība ne</w:t>
            </w:r>
            <w:r w:rsidR="007A2331" w:rsidRPr="0013197B">
              <w:rPr>
                <w:i/>
                <w:iCs/>
                <w:sz w:val="18"/>
                <w:szCs w:val="18"/>
              </w:rPr>
              <w:t>tiek veikta</w:t>
            </w:r>
          </w:p>
        </w:tc>
        <w:tc>
          <w:tcPr>
            <w:tcW w:w="1237" w:type="dxa"/>
            <w:vAlign w:val="center"/>
          </w:tcPr>
          <w:p w14:paraId="056C7CA3" w14:textId="14B97F91" w:rsidR="00A25937" w:rsidRPr="00DD5F9B" w:rsidRDefault="005F0219" w:rsidP="00154FA9">
            <w:pPr>
              <w:jc w:val="center"/>
              <w:rPr>
                <w:b/>
                <w:bCs/>
                <w:sz w:val="20"/>
                <w:szCs w:val="20"/>
              </w:rPr>
            </w:pPr>
            <w:r>
              <w:rPr>
                <w:b/>
                <w:bCs/>
                <w:sz w:val="20"/>
                <w:szCs w:val="20"/>
              </w:rPr>
              <w:t>200</w:t>
            </w:r>
            <w:r w:rsidR="00A25937" w:rsidRPr="00DD5F9B">
              <w:rPr>
                <w:b/>
                <w:bCs/>
                <w:sz w:val="20"/>
                <w:szCs w:val="20"/>
              </w:rPr>
              <w:t xml:space="preserve"> 000</w:t>
            </w:r>
          </w:p>
        </w:tc>
      </w:tr>
      <w:tr w:rsidR="00A25937" w:rsidRPr="00DD5F9B" w14:paraId="1A2F111E" w14:textId="2DF63B4E" w:rsidTr="009E1604">
        <w:tc>
          <w:tcPr>
            <w:tcW w:w="498" w:type="dxa"/>
          </w:tcPr>
          <w:p w14:paraId="6F44B037" w14:textId="1CF4C501" w:rsidR="00A25937" w:rsidRPr="00DD5F9B" w:rsidRDefault="00A25937" w:rsidP="00410873">
            <w:pPr>
              <w:jc w:val="center"/>
              <w:rPr>
                <w:sz w:val="20"/>
                <w:szCs w:val="20"/>
              </w:rPr>
            </w:pPr>
            <w:r w:rsidRPr="00DD5F9B">
              <w:rPr>
                <w:sz w:val="20"/>
                <w:szCs w:val="20"/>
              </w:rPr>
              <w:t>2</w:t>
            </w:r>
          </w:p>
        </w:tc>
        <w:tc>
          <w:tcPr>
            <w:tcW w:w="2045" w:type="dxa"/>
          </w:tcPr>
          <w:p w14:paraId="4727EF38" w14:textId="0DF65CED" w:rsidR="00A25937" w:rsidRPr="00DD5F9B" w:rsidRDefault="00A25937">
            <w:pPr>
              <w:rPr>
                <w:sz w:val="20"/>
                <w:szCs w:val="20"/>
              </w:rPr>
            </w:pPr>
            <w:r w:rsidRPr="00DD5F9B">
              <w:rPr>
                <w:sz w:val="20"/>
                <w:szCs w:val="20"/>
              </w:rPr>
              <w:t>Jauna ražotnes izbūve (regulas Nr. 651/2014</w:t>
            </w:r>
            <w:r w:rsidRPr="00DD5F9B">
              <w:rPr>
                <w:rStyle w:val="FootnoteReference"/>
                <w:sz w:val="20"/>
                <w:szCs w:val="20"/>
              </w:rPr>
              <w:footnoteReference w:id="7"/>
            </w:r>
            <w:r w:rsidRPr="00DD5F9B">
              <w:rPr>
                <w:sz w:val="20"/>
                <w:szCs w:val="20"/>
              </w:rPr>
              <w:t xml:space="preserve"> 56. pants)</w:t>
            </w:r>
          </w:p>
        </w:tc>
        <w:tc>
          <w:tcPr>
            <w:tcW w:w="1659" w:type="dxa"/>
          </w:tcPr>
          <w:p w14:paraId="621124D0" w14:textId="05438EB1" w:rsidR="00A25937" w:rsidRPr="00DD5F9B" w:rsidRDefault="00A25937">
            <w:pPr>
              <w:rPr>
                <w:sz w:val="20"/>
                <w:szCs w:val="20"/>
              </w:rPr>
            </w:pPr>
            <w:r w:rsidRPr="00DD5F9B">
              <w:rPr>
                <w:sz w:val="20"/>
                <w:szCs w:val="20"/>
              </w:rPr>
              <w:t>Būs zināms pēc nomas izsoles veikšanas</w:t>
            </w:r>
          </w:p>
        </w:tc>
        <w:tc>
          <w:tcPr>
            <w:tcW w:w="935" w:type="dxa"/>
            <w:vAlign w:val="center"/>
          </w:tcPr>
          <w:p w14:paraId="46BE27DD" w14:textId="0DA66BFA" w:rsidR="00A25937" w:rsidRPr="00DD5F9B" w:rsidRDefault="00A25937" w:rsidP="00154FA9">
            <w:pPr>
              <w:jc w:val="center"/>
              <w:rPr>
                <w:sz w:val="20"/>
                <w:szCs w:val="20"/>
              </w:rPr>
            </w:pPr>
            <w:r w:rsidRPr="00DD5F9B">
              <w:rPr>
                <w:sz w:val="20"/>
                <w:szCs w:val="20"/>
              </w:rPr>
              <w:t>0</w:t>
            </w:r>
          </w:p>
        </w:tc>
        <w:tc>
          <w:tcPr>
            <w:tcW w:w="935" w:type="dxa"/>
            <w:vAlign w:val="center"/>
          </w:tcPr>
          <w:p w14:paraId="080C1D22" w14:textId="44891B47" w:rsidR="00A25937" w:rsidRPr="00DD5F9B" w:rsidRDefault="00A25937" w:rsidP="00154FA9">
            <w:pPr>
              <w:jc w:val="center"/>
              <w:rPr>
                <w:sz w:val="20"/>
                <w:szCs w:val="20"/>
              </w:rPr>
            </w:pPr>
            <w:r w:rsidRPr="00DD5F9B">
              <w:rPr>
                <w:sz w:val="20"/>
                <w:szCs w:val="20"/>
              </w:rPr>
              <w:t>0</w:t>
            </w:r>
          </w:p>
        </w:tc>
        <w:tc>
          <w:tcPr>
            <w:tcW w:w="1067" w:type="dxa"/>
            <w:vAlign w:val="center"/>
          </w:tcPr>
          <w:p w14:paraId="53C65EA4" w14:textId="5AE85B3E" w:rsidR="00A25937" w:rsidRPr="00DD5F9B" w:rsidRDefault="00A25937" w:rsidP="00154FA9">
            <w:pPr>
              <w:jc w:val="center"/>
              <w:rPr>
                <w:sz w:val="20"/>
                <w:szCs w:val="20"/>
              </w:rPr>
            </w:pPr>
            <w:r w:rsidRPr="00DD5F9B">
              <w:rPr>
                <w:sz w:val="20"/>
                <w:szCs w:val="20"/>
              </w:rPr>
              <w:t>0</w:t>
            </w:r>
          </w:p>
        </w:tc>
        <w:tc>
          <w:tcPr>
            <w:tcW w:w="1067" w:type="dxa"/>
            <w:vAlign w:val="center"/>
          </w:tcPr>
          <w:p w14:paraId="7C29A9BE" w14:textId="1F013B4F" w:rsidR="00A25937" w:rsidRPr="00DD5F9B" w:rsidRDefault="00A25937" w:rsidP="00154FA9">
            <w:pPr>
              <w:jc w:val="center"/>
              <w:rPr>
                <w:sz w:val="20"/>
                <w:szCs w:val="20"/>
              </w:rPr>
            </w:pPr>
            <w:r w:rsidRPr="00DD5F9B">
              <w:rPr>
                <w:sz w:val="20"/>
                <w:szCs w:val="20"/>
              </w:rPr>
              <w:t>0</w:t>
            </w:r>
          </w:p>
        </w:tc>
        <w:tc>
          <w:tcPr>
            <w:tcW w:w="935" w:type="dxa"/>
            <w:vAlign w:val="center"/>
          </w:tcPr>
          <w:p w14:paraId="6561DB00" w14:textId="0D4CFAC0" w:rsidR="00A25937" w:rsidRPr="00DD5F9B" w:rsidRDefault="00A25937" w:rsidP="00154FA9">
            <w:pPr>
              <w:jc w:val="center"/>
              <w:rPr>
                <w:sz w:val="20"/>
                <w:szCs w:val="20"/>
              </w:rPr>
            </w:pPr>
            <w:r w:rsidRPr="00DD5F9B">
              <w:rPr>
                <w:sz w:val="20"/>
                <w:szCs w:val="20"/>
              </w:rPr>
              <w:t>0</w:t>
            </w:r>
          </w:p>
        </w:tc>
        <w:tc>
          <w:tcPr>
            <w:tcW w:w="989" w:type="dxa"/>
            <w:vAlign w:val="center"/>
          </w:tcPr>
          <w:p w14:paraId="761B8E4D" w14:textId="5D3C624D" w:rsidR="00A25937" w:rsidRPr="00DD5F9B" w:rsidRDefault="00A25937" w:rsidP="00154FA9">
            <w:pPr>
              <w:jc w:val="center"/>
              <w:rPr>
                <w:sz w:val="20"/>
                <w:szCs w:val="20"/>
              </w:rPr>
            </w:pPr>
            <w:r w:rsidRPr="00DD5F9B">
              <w:rPr>
                <w:sz w:val="20"/>
                <w:szCs w:val="20"/>
              </w:rPr>
              <w:t>0</w:t>
            </w:r>
          </w:p>
        </w:tc>
        <w:tc>
          <w:tcPr>
            <w:tcW w:w="1064" w:type="dxa"/>
            <w:vAlign w:val="center"/>
          </w:tcPr>
          <w:p w14:paraId="644FA8DF" w14:textId="699B5CAA" w:rsidR="00A25937" w:rsidRPr="00DD5F9B" w:rsidRDefault="00B469A1" w:rsidP="00154FA9">
            <w:pPr>
              <w:jc w:val="center"/>
              <w:rPr>
                <w:color w:val="538135" w:themeColor="accent6" w:themeShade="BF"/>
                <w:sz w:val="20"/>
                <w:szCs w:val="20"/>
              </w:rPr>
            </w:pPr>
            <w:r>
              <w:rPr>
                <w:color w:val="538135" w:themeColor="accent6" w:themeShade="BF"/>
                <w:sz w:val="20"/>
                <w:szCs w:val="20"/>
              </w:rPr>
              <w:t>1</w:t>
            </w:r>
            <w:r w:rsidR="00A25937" w:rsidRPr="00DD5F9B">
              <w:rPr>
                <w:color w:val="538135" w:themeColor="accent6" w:themeShade="BF"/>
                <w:sz w:val="20"/>
                <w:szCs w:val="20"/>
              </w:rPr>
              <w:t>0</w:t>
            </w:r>
            <w:r>
              <w:rPr>
                <w:color w:val="538135" w:themeColor="accent6" w:themeShade="BF"/>
                <w:sz w:val="20"/>
                <w:szCs w:val="20"/>
              </w:rPr>
              <w:t>0</w:t>
            </w:r>
            <w:r w:rsidR="00A25937" w:rsidRPr="00DD5F9B">
              <w:rPr>
                <w:color w:val="538135" w:themeColor="accent6" w:themeShade="BF"/>
                <w:sz w:val="20"/>
                <w:szCs w:val="20"/>
              </w:rPr>
              <w:t xml:space="preserve"> 000</w:t>
            </w:r>
          </w:p>
        </w:tc>
        <w:tc>
          <w:tcPr>
            <w:tcW w:w="1275" w:type="dxa"/>
            <w:vAlign w:val="center"/>
          </w:tcPr>
          <w:p w14:paraId="25220F60" w14:textId="6A8D95E2" w:rsidR="00A25937" w:rsidRPr="00DD5F9B" w:rsidRDefault="00B469A1" w:rsidP="00154FA9">
            <w:pPr>
              <w:jc w:val="center"/>
              <w:rPr>
                <w:color w:val="538135" w:themeColor="accent6" w:themeShade="BF"/>
                <w:sz w:val="20"/>
                <w:szCs w:val="20"/>
              </w:rPr>
            </w:pPr>
            <w:r>
              <w:rPr>
                <w:color w:val="538135" w:themeColor="accent6" w:themeShade="BF"/>
                <w:sz w:val="20"/>
                <w:szCs w:val="20"/>
              </w:rPr>
              <w:t>200</w:t>
            </w:r>
            <w:r w:rsidR="00A25937" w:rsidRPr="00DD5F9B">
              <w:rPr>
                <w:color w:val="538135" w:themeColor="accent6" w:themeShade="BF"/>
                <w:sz w:val="20"/>
                <w:szCs w:val="20"/>
              </w:rPr>
              <w:t xml:space="preserve"> 000</w:t>
            </w:r>
          </w:p>
        </w:tc>
        <w:tc>
          <w:tcPr>
            <w:tcW w:w="1598" w:type="dxa"/>
            <w:vMerge/>
            <w:vAlign w:val="center"/>
          </w:tcPr>
          <w:p w14:paraId="1340A64C" w14:textId="279567F3" w:rsidR="00A25937" w:rsidRPr="009451F0" w:rsidRDefault="00A25937" w:rsidP="00154FA9">
            <w:pPr>
              <w:jc w:val="center"/>
              <w:rPr>
                <w:i/>
                <w:iCs/>
                <w:color w:val="538135" w:themeColor="accent6" w:themeShade="BF"/>
                <w:sz w:val="20"/>
                <w:szCs w:val="20"/>
              </w:rPr>
            </w:pPr>
          </w:p>
        </w:tc>
        <w:tc>
          <w:tcPr>
            <w:tcW w:w="1237" w:type="dxa"/>
            <w:vAlign w:val="center"/>
          </w:tcPr>
          <w:p w14:paraId="5A4DDAC1" w14:textId="7B9F69D5" w:rsidR="00A25937" w:rsidRPr="00DD5F9B" w:rsidRDefault="00B469A1" w:rsidP="00154FA9">
            <w:pPr>
              <w:jc w:val="center"/>
              <w:rPr>
                <w:b/>
                <w:bCs/>
                <w:sz w:val="20"/>
                <w:szCs w:val="20"/>
              </w:rPr>
            </w:pPr>
            <w:r>
              <w:rPr>
                <w:b/>
                <w:bCs/>
                <w:sz w:val="20"/>
                <w:szCs w:val="20"/>
              </w:rPr>
              <w:t>30</w:t>
            </w:r>
            <w:r w:rsidR="00A25937">
              <w:rPr>
                <w:b/>
                <w:bCs/>
                <w:sz w:val="20"/>
                <w:szCs w:val="20"/>
              </w:rPr>
              <w:t>0</w:t>
            </w:r>
            <w:r w:rsidR="00FA7846">
              <w:rPr>
                <w:b/>
                <w:bCs/>
                <w:sz w:val="20"/>
                <w:szCs w:val="20"/>
              </w:rPr>
              <w:t xml:space="preserve"> 000</w:t>
            </w:r>
          </w:p>
        </w:tc>
      </w:tr>
      <w:tr w:rsidR="00FA7846" w:rsidRPr="00DD5F9B" w14:paraId="202C540D" w14:textId="77777777" w:rsidTr="009E1604">
        <w:tc>
          <w:tcPr>
            <w:tcW w:w="4202" w:type="dxa"/>
            <w:gridSpan w:val="3"/>
          </w:tcPr>
          <w:p w14:paraId="0CCF8C6E" w14:textId="000F2325" w:rsidR="00FA7846" w:rsidRPr="00DD5F9B" w:rsidRDefault="00FA7846">
            <w:pPr>
              <w:rPr>
                <w:sz w:val="20"/>
                <w:szCs w:val="20"/>
              </w:rPr>
            </w:pPr>
            <w:r>
              <w:rPr>
                <w:b/>
                <w:bCs/>
              </w:rPr>
              <w:t>Darba algu fonda pieaugums p</w:t>
            </w:r>
            <w:r w:rsidRPr="00410873">
              <w:rPr>
                <w:b/>
                <w:bCs/>
              </w:rPr>
              <w:t>rojektā KOPĀ</w:t>
            </w:r>
          </w:p>
        </w:tc>
        <w:tc>
          <w:tcPr>
            <w:tcW w:w="935" w:type="dxa"/>
            <w:vAlign w:val="center"/>
          </w:tcPr>
          <w:p w14:paraId="114B00BA" w14:textId="296C6B73" w:rsidR="00FA7846" w:rsidRPr="00FA7846" w:rsidRDefault="00FA7846" w:rsidP="00154FA9">
            <w:pPr>
              <w:jc w:val="center"/>
              <w:rPr>
                <w:b/>
                <w:bCs/>
                <w:sz w:val="20"/>
                <w:szCs w:val="20"/>
              </w:rPr>
            </w:pPr>
            <w:r w:rsidRPr="00FA7846">
              <w:rPr>
                <w:b/>
                <w:bCs/>
                <w:sz w:val="20"/>
                <w:szCs w:val="20"/>
              </w:rPr>
              <w:t>0</w:t>
            </w:r>
          </w:p>
        </w:tc>
        <w:tc>
          <w:tcPr>
            <w:tcW w:w="935" w:type="dxa"/>
            <w:vAlign w:val="center"/>
          </w:tcPr>
          <w:p w14:paraId="05678BDB" w14:textId="3F62F4D7" w:rsidR="00FA7846" w:rsidRPr="00FA7846" w:rsidRDefault="00FA7846" w:rsidP="00154FA9">
            <w:pPr>
              <w:jc w:val="center"/>
              <w:rPr>
                <w:b/>
                <w:bCs/>
                <w:sz w:val="20"/>
                <w:szCs w:val="20"/>
              </w:rPr>
            </w:pPr>
            <w:r w:rsidRPr="00FA7846">
              <w:rPr>
                <w:b/>
                <w:bCs/>
                <w:sz w:val="20"/>
                <w:szCs w:val="20"/>
              </w:rPr>
              <w:t>0</w:t>
            </w:r>
          </w:p>
        </w:tc>
        <w:tc>
          <w:tcPr>
            <w:tcW w:w="1067" w:type="dxa"/>
            <w:vAlign w:val="center"/>
          </w:tcPr>
          <w:p w14:paraId="706D1172" w14:textId="17BC766D" w:rsidR="00FA7846" w:rsidRPr="00FA7846" w:rsidRDefault="00186CB8" w:rsidP="00154FA9">
            <w:pPr>
              <w:jc w:val="center"/>
              <w:rPr>
                <w:b/>
                <w:bCs/>
                <w:sz w:val="20"/>
                <w:szCs w:val="20"/>
              </w:rPr>
            </w:pPr>
            <w:r>
              <w:rPr>
                <w:b/>
                <w:bCs/>
                <w:sz w:val="20"/>
                <w:szCs w:val="20"/>
              </w:rPr>
              <w:t>2</w:t>
            </w:r>
            <w:r w:rsidR="00FA7846" w:rsidRPr="00FA7846">
              <w:rPr>
                <w:b/>
                <w:bCs/>
                <w:sz w:val="20"/>
                <w:szCs w:val="20"/>
              </w:rPr>
              <w:t>0 000</w:t>
            </w:r>
          </w:p>
        </w:tc>
        <w:tc>
          <w:tcPr>
            <w:tcW w:w="1067" w:type="dxa"/>
            <w:vAlign w:val="center"/>
          </w:tcPr>
          <w:p w14:paraId="234327CB" w14:textId="146D310D" w:rsidR="00FA7846" w:rsidRPr="00FA7846" w:rsidRDefault="00186CB8" w:rsidP="00154FA9">
            <w:pPr>
              <w:jc w:val="center"/>
              <w:rPr>
                <w:b/>
                <w:bCs/>
                <w:sz w:val="20"/>
                <w:szCs w:val="20"/>
              </w:rPr>
            </w:pPr>
            <w:r>
              <w:rPr>
                <w:b/>
                <w:bCs/>
                <w:sz w:val="20"/>
                <w:szCs w:val="20"/>
              </w:rPr>
              <w:t>4</w:t>
            </w:r>
            <w:r w:rsidR="00FA7846" w:rsidRPr="00FA7846">
              <w:rPr>
                <w:b/>
                <w:bCs/>
                <w:sz w:val="20"/>
                <w:szCs w:val="20"/>
              </w:rPr>
              <w:t>0 000</w:t>
            </w:r>
          </w:p>
        </w:tc>
        <w:tc>
          <w:tcPr>
            <w:tcW w:w="935" w:type="dxa"/>
            <w:vAlign w:val="center"/>
          </w:tcPr>
          <w:p w14:paraId="625A6771" w14:textId="1B3C2B9D" w:rsidR="00FA7846" w:rsidRPr="00FA7846" w:rsidRDefault="00FA7846" w:rsidP="00154FA9">
            <w:pPr>
              <w:jc w:val="center"/>
              <w:rPr>
                <w:b/>
                <w:bCs/>
                <w:sz w:val="20"/>
                <w:szCs w:val="20"/>
              </w:rPr>
            </w:pPr>
            <w:r w:rsidRPr="00FA7846">
              <w:rPr>
                <w:b/>
                <w:bCs/>
                <w:sz w:val="20"/>
                <w:szCs w:val="20"/>
              </w:rPr>
              <w:t>0</w:t>
            </w:r>
          </w:p>
        </w:tc>
        <w:tc>
          <w:tcPr>
            <w:tcW w:w="989" w:type="dxa"/>
            <w:vAlign w:val="center"/>
          </w:tcPr>
          <w:p w14:paraId="413F4BF1" w14:textId="53438E11" w:rsidR="00FA7846" w:rsidRPr="00FA7846" w:rsidRDefault="00186CB8" w:rsidP="00154FA9">
            <w:pPr>
              <w:jc w:val="center"/>
              <w:rPr>
                <w:b/>
                <w:bCs/>
                <w:sz w:val="20"/>
                <w:szCs w:val="20"/>
              </w:rPr>
            </w:pPr>
            <w:r>
              <w:rPr>
                <w:b/>
                <w:bCs/>
                <w:sz w:val="20"/>
                <w:szCs w:val="20"/>
              </w:rPr>
              <w:t>2</w:t>
            </w:r>
            <w:r w:rsidR="00FA7846" w:rsidRPr="00FA7846">
              <w:rPr>
                <w:b/>
                <w:bCs/>
                <w:sz w:val="20"/>
                <w:szCs w:val="20"/>
              </w:rPr>
              <w:t>0 000</w:t>
            </w:r>
          </w:p>
        </w:tc>
        <w:tc>
          <w:tcPr>
            <w:tcW w:w="1064" w:type="dxa"/>
            <w:vAlign w:val="center"/>
          </w:tcPr>
          <w:p w14:paraId="345139FD" w14:textId="6D13FB51" w:rsidR="00FA7846" w:rsidRPr="00FA7846" w:rsidRDefault="00FA7846" w:rsidP="00154FA9">
            <w:pPr>
              <w:jc w:val="center"/>
              <w:rPr>
                <w:b/>
                <w:bCs/>
                <w:sz w:val="20"/>
                <w:szCs w:val="20"/>
              </w:rPr>
            </w:pPr>
            <w:r w:rsidRPr="00FA7846">
              <w:rPr>
                <w:b/>
                <w:bCs/>
                <w:sz w:val="20"/>
                <w:szCs w:val="20"/>
              </w:rPr>
              <w:t>1</w:t>
            </w:r>
            <w:r w:rsidR="00186CB8">
              <w:rPr>
                <w:b/>
                <w:bCs/>
                <w:sz w:val="20"/>
                <w:szCs w:val="20"/>
              </w:rPr>
              <w:t>6</w:t>
            </w:r>
            <w:r w:rsidRPr="00FA7846">
              <w:rPr>
                <w:b/>
                <w:bCs/>
                <w:sz w:val="20"/>
                <w:szCs w:val="20"/>
              </w:rPr>
              <w:t>0 000</w:t>
            </w:r>
          </w:p>
        </w:tc>
        <w:tc>
          <w:tcPr>
            <w:tcW w:w="1275" w:type="dxa"/>
            <w:vAlign w:val="center"/>
          </w:tcPr>
          <w:p w14:paraId="2B2A65CB" w14:textId="57D9A346" w:rsidR="00FA7846" w:rsidRPr="00FA7846" w:rsidRDefault="00186CB8" w:rsidP="00154FA9">
            <w:pPr>
              <w:jc w:val="center"/>
              <w:rPr>
                <w:b/>
                <w:bCs/>
                <w:sz w:val="20"/>
                <w:szCs w:val="20"/>
              </w:rPr>
            </w:pPr>
            <w:r>
              <w:rPr>
                <w:b/>
                <w:bCs/>
                <w:sz w:val="20"/>
                <w:szCs w:val="20"/>
              </w:rPr>
              <w:t>2</w:t>
            </w:r>
            <w:r w:rsidR="00FA7846" w:rsidRPr="00FA7846">
              <w:rPr>
                <w:b/>
                <w:bCs/>
                <w:sz w:val="20"/>
                <w:szCs w:val="20"/>
              </w:rPr>
              <w:t>60 000</w:t>
            </w:r>
          </w:p>
        </w:tc>
        <w:tc>
          <w:tcPr>
            <w:tcW w:w="1598" w:type="dxa"/>
            <w:vAlign w:val="center"/>
          </w:tcPr>
          <w:p w14:paraId="148FF025" w14:textId="7E8FBA2F" w:rsidR="00FA7846" w:rsidRPr="009451F0" w:rsidRDefault="00B82519" w:rsidP="00154FA9">
            <w:pPr>
              <w:jc w:val="center"/>
              <w:rPr>
                <w:i/>
                <w:iCs/>
                <w:color w:val="538135" w:themeColor="accent6" w:themeShade="BF"/>
                <w:sz w:val="20"/>
                <w:szCs w:val="20"/>
              </w:rPr>
            </w:pPr>
            <w:r w:rsidRPr="00B82519">
              <w:rPr>
                <w:i/>
                <w:iCs/>
                <w:sz w:val="20"/>
                <w:szCs w:val="20"/>
              </w:rPr>
              <w:t>N/a</w:t>
            </w:r>
          </w:p>
        </w:tc>
        <w:tc>
          <w:tcPr>
            <w:tcW w:w="1237" w:type="dxa"/>
            <w:vAlign w:val="center"/>
          </w:tcPr>
          <w:p w14:paraId="70FC7549" w14:textId="23A1150B" w:rsidR="00FA7846" w:rsidRDefault="00FA7846" w:rsidP="00154FA9">
            <w:pPr>
              <w:jc w:val="center"/>
              <w:rPr>
                <w:b/>
                <w:bCs/>
                <w:sz w:val="20"/>
                <w:szCs w:val="20"/>
              </w:rPr>
            </w:pPr>
            <w:r>
              <w:rPr>
                <w:b/>
                <w:bCs/>
              </w:rPr>
              <w:t>500 000</w:t>
            </w:r>
          </w:p>
        </w:tc>
      </w:tr>
    </w:tbl>
    <w:p w14:paraId="0A736724" w14:textId="7FDD03CF" w:rsidR="005E1D0A" w:rsidRDefault="005E1D0A"/>
    <w:sectPr w:rsidR="005E1D0A" w:rsidSect="009D09C8">
      <w:pgSz w:w="16838" w:h="11906" w:orient="landscape"/>
      <w:pgMar w:top="284"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A2EF" w14:textId="77777777" w:rsidR="00315AA5" w:rsidRDefault="00315AA5" w:rsidP="007452EF">
      <w:r>
        <w:separator/>
      </w:r>
    </w:p>
  </w:endnote>
  <w:endnote w:type="continuationSeparator" w:id="0">
    <w:p w14:paraId="1F495114" w14:textId="77777777" w:rsidR="00315AA5" w:rsidRDefault="00315AA5" w:rsidP="007452EF">
      <w:r>
        <w:continuationSeparator/>
      </w:r>
    </w:p>
  </w:endnote>
  <w:endnote w:type="continuationNotice" w:id="1">
    <w:p w14:paraId="6505806E" w14:textId="77777777" w:rsidR="00315AA5" w:rsidRDefault="00315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1A320" w14:textId="77777777" w:rsidR="00315AA5" w:rsidRDefault="00315AA5" w:rsidP="007452EF">
      <w:r>
        <w:separator/>
      </w:r>
    </w:p>
  </w:footnote>
  <w:footnote w:type="continuationSeparator" w:id="0">
    <w:p w14:paraId="72CC157C" w14:textId="77777777" w:rsidR="00315AA5" w:rsidRDefault="00315AA5" w:rsidP="007452EF">
      <w:r>
        <w:continuationSeparator/>
      </w:r>
    </w:p>
  </w:footnote>
  <w:footnote w:type="continuationNotice" w:id="1">
    <w:p w14:paraId="1F343DF2" w14:textId="77777777" w:rsidR="00315AA5" w:rsidRDefault="00315AA5"/>
  </w:footnote>
  <w:footnote w:id="2">
    <w:p w14:paraId="3CDA74BD" w14:textId="69A17BCE" w:rsidR="00BB6926" w:rsidRPr="0013197B" w:rsidRDefault="00BB6926">
      <w:pPr>
        <w:pStyle w:val="FootnoteText"/>
        <w:rPr>
          <w:sz w:val="16"/>
          <w:szCs w:val="16"/>
        </w:rPr>
      </w:pPr>
      <w:r w:rsidRPr="0013197B">
        <w:rPr>
          <w:rStyle w:val="FootnoteReference"/>
          <w:sz w:val="16"/>
          <w:szCs w:val="16"/>
        </w:rPr>
        <w:footnoteRef/>
      </w:r>
      <w:r w:rsidRPr="0013197B">
        <w:rPr>
          <w:sz w:val="16"/>
          <w:szCs w:val="16"/>
        </w:rPr>
        <w:t xml:space="preserve"> </w:t>
      </w:r>
      <w:r w:rsidR="00E0071C" w:rsidRPr="0013197B">
        <w:rPr>
          <w:sz w:val="16"/>
          <w:szCs w:val="16"/>
        </w:rPr>
        <w:t>Ministru kabineta 2019. gada 26. novembra rīkojums Nr. 587  “Reģionālās politikas pamatnostādnes 2021.-2027. gadam”</w:t>
      </w:r>
      <w:r w:rsidR="00363515" w:rsidRPr="0013197B">
        <w:rPr>
          <w:sz w:val="16"/>
          <w:szCs w:val="16"/>
        </w:rPr>
        <w:t>.</w:t>
      </w:r>
    </w:p>
  </w:footnote>
  <w:footnote w:id="3">
    <w:p w14:paraId="7A3F072E" w14:textId="6EDE3B3E" w:rsidR="00E07F9A" w:rsidRPr="0013197B" w:rsidRDefault="001220C4">
      <w:pPr>
        <w:pStyle w:val="FootnoteText"/>
        <w:rPr>
          <w:sz w:val="16"/>
          <w:szCs w:val="16"/>
        </w:rPr>
      </w:pPr>
      <w:r w:rsidRPr="0013197B">
        <w:rPr>
          <w:rStyle w:val="FootnoteReference"/>
          <w:sz w:val="16"/>
          <w:szCs w:val="16"/>
        </w:rPr>
        <w:footnoteRef/>
      </w:r>
      <w:r w:rsidRPr="0013197B">
        <w:rPr>
          <w:sz w:val="16"/>
          <w:szCs w:val="16"/>
        </w:rPr>
        <w:t xml:space="preserve"> </w:t>
      </w:r>
      <w:r w:rsidR="00081657" w:rsidRPr="0013197B">
        <w:rPr>
          <w:sz w:val="16"/>
          <w:szCs w:val="16"/>
        </w:rPr>
        <w:t xml:space="preserve">Komersants, kas nodrošina projekta rādītāju vērtības. Vienā projektā </w:t>
      </w:r>
      <w:r w:rsidR="00BA338D" w:rsidRPr="0013197B">
        <w:rPr>
          <w:sz w:val="16"/>
          <w:szCs w:val="16"/>
        </w:rPr>
        <w:t xml:space="preserve">var būt vairāki šādi komersanti. </w:t>
      </w:r>
      <w:r w:rsidR="0095600C" w:rsidRPr="0013197B">
        <w:rPr>
          <w:sz w:val="16"/>
          <w:szCs w:val="16"/>
        </w:rPr>
        <w:t>K</w:t>
      </w:r>
      <w:r w:rsidR="006463CF" w:rsidRPr="0013197B">
        <w:rPr>
          <w:sz w:val="16"/>
          <w:szCs w:val="16"/>
        </w:rPr>
        <w:t>a</w:t>
      </w:r>
      <w:r w:rsidR="0095600C" w:rsidRPr="0013197B">
        <w:rPr>
          <w:sz w:val="16"/>
          <w:szCs w:val="16"/>
        </w:rPr>
        <w:t>tra komersanta bāzes gads</w:t>
      </w:r>
      <w:r w:rsidR="00875277">
        <w:rPr>
          <w:sz w:val="16"/>
          <w:szCs w:val="16"/>
        </w:rPr>
        <w:t>,</w:t>
      </w:r>
      <w:r w:rsidR="006463CF" w:rsidRPr="0013197B">
        <w:rPr>
          <w:sz w:val="16"/>
          <w:szCs w:val="16"/>
        </w:rPr>
        <w:t xml:space="preserve"> pret kuru vērtē </w:t>
      </w:r>
      <w:r w:rsidR="00EF5128" w:rsidRPr="0013197B">
        <w:rPr>
          <w:sz w:val="16"/>
          <w:szCs w:val="16"/>
        </w:rPr>
        <w:t>darba algu fonda pieaugumu</w:t>
      </w:r>
      <w:r w:rsidR="00875277">
        <w:rPr>
          <w:sz w:val="16"/>
          <w:szCs w:val="16"/>
        </w:rPr>
        <w:t>,</w:t>
      </w:r>
      <w:r w:rsidR="00EF5128" w:rsidRPr="0013197B">
        <w:rPr>
          <w:sz w:val="16"/>
          <w:szCs w:val="16"/>
        </w:rPr>
        <w:t xml:space="preserve"> </w:t>
      </w:r>
      <w:r w:rsidR="006463CF" w:rsidRPr="0013197B">
        <w:rPr>
          <w:sz w:val="16"/>
          <w:szCs w:val="16"/>
        </w:rPr>
        <w:t>var būt atšķirīgs</w:t>
      </w:r>
      <w:r w:rsidR="00EF5128" w:rsidRPr="0013197B">
        <w:rPr>
          <w:sz w:val="16"/>
          <w:szCs w:val="16"/>
        </w:rPr>
        <w:t xml:space="preserve">, bet ne </w:t>
      </w:r>
      <w:r w:rsidR="005D693E" w:rsidRPr="0013197B">
        <w:rPr>
          <w:sz w:val="16"/>
          <w:szCs w:val="16"/>
        </w:rPr>
        <w:t>ātrāk par 2021.gadu.</w:t>
      </w:r>
      <w:r w:rsidR="00E515FD" w:rsidRPr="0013197B">
        <w:rPr>
          <w:sz w:val="16"/>
          <w:szCs w:val="16"/>
        </w:rPr>
        <w:t xml:space="preserve"> </w:t>
      </w:r>
      <w:r w:rsidR="00A50AE1" w:rsidRPr="0013197B">
        <w:rPr>
          <w:sz w:val="16"/>
          <w:szCs w:val="16"/>
        </w:rPr>
        <w:t>Piemēram, komersantam, kas izveidots 2023.gadā, bāzes gads būs 2023.gads</w:t>
      </w:r>
      <w:r w:rsidR="00363515" w:rsidRPr="0013197B">
        <w:rPr>
          <w:sz w:val="16"/>
          <w:szCs w:val="16"/>
        </w:rPr>
        <w:t>.</w:t>
      </w:r>
    </w:p>
  </w:footnote>
  <w:footnote w:id="4">
    <w:p w14:paraId="1AB8D435" w14:textId="48AB2B1B" w:rsidR="00154FA9" w:rsidRPr="0013197B" w:rsidRDefault="00154FA9">
      <w:pPr>
        <w:pStyle w:val="FootnoteText"/>
        <w:rPr>
          <w:sz w:val="16"/>
          <w:szCs w:val="16"/>
        </w:rPr>
      </w:pPr>
      <w:r w:rsidRPr="0013197B">
        <w:rPr>
          <w:rStyle w:val="FootnoteReference"/>
          <w:sz w:val="16"/>
          <w:szCs w:val="16"/>
        </w:rPr>
        <w:footnoteRef/>
      </w:r>
      <w:r w:rsidRPr="0013197B">
        <w:rPr>
          <w:sz w:val="16"/>
          <w:szCs w:val="16"/>
        </w:rPr>
        <w:t xml:space="preserve"> Izmaksas, kas radušās komersantam, t.sk. darba devēja sociālais nodoklis</w:t>
      </w:r>
      <w:r w:rsidR="00363515" w:rsidRPr="0013197B">
        <w:rPr>
          <w:sz w:val="16"/>
          <w:szCs w:val="16"/>
        </w:rPr>
        <w:t>.</w:t>
      </w:r>
    </w:p>
  </w:footnote>
  <w:footnote w:id="5">
    <w:p w14:paraId="2A3599C5" w14:textId="1626CE79" w:rsidR="009451F0" w:rsidRPr="0013197B" w:rsidRDefault="009451F0" w:rsidP="009451F0">
      <w:pPr>
        <w:pStyle w:val="FootnoteText"/>
        <w:rPr>
          <w:sz w:val="16"/>
          <w:szCs w:val="16"/>
        </w:rPr>
      </w:pPr>
      <w:r w:rsidRPr="0013197B">
        <w:rPr>
          <w:rStyle w:val="FootnoteReference"/>
          <w:sz w:val="16"/>
          <w:szCs w:val="16"/>
        </w:rPr>
        <w:footnoteRef/>
      </w:r>
      <w:r w:rsidRPr="0013197B">
        <w:rPr>
          <w:sz w:val="16"/>
          <w:szCs w:val="16"/>
        </w:rPr>
        <w:t xml:space="preserve"> Projekt</w:t>
      </w:r>
      <w:r w:rsidR="00783081" w:rsidRPr="0013197B">
        <w:rPr>
          <w:sz w:val="16"/>
          <w:szCs w:val="16"/>
        </w:rPr>
        <w:t>ā</w:t>
      </w:r>
      <w:r w:rsidRPr="0013197B">
        <w:rPr>
          <w:sz w:val="16"/>
          <w:szCs w:val="16"/>
        </w:rPr>
        <w:t xml:space="preserve"> </w:t>
      </w:r>
      <w:r w:rsidR="00783081" w:rsidRPr="0013197B">
        <w:rPr>
          <w:sz w:val="16"/>
          <w:szCs w:val="16"/>
        </w:rPr>
        <w:t>sasniedzamais</w:t>
      </w:r>
      <w:r w:rsidRPr="0013197B">
        <w:rPr>
          <w:sz w:val="16"/>
          <w:szCs w:val="16"/>
        </w:rPr>
        <w:t xml:space="preserve"> rādītājs tiek sasniegts 2028.gadā, </w:t>
      </w:r>
      <w:r w:rsidR="00716D75" w:rsidRPr="0013197B">
        <w:rPr>
          <w:sz w:val="16"/>
          <w:szCs w:val="16"/>
        </w:rPr>
        <w:t xml:space="preserve">finansējuma saņēmējs iesniedz </w:t>
      </w:r>
      <w:r w:rsidR="007C238A" w:rsidRPr="0013197B">
        <w:rPr>
          <w:sz w:val="16"/>
          <w:szCs w:val="16"/>
        </w:rPr>
        <w:t xml:space="preserve">rādītāju pārskatu CFLA, </w:t>
      </w:r>
      <w:r w:rsidRPr="0013197B">
        <w:rPr>
          <w:sz w:val="16"/>
          <w:szCs w:val="16"/>
        </w:rPr>
        <w:t>līdz ar to turpmāka projekta rezultāta rādītāja izpildes kontrole netiek veikta</w:t>
      </w:r>
      <w:r w:rsidR="00363515" w:rsidRPr="0013197B">
        <w:rPr>
          <w:sz w:val="16"/>
          <w:szCs w:val="16"/>
        </w:rPr>
        <w:t>.</w:t>
      </w:r>
    </w:p>
  </w:footnote>
  <w:footnote w:id="6">
    <w:p w14:paraId="27F5F73B" w14:textId="03317D11" w:rsidR="00A25937" w:rsidRPr="0013197B" w:rsidRDefault="00A25937">
      <w:pPr>
        <w:pStyle w:val="FootnoteText"/>
        <w:rPr>
          <w:sz w:val="16"/>
          <w:szCs w:val="16"/>
        </w:rPr>
      </w:pPr>
      <w:r w:rsidRPr="0013197B">
        <w:rPr>
          <w:rStyle w:val="FootnoteReference"/>
          <w:sz w:val="16"/>
          <w:szCs w:val="16"/>
        </w:rPr>
        <w:footnoteRef/>
      </w:r>
      <w:r w:rsidRPr="0013197B">
        <w:rPr>
          <w:sz w:val="16"/>
          <w:szCs w:val="16"/>
        </w:rPr>
        <w:t xml:space="preserve"> Ja vērtība ir vienāda vai mazāka pret bāzes gadu, tad darba algu fonda pieaugums ir 0. Vērtības samazinājums kumulatīvajā aprēķinā netiek ņemts vērā.</w:t>
      </w:r>
    </w:p>
  </w:footnote>
  <w:footnote w:id="7">
    <w:p w14:paraId="3F57A7C5" w14:textId="28D65C50" w:rsidR="00A25937" w:rsidRPr="0013197B" w:rsidRDefault="00A25937">
      <w:pPr>
        <w:pStyle w:val="FootnoteText"/>
        <w:rPr>
          <w:sz w:val="16"/>
          <w:szCs w:val="16"/>
        </w:rPr>
      </w:pPr>
      <w:r w:rsidRPr="0013197B">
        <w:rPr>
          <w:rStyle w:val="FootnoteReference"/>
          <w:sz w:val="16"/>
          <w:szCs w:val="16"/>
        </w:rPr>
        <w:footnoteRef/>
      </w:r>
      <w:r w:rsidRPr="0013197B">
        <w:rPr>
          <w:sz w:val="16"/>
          <w:szCs w:val="16"/>
        </w:rPr>
        <w:t xml:space="preserve"> 2014. gada 17. jūnija Komisijas Regulas (ES) Nr.651/2014, </w:t>
      </w:r>
      <w:r w:rsidRPr="0013197B">
        <w:rPr>
          <w:i/>
          <w:iCs/>
          <w:sz w:val="16"/>
          <w:szCs w:val="16"/>
        </w:rPr>
        <w:t>ar ko noteiktas atbalsta kategorijas atzīst par saderīgām ar iekšējo tirgu, piemērojot Līguma 107. un 108.pantu</w:t>
      </w:r>
      <w:r w:rsidR="0021739B">
        <w:rPr>
          <w:i/>
          <w:iCs/>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F0"/>
    <w:rsid w:val="00036937"/>
    <w:rsid w:val="000678F0"/>
    <w:rsid w:val="000802E5"/>
    <w:rsid w:val="00081306"/>
    <w:rsid w:val="00081657"/>
    <w:rsid w:val="000B58C2"/>
    <w:rsid w:val="000B63DE"/>
    <w:rsid w:val="000D5835"/>
    <w:rsid w:val="000E3A38"/>
    <w:rsid w:val="000F4AE7"/>
    <w:rsid w:val="001220C4"/>
    <w:rsid w:val="00123A38"/>
    <w:rsid w:val="0012762E"/>
    <w:rsid w:val="001311E5"/>
    <w:rsid w:val="0013197B"/>
    <w:rsid w:val="00154FA9"/>
    <w:rsid w:val="00156893"/>
    <w:rsid w:val="00157CAE"/>
    <w:rsid w:val="00165F1D"/>
    <w:rsid w:val="00175639"/>
    <w:rsid w:val="00186CB8"/>
    <w:rsid w:val="0019740D"/>
    <w:rsid w:val="001A384E"/>
    <w:rsid w:val="001E042E"/>
    <w:rsid w:val="001E3615"/>
    <w:rsid w:val="001E79A4"/>
    <w:rsid w:val="002016A6"/>
    <w:rsid w:val="0021739B"/>
    <w:rsid w:val="00231D3B"/>
    <w:rsid w:val="00242C48"/>
    <w:rsid w:val="002C24C2"/>
    <w:rsid w:val="002E7C45"/>
    <w:rsid w:val="00300007"/>
    <w:rsid w:val="00306664"/>
    <w:rsid w:val="00315AA5"/>
    <w:rsid w:val="00324488"/>
    <w:rsid w:val="00356938"/>
    <w:rsid w:val="00363515"/>
    <w:rsid w:val="003B58DF"/>
    <w:rsid w:val="003C0DB2"/>
    <w:rsid w:val="0040608D"/>
    <w:rsid w:val="00410873"/>
    <w:rsid w:val="00412E89"/>
    <w:rsid w:val="0043172B"/>
    <w:rsid w:val="0046402B"/>
    <w:rsid w:val="004F719F"/>
    <w:rsid w:val="00526E70"/>
    <w:rsid w:val="00555F81"/>
    <w:rsid w:val="0058117D"/>
    <w:rsid w:val="005A0142"/>
    <w:rsid w:val="005A0F9F"/>
    <w:rsid w:val="005D693E"/>
    <w:rsid w:val="005E1D0A"/>
    <w:rsid w:val="005F0219"/>
    <w:rsid w:val="00641EF5"/>
    <w:rsid w:val="006463CF"/>
    <w:rsid w:val="006536CF"/>
    <w:rsid w:val="00685FFE"/>
    <w:rsid w:val="006E5F47"/>
    <w:rsid w:val="006E5FCC"/>
    <w:rsid w:val="007006CF"/>
    <w:rsid w:val="00716D75"/>
    <w:rsid w:val="007304F0"/>
    <w:rsid w:val="00735931"/>
    <w:rsid w:val="007452EF"/>
    <w:rsid w:val="00751906"/>
    <w:rsid w:val="00765C7E"/>
    <w:rsid w:val="00770CC5"/>
    <w:rsid w:val="00783081"/>
    <w:rsid w:val="007A2331"/>
    <w:rsid w:val="007C238A"/>
    <w:rsid w:val="007D12F1"/>
    <w:rsid w:val="007D500E"/>
    <w:rsid w:val="007E1D0E"/>
    <w:rsid w:val="007E79B7"/>
    <w:rsid w:val="007F0A08"/>
    <w:rsid w:val="00814990"/>
    <w:rsid w:val="00846FEC"/>
    <w:rsid w:val="00853EB5"/>
    <w:rsid w:val="00875277"/>
    <w:rsid w:val="008A0690"/>
    <w:rsid w:val="008A6AA3"/>
    <w:rsid w:val="008B2012"/>
    <w:rsid w:val="008C3191"/>
    <w:rsid w:val="0090691C"/>
    <w:rsid w:val="00943BF5"/>
    <w:rsid w:val="009451F0"/>
    <w:rsid w:val="00946113"/>
    <w:rsid w:val="0095600C"/>
    <w:rsid w:val="009978B4"/>
    <w:rsid w:val="009B562D"/>
    <w:rsid w:val="009C0B1E"/>
    <w:rsid w:val="009D09C8"/>
    <w:rsid w:val="009D2205"/>
    <w:rsid w:val="009E1604"/>
    <w:rsid w:val="00A0445E"/>
    <w:rsid w:val="00A25937"/>
    <w:rsid w:val="00A344A9"/>
    <w:rsid w:val="00A50AE1"/>
    <w:rsid w:val="00A51615"/>
    <w:rsid w:val="00A65C85"/>
    <w:rsid w:val="00A80877"/>
    <w:rsid w:val="00A86829"/>
    <w:rsid w:val="00A9305F"/>
    <w:rsid w:val="00AA0C3E"/>
    <w:rsid w:val="00AC5181"/>
    <w:rsid w:val="00B15385"/>
    <w:rsid w:val="00B43851"/>
    <w:rsid w:val="00B469A1"/>
    <w:rsid w:val="00B553B7"/>
    <w:rsid w:val="00B61770"/>
    <w:rsid w:val="00B82519"/>
    <w:rsid w:val="00BA338D"/>
    <w:rsid w:val="00BB6926"/>
    <w:rsid w:val="00C366B7"/>
    <w:rsid w:val="00C440F7"/>
    <w:rsid w:val="00C611C4"/>
    <w:rsid w:val="00C621CC"/>
    <w:rsid w:val="00C92AF0"/>
    <w:rsid w:val="00CA3E14"/>
    <w:rsid w:val="00CB587C"/>
    <w:rsid w:val="00CC77EE"/>
    <w:rsid w:val="00CE3ABE"/>
    <w:rsid w:val="00CE49B4"/>
    <w:rsid w:val="00CF600D"/>
    <w:rsid w:val="00D40AE4"/>
    <w:rsid w:val="00D62836"/>
    <w:rsid w:val="00DA10F4"/>
    <w:rsid w:val="00DB19C5"/>
    <w:rsid w:val="00DD0DAC"/>
    <w:rsid w:val="00DD5F9B"/>
    <w:rsid w:val="00E0071C"/>
    <w:rsid w:val="00E07F9A"/>
    <w:rsid w:val="00E4089D"/>
    <w:rsid w:val="00E515FD"/>
    <w:rsid w:val="00E576DB"/>
    <w:rsid w:val="00E625F6"/>
    <w:rsid w:val="00E825CD"/>
    <w:rsid w:val="00EF5128"/>
    <w:rsid w:val="00F33152"/>
    <w:rsid w:val="00F5458D"/>
    <w:rsid w:val="00F81C77"/>
    <w:rsid w:val="00FA39A6"/>
    <w:rsid w:val="00FA7846"/>
    <w:rsid w:val="00FE7B1E"/>
    <w:rsid w:val="00FF57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B19E"/>
  <w15:chartTrackingRefBased/>
  <w15:docId w15:val="{2EEE57F0-695C-4EE4-8D63-0CDDD5EC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8F0"/>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2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452EF"/>
    <w:rPr>
      <w:sz w:val="20"/>
      <w:szCs w:val="20"/>
    </w:rPr>
  </w:style>
  <w:style w:type="character" w:customStyle="1" w:styleId="FootnoteTextChar">
    <w:name w:val="Footnote Text Char"/>
    <w:basedOn w:val="DefaultParagraphFont"/>
    <w:link w:val="FootnoteText"/>
    <w:uiPriority w:val="99"/>
    <w:semiHidden/>
    <w:rsid w:val="007452EF"/>
    <w:rPr>
      <w:rFonts w:ascii="Calibri" w:hAnsi="Calibri" w:cs="Calibri"/>
      <w:kern w:val="0"/>
      <w:sz w:val="20"/>
      <w:szCs w:val="20"/>
    </w:rPr>
  </w:style>
  <w:style w:type="character" w:styleId="FootnoteReference">
    <w:name w:val="footnote reference"/>
    <w:basedOn w:val="DefaultParagraphFont"/>
    <w:uiPriority w:val="99"/>
    <w:semiHidden/>
    <w:unhideWhenUsed/>
    <w:rsid w:val="007452EF"/>
    <w:rPr>
      <w:vertAlign w:val="superscript"/>
    </w:rPr>
  </w:style>
  <w:style w:type="character" w:styleId="CommentReference">
    <w:name w:val="annotation reference"/>
    <w:basedOn w:val="DefaultParagraphFont"/>
    <w:uiPriority w:val="99"/>
    <w:semiHidden/>
    <w:unhideWhenUsed/>
    <w:rsid w:val="001311E5"/>
    <w:rPr>
      <w:sz w:val="16"/>
      <w:szCs w:val="16"/>
    </w:rPr>
  </w:style>
  <w:style w:type="paragraph" w:styleId="CommentText">
    <w:name w:val="annotation text"/>
    <w:basedOn w:val="Normal"/>
    <w:link w:val="CommentTextChar"/>
    <w:uiPriority w:val="99"/>
    <w:unhideWhenUsed/>
    <w:rsid w:val="001311E5"/>
    <w:rPr>
      <w:sz w:val="20"/>
      <w:szCs w:val="20"/>
    </w:rPr>
  </w:style>
  <w:style w:type="character" w:customStyle="1" w:styleId="CommentTextChar">
    <w:name w:val="Comment Text Char"/>
    <w:basedOn w:val="DefaultParagraphFont"/>
    <w:link w:val="CommentText"/>
    <w:uiPriority w:val="99"/>
    <w:rsid w:val="001311E5"/>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1311E5"/>
    <w:rPr>
      <w:b/>
      <w:bCs/>
    </w:rPr>
  </w:style>
  <w:style w:type="character" w:customStyle="1" w:styleId="CommentSubjectChar">
    <w:name w:val="Comment Subject Char"/>
    <w:basedOn w:val="CommentTextChar"/>
    <w:link w:val="CommentSubject"/>
    <w:uiPriority w:val="99"/>
    <w:semiHidden/>
    <w:rsid w:val="001311E5"/>
    <w:rPr>
      <w:rFonts w:ascii="Calibri" w:hAnsi="Calibri" w:cs="Calibri"/>
      <w:b/>
      <w:bCs/>
      <w:kern w:val="0"/>
      <w:sz w:val="20"/>
      <w:szCs w:val="20"/>
    </w:rPr>
  </w:style>
  <w:style w:type="paragraph" w:styleId="Revision">
    <w:name w:val="Revision"/>
    <w:hidden/>
    <w:uiPriority w:val="99"/>
    <w:semiHidden/>
    <w:rsid w:val="001220C4"/>
    <w:pPr>
      <w:spacing w:after="0" w:line="240" w:lineRule="auto"/>
    </w:pPr>
    <w:rPr>
      <w:rFonts w:ascii="Calibri" w:hAnsi="Calibri" w:cs="Calibri"/>
      <w:kern w:val="0"/>
    </w:rPr>
  </w:style>
  <w:style w:type="paragraph" w:styleId="Header">
    <w:name w:val="header"/>
    <w:basedOn w:val="Normal"/>
    <w:link w:val="HeaderChar"/>
    <w:uiPriority w:val="99"/>
    <w:semiHidden/>
    <w:unhideWhenUsed/>
    <w:rsid w:val="0090691C"/>
    <w:pPr>
      <w:tabs>
        <w:tab w:val="center" w:pos="4153"/>
        <w:tab w:val="right" w:pos="8306"/>
      </w:tabs>
    </w:pPr>
  </w:style>
  <w:style w:type="character" w:customStyle="1" w:styleId="HeaderChar">
    <w:name w:val="Header Char"/>
    <w:basedOn w:val="DefaultParagraphFont"/>
    <w:link w:val="Header"/>
    <w:uiPriority w:val="99"/>
    <w:semiHidden/>
    <w:rsid w:val="0090691C"/>
    <w:rPr>
      <w:rFonts w:ascii="Calibri" w:hAnsi="Calibri" w:cs="Calibri"/>
      <w:kern w:val="0"/>
    </w:rPr>
  </w:style>
  <w:style w:type="paragraph" w:styleId="Footer">
    <w:name w:val="footer"/>
    <w:basedOn w:val="Normal"/>
    <w:link w:val="FooterChar"/>
    <w:uiPriority w:val="99"/>
    <w:semiHidden/>
    <w:unhideWhenUsed/>
    <w:rsid w:val="0090691C"/>
    <w:pPr>
      <w:tabs>
        <w:tab w:val="center" w:pos="4153"/>
        <w:tab w:val="right" w:pos="8306"/>
      </w:tabs>
    </w:pPr>
  </w:style>
  <w:style w:type="character" w:customStyle="1" w:styleId="FooterChar">
    <w:name w:val="Footer Char"/>
    <w:basedOn w:val="DefaultParagraphFont"/>
    <w:link w:val="Footer"/>
    <w:uiPriority w:val="99"/>
    <w:semiHidden/>
    <w:rsid w:val="0090691C"/>
    <w:rPr>
      <w:rFonts w:ascii="Calibri" w:hAnsi="Calibri" w:cs="Calibri"/>
      <w:kern w:val="0"/>
    </w:rPr>
  </w:style>
  <w:style w:type="character" w:customStyle="1" w:styleId="ui-provider">
    <w:name w:val="ui-provider"/>
    <w:basedOn w:val="DefaultParagraphFont"/>
    <w:rsid w:val="00751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2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8" ma:contentTypeDescription="Izveidot jaunu dokumentu." ma:contentTypeScope="" ma:versionID="4e5e1571dcf83e6784ce3fd1521973cf">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b7572d86d6a902072d313ea9ff73516b"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1870c0-76d0-405c-8f5a-8c5a6110650f">
      <Terms xmlns="http://schemas.microsoft.com/office/infopath/2007/PartnerControls"/>
    </lcf76f155ced4ddcb4097134ff3c332f>
    <TaxCatchAll xmlns="97ad5a38-d7de-4b51-9c9d-6f1c61b32969" xsi:nil="true"/>
  </documentManagement>
</p:properties>
</file>

<file path=customXml/itemProps1.xml><?xml version="1.0" encoding="utf-8"?>
<ds:datastoreItem xmlns:ds="http://schemas.openxmlformats.org/officeDocument/2006/customXml" ds:itemID="{E8CC4EAF-4C0C-49C5-A5B8-C436EEE33EAE}">
  <ds:schemaRefs>
    <ds:schemaRef ds:uri="http://schemas.openxmlformats.org/officeDocument/2006/bibliography"/>
  </ds:schemaRefs>
</ds:datastoreItem>
</file>

<file path=customXml/itemProps2.xml><?xml version="1.0" encoding="utf-8"?>
<ds:datastoreItem xmlns:ds="http://schemas.openxmlformats.org/officeDocument/2006/customXml" ds:itemID="{1C0F8B5C-7973-4072-92B0-966CE1629DDF}"/>
</file>

<file path=customXml/itemProps3.xml><?xml version="1.0" encoding="utf-8"?>
<ds:datastoreItem xmlns:ds="http://schemas.openxmlformats.org/officeDocument/2006/customXml" ds:itemID="{7990E49F-844B-4806-AF74-C187AFBAD75C}"/>
</file>

<file path=customXml/itemProps4.xml><?xml version="1.0" encoding="utf-8"?>
<ds:datastoreItem xmlns:ds="http://schemas.openxmlformats.org/officeDocument/2006/customXml" ds:itemID="{8079FD1A-C11C-4DD3-8E93-469D8A427695}"/>
</file>

<file path=docProps/app.xml><?xml version="1.0" encoding="utf-8"?>
<Properties xmlns="http://schemas.openxmlformats.org/officeDocument/2006/extended-properties" xmlns:vt="http://schemas.openxmlformats.org/officeDocument/2006/docPropsVTypes">
  <Template>Normal</Template>
  <TotalTime>351</TotalTime>
  <Pages>1</Pages>
  <Words>2647</Words>
  <Characters>1509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Gratkovska</dc:creator>
  <cp:keywords/>
  <dc:description/>
  <cp:lastModifiedBy>Liene Gratkovska</cp:lastModifiedBy>
  <cp:revision>125</cp:revision>
  <dcterms:created xsi:type="dcterms:W3CDTF">2023-07-01T00:22:00Z</dcterms:created>
  <dcterms:modified xsi:type="dcterms:W3CDTF">2023-07-13T06:34:00Z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0x010100E433AEC60C4E504E90DC491E27C910DB</vt:lpwstr>
  </property>
  <property fmtid="{D5CDD505-2E9C-101B-9397-08002B2CF9AE}" pid="5" name="docLang">
    <vt:lpwstr>lv</vt:lpwstr>
  </property>
</Properties>
</file>