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6E6F4367" w14:textId="7433F5FA" w:rsidR="008207F2" w:rsidRPr="00FE1EE3" w:rsidRDefault="008207F2" w:rsidP="008207F2">
      <w:pPr>
        <w:spacing w:after="0"/>
        <w:contextualSpacing/>
        <w:jc w:val="center"/>
        <w:rPr>
          <w:rFonts w:ascii="Aptos" w:eastAsia="Times New Roman" w:hAnsi="Aptos" w:cs="Times New Roman"/>
          <w:highlight w:val="yellow"/>
        </w:rPr>
      </w:pPr>
      <w:bookmarkStart w:id="0" w:name="_Hlk204247595"/>
      <w:r w:rsidRPr="00FE1EE3">
        <w:rPr>
          <w:rFonts w:ascii="Aptos" w:eastAsia="Times New Roman" w:hAnsi="Aptos" w:cs="Times New Roman"/>
          <w:b/>
          <w:bCs/>
        </w:rPr>
        <w:t xml:space="preserve">Atbildes uz jautājumiem par </w:t>
      </w:r>
      <w:r w:rsidRPr="00FE1EE3">
        <w:rPr>
          <w:rFonts w:ascii="Aptos" w:eastAsia="Times New Roman" w:hAnsi="Aptos" w:cs="Times New Roman"/>
          <w:b/>
          <w:bCs/>
        </w:rPr>
        <w:br/>
        <w:t xml:space="preserve">4.2.1.5. pasākuma “Izglītības iestāžu nodrošinājums pilnveidotā vispārējās izglītības satura kvalitatīvai ieviešanai pamata un vidējās izglītības pakāpē” atlases </w:t>
      </w:r>
      <w:r w:rsidR="00AF4DA7">
        <w:rPr>
          <w:rFonts w:ascii="Aptos" w:eastAsia="Times New Roman" w:hAnsi="Aptos" w:cs="Times New Roman"/>
          <w:b/>
          <w:bCs/>
        </w:rPr>
        <w:t>3</w:t>
      </w:r>
      <w:r w:rsidRPr="00FE1EE3">
        <w:rPr>
          <w:rFonts w:ascii="Aptos" w:eastAsia="Times New Roman" w:hAnsi="Aptos" w:cs="Times New Roman"/>
          <w:b/>
          <w:bCs/>
        </w:rPr>
        <w:t>. kārtu</w:t>
      </w:r>
    </w:p>
    <w:p w14:paraId="3D79C605" w14:textId="77777777" w:rsidR="008207F2" w:rsidRPr="0000701D" w:rsidRDefault="008207F2" w:rsidP="008207F2">
      <w:pPr>
        <w:spacing w:after="0" w:line="264" w:lineRule="auto"/>
        <w:contextualSpacing/>
        <w:jc w:val="both"/>
        <w:rPr>
          <w:rFonts w:ascii="Aptos" w:hAnsi="Aptos" w:cs="Times New Roman"/>
          <w:b/>
          <w:bCs/>
          <w:u w:val="single"/>
        </w:rPr>
      </w:pPr>
      <w:r w:rsidRPr="0000701D">
        <w:rPr>
          <w:rFonts w:ascii="Aptos" w:eastAsia="Times New Roman" w:hAnsi="Aptos" w:cs="Times New Roman"/>
          <w:b/>
          <w:bCs/>
          <w:u w:val="single"/>
        </w:rPr>
        <w:t>Izmantotie saīsinājumi:</w:t>
      </w:r>
    </w:p>
    <w:p w14:paraId="1760FCF7" w14:textId="77777777" w:rsidR="0000701D" w:rsidRDefault="008207F2" w:rsidP="0000701D">
      <w:pPr>
        <w:spacing w:after="120" w:line="240" w:lineRule="auto"/>
        <w:jc w:val="mediumKashida"/>
        <w:rPr>
          <w:rFonts w:ascii="Aptos" w:eastAsia="Times New Roman" w:hAnsi="Aptos" w:cs="Times New Roman"/>
        </w:rPr>
      </w:pPr>
      <w:r w:rsidRPr="00FE1EE3">
        <w:rPr>
          <w:rFonts w:ascii="Aptos" w:eastAsia="Times New Roman" w:hAnsi="Aptos" w:cs="Times New Roman"/>
          <w:b/>
          <w:bCs/>
        </w:rPr>
        <w:t xml:space="preserve">HP </w:t>
      </w:r>
      <w:r w:rsidRPr="00FE1EE3">
        <w:rPr>
          <w:rFonts w:ascii="Aptos" w:eastAsia="Times New Roman" w:hAnsi="Aptos" w:cs="Times New Roman"/>
        </w:rPr>
        <w:t>– horizontālais princips</w:t>
      </w:r>
    </w:p>
    <w:p w14:paraId="03AE948C" w14:textId="04C669DB" w:rsidR="008207F2" w:rsidRDefault="00010678" w:rsidP="0000701D">
      <w:pPr>
        <w:spacing w:after="120" w:line="240" w:lineRule="auto"/>
        <w:jc w:val="mediumKashida"/>
        <w:rPr>
          <w:rFonts w:ascii="Aptos" w:eastAsia="Times New Roman" w:hAnsi="Aptos" w:cs="Times New Roman"/>
          <w:i/>
          <w:u w:val="single"/>
        </w:rPr>
      </w:pPr>
      <w:r w:rsidRPr="0000701D">
        <w:rPr>
          <w:rFonts w:ascii="Aptos" w:eastAsia="Times New Roman" w:hAnsi="Aptos" w:cs="Times New Roman"/>
          <w:b/>
          <w:bCs/>
        </w:rPr>
        <w:t>Projektu portāls</w:t>
      </w:r>
      <w:r>
        <w:rPr>
          <w:rFonts w:ascii="Aptos" w:eastAsia="Times New Roman" w:hAnsi="Aptos" w:cs="Times New Roman"/>
        </w:rPr>
        <w:t xml:space="preserve"> - </w:t>
      </w:r>
      <w:r w:rsidR="0000701D" w:rsidRPr="0000701D">
        <w:rPr>
          <w:rFonts w:ascii="Aptos" w:eastAsia="Times New Roman" w:hAnsi="Aptos" w:cs="Times New Roman"/>
        </w:rPr>
        <w:t>Kohēzijas politikas fondu vadības informācijas sistēm</w:t>
      </w:r>
      <w:r w:rsidR="0000701D">
        <w:rPr>
          <w:rFonts w:ascii="Aptos" w:eastAsia="Times New Roman" w:hAnsi="Aptos" w:cs="Times New Roman"/>
        </w:rPr>
        <w:t>a</w:t>
      </w:r>
      <w:r w:rsidR="0000701D" w:rsidRPr="0000701D">
        <w:rPr>
          <w:rFonts w:ascii="Aptos" w:eastAsia="Times New Roman" w:hAnsi="Aptos" w:cs="Times New Roman"/>
        </w:rPr>
        <w:t xml:space="preserve"> </w:t>
      </w:r>
      <w:hyperlink r:id="rId10" w:history="1">
        <w:r w:rsidR="0000701D" w:rsidRPr="0000701D">
          <w:rPr>
            <w:rFonts w:ascii="Aptos" w:eastAsia="Calibri" w:hAnsi="Aptos"/>
            <w:color w:val="0000FF"/>
            <w:u w:val="single"/>
          </w:rPr>
          <w:t>https://projekti.cfla.gov.lv</w:t>
        </w:r>
      </w:hyperlink>
    </w:p>
    <w:p w14:paraId="29AB3CFA" w14:textId="15440159" w:rsidR="008207F2" w:rsidRPr="00FE1EE3" w:rsidRDefault="008207F2" w:rsidP="008207F2">
      <w:pPr>
        <w:spacing w:after="120" w:line="240" w:lineRule="auto"/>
        <w:jc w:val="both"/>
        <w:rPr>
          <w:rFonts w:ascii="Aptos" w:hAnsi="Aptos" w:cs="Times New Roman"/>
        </w:rPr>
      </w:pPr>
      <w:r w:rsidRPr="00FE1EE3">
        <w:rPr>
          <w:rFonts w:ascii="Aptos" w:eastAsia="Times New Roman" w:hAnsi="Aptos" w:cs="Times New Roman"/>
          <w:b/>
          <w:bCs/>
        </w:rPr>
        <w:t xml:space="preserve">SAM 4215 MK noteikumi </w:t>
      </w:r>
      <w:r w:rsidRPr="00FE1EE3">
        <w:rPr>
          <w:rFonts w:ascii="Aptos" w:eastAsia="Times New Roman" w:hAnsi="Aptos" w:cs="Times New Roman"/>
        </w:rPr>
        <w:t xml:space="preserve">– </w:t>
      </w:r>
      <w:bookmarkStart w:id="1" w:name="_Hlk157076033"/>
      <w:r w:rsidRPr="00FE1EE3">
        <w:rPr>
          <w:rFonts w:ascii="Aptos" w:hAnsi="Aptos" w:cs="Times New Roman"/>
        </w:rPr>
        <w:t xml:space="preserve">Ministru kabineta 2025. gada </w:t>
      </w:r>
      <w:r w:rsidR="002436ED">
        <w:rPr>
          <w:rFonts w:ascii="Aptos" w:hAnsi="Aptos" w:cs="Times New Roman"/>
        </w:rPr>
        <w:t>16</w:t>
      </w:r>
      <w:r w:rsidRPr="00FE1EE3">
        <w:rPr>
          <w:rFonts w:ascii="Aptos" w:hAnsi="Aptos" w:cs="Times New Roman"/>
        </w:rPr>
        <w:t xml:space="preserve">. </w:t>
      </w:r>
      <w:r w:rsidR="002436ED">
        <w:rPr>
          <w:rFonts w:ascii="Aptos" w:hAnsi="Aptos" w:cs="Times New Roman"/>
        </w:rPr>
        <w:t>decemb</w:t>
      </w:r>
      <w:r w:rsidRPr="00FE1EE3">
        <w:rPr>
          <w:rFonts w:ascii="Aptos" w:hAnsi="Aptos" w:cs="Times New Roman"/>
        </w:rPr>
        <w:t xml:space="preserve">ra noteikumi Nr. </w:t>
      </w:r>
      <w:r w:rsidR="002436ED">
        <w:rPr>
          <w:rFonts w:ascii="Aptos" w:hAnsi="Aptos" w:cs="Times New Roman"/>
        </w:rPr>
        <w:t>783</w:t>
      </w:r>
      <w:r w:rsidRPr="00FE1EE3">
        <w:rPr>
          <w:rFonts w:ascii="Aptos" w:hAnsi="Aptos" w:cs="Times New Roman"/>
        </w:rPr>
        <w:t xml:space="preserve">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w:t>
      </w:r>
      <w:r w:rsidR="002436ED">
        <w:rPr>
          <w:rFonts w:ascii="Aptos" w:hAnsi="Aptos" w:cs="Times New Roman"/>
        </w:rPr>
        <w:t>treš</w:t>
      </w:r>
      <w:r w:rsidRPr="00FE1EE3">
        <w:rPr>
          <w:rFonts w:ascii="Aptos" w:hAnsi="Aptos" w:cs="Times New Roman"/>
        </w:rPr>
        <w:t>ās projektu iesniegumu atlases kārtas īstenošanas noteikumi”.</w:t>
      </w:r>
    </w:p>
    <w:bookmarkEnd w:id="1"/>
    <w:p w14:paraId="294F04C2" w14:textId="0A02DD19" w:rsidR="008207F2" w:rsidRPr="00FE1EE3" w:rsidRDefault="008207F2" w:rsidP="008207F2">
      <w:pPr>
        <w:spacing w:after="120" w:line="240" w:lineRule="auto"/>
        <w:jc w:val="both"/>
        <w:rPr>
          <w:rFonts w:ascii="Aptos" w:eastAsia="Times New Roman" w:hAnsi="Aptos" w:cs="Times New Roman"/>
        </w:rPr>
      </w:pPr>
      <w:r w:rsidRPr="00FE1EE3">
        <w:rPr>
          <w:rFonts w:ascii="Aptos" w:eastAsia="Times New Roman" w:hAnsi="Aptos" w:cs="Times New Roman"/>
          <w:b/>
          <w:bCs/>
        </w:rPr>
        <w:t>SAMP 4.2.1.5.</w:t>
      </w:r>
      <w:r w:rsidRPr="00FE1EE3">
        <w:rPr>
          <w:rFonts w:ascii="Aptos" w:eastAsia="Times New Roman" w:hAnsi="Aptos" w:cs="Times New Roman"/>
        </w:rPr>
        <w:t xml:space="preserve"> -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w:t>
      </w:r>
      <w:r w:rsidR="00AC0841">
        <w:rPr>
          <w:rFonts w:ascii="Aptos" w:eastAsia="Times New Roman" w:hAnsi="Aptos" w:cs="Times New Roman"/>
        </w:rPr>
        <w:t>a</w:t>
      </w:r>
      <w:r w:rsidRPr="00FE1EE3">
        <w:rPr>
          <w:rFonts w:ascii="Aptos" w:eastAsia="Times New Roman" w:hAnsi="Aptos" w:cs="Times New Roman"/>
        </w:rPr>
        <w:t xml:space="preserve"> “Izglītības iestāžu nodrošinājums pilnveidotā vispārējās izglītības satura kvalitatīvai ieviešanai pamata un vidējās izglītības pakāpē”</w:t>
      </w:r>
      <w:r w:rsidR="00AC0841" w:rsidRPr="00AC0841">
        <w:rPr>
          <w:rFonts w:ascii="Aptos" w:hAnsi="Aptos" w:cs="Times New Roman"/>
        </w:rPr>
        <w:t xml:space="preserve"> </w:t>
      </w:r>
      <w:r w:rsidR="00AC0841">
        <w:rPr>
          <w:rFonts w:ascii="Aptos" w:hAnsi="Aptos" w:cs="Times New Roman"/>
        </w:rPr>
        <w:t>treš</w:t>
      </w:r>
      <w:r w:rsidR="00AC0841" w:rsidRPr="00FE1EE3">
        <w:rPr>
          <w:rFonts w:ascii="Aptos" w:hAnsi="Aptos" w:cs="Times New Roman"/>
        </w:rPr>
        <w:t>ā projektu iesniegumu atlases kārta</w:t>
      </w:r>
      <w:r w:rsidR="00AC0841">
        <w:rPr>
          <w:rFonts w:ascii="Aptos" w:hAnsi="Aptos" w:cs="Times New Roman"/>
        </w:rPr>
        <w:t>.</w:t>
      </w:r>
    </w:p>
    <w:sdt>
      <w:sdtPr>
        <w:rPr>
          <w:rFonts w:ascii="Aptos" w:eastAsiaTheme="minorEastAsia" w:hAnsi="Aptos" w:cs="Times New Roman"/>
          <w:b w:val="0"/>
          <w:sz w:val="22"/>
          <w:szCs w:val="22"/>
        </w:rPr>
        <w:id w:val="1872647678"/>
        <w:docPartObj>
          <w:docPartGallery w:val="Table of Contents"/>
          <w:docPartUnique/>
        </w:docPartObj>
      </w:sdtPr>
      <w:sdtContent>
        <w:p w14:paraId="3C5E67A5" w14:textId="77777777" w:rsidR="00DC1383" w:rsidRPr="00FE1EE3" w:rsidRDefault="00DC1383" w:rsidP="00DC1383">
          <w:pPr>
            <w:pStyle w:val="TOCHeading"/>
            <w:jc w:val="left"/>
            <w:rPr>
              <w:rFonts w:ascii="Aptos" w:eastAsia="Times New Roman" w:hAnsi="Aptos" w:cs="Times New Roman"/>
              <w:b w:val="0"/>
              <w:bCs/>
              <w:color w:val="2F5496" w:themeColor="accent1" w:themeShade="BF"/>
              <w:sz w:val="22"/>
              <w:szCs w:val="22"/>
              <w:u w:val="single"/>
            </w:rPr>
          </w:pPr>
          <w:r w:rsidRPr="00FE1EE3">
            <w:rPr>
              <w:rFonts w:ascii="Aptos" w:eastAsia="Times New Roman" w:hAnsi="Aptos" w:cs="Times New Roman"/>
              <w:bCs/>
              <w:color w:val="2F5496" w:themeColor="accent1" w:themeShade="BF"/>
              <w:sz w:val="22"/>
              <w:szCs w:val="22"/>
              <w:u w:val="single"/>
            </w:rPr>
            <w:t>Saturs</w:t>
          </w:r>
        </w:p>
        <w:p w14:paraId="2940DE0F" w14:textId="2512FDAE" w:rsidR="009A2EED" w:rsidRDefault="00DC1383">
          <w:pPr>
            <w:pStyle w:val="TOC1"/>
            <w:tabs>
              <w:tab w:val="left" w:pos="440"/>
              <w:tab w:val="right" w:leader="dot" w:pos="15388"/>
            </w:tabs>
            <w:rPr>
              <w:rFonts w:eastAsiaTheme="minorEastAsia"/>
              <w:noProof/>
              <w:kern w:val="2"/>
              <w:sz w:val="24"/>
              <w:szCs w:val="24"/>
              <w:lang w:val="en-US"/>
              <w14:ligatures w14:val="standardContextual"/>
            </w:rPr>
          </w:pPr>
          <w:r w:rsidRPr="00FE1EE3">
            <w:rPr>
              <w:rFonts w:ascii="Aptos" w:hAnsi="Aptos" w:cs="Times New Roman"/>
            </w:rPr>
            <w:fldChar w:fldCharType="begin"/>
          </w:r>
          <w:r w:rsidRPr="00FE1EE3">
            <w:rPr>
              <w:rFonts w:ascii="Aptos" w:hAnsi="Aptos" w:cs="Times New Roman"/>
            </w:rPr>
            <w:instrText xml:space="preserve"> TOC \o "1-3" \h \z \u </w:instrText>
          </w:r>
          <w:r w:rsidRPr="00FE1EE3">
            <w:rPr>
              <w:rFonts w:ascii="Aptos" w:hAnsi="Aptos" w:cs="Times New Roman"/>
            </w:rPr>
            <w:fldChar w:fldCharType="separate"/>
          </w:r>
          <w:hyperlink w:anchor="_Toc206588377" w:history="1">
            <w:r w:rsidR="009A2EED" w:rsidRPr="00D22280">
              <w:rPr>
                <w:rStyle w:val="Hyperlink"/>
                <w:rFonts w:ascii="Aptos" w:hAnsi="Aptos" w:cs="Times New Roman"/>
                <w:bCs/>
                <w:noProof/>
              </w:rPr>
              <w:t>1.</w:t>
            </w:r>
            <w:r w:rsidR="009A2EED">
              <w:rPr>
                <w:rFonts w:eastAsiaTheme="minorEastAsia"/>
                <w:noProof/>
                <w:kern w:val="2"/>
                <w:sz w:val="24"/>
                <w:szCs w:val="24"/>
                <w:lang w:val="en-US"/>
                <w14:ligatures w14:val="standardContextual"/>
              </w:rPr>
              <w:tab/>
            </w:r>
            <w:r w:rsidR="009A2EED" w:rsidRPr="00D22280">
              <w:rPr>
                <w:rStyle w:val="Hyperlink"/>
                <w:rFonts w:ascii="Aptos" w:hAnsi="Aptos" w:cs="Times New Roman"/>
                <w:noProof/>
              </w:rPr>
              <w:t>Vispārīgi jautājumi</w:t>
            </w:r>
            <w:r w:rsidR="009A2EED">
              <w:rPr>
                <w:noProof/>
                <w:webHidden/>
              </w:rPr>
              <w:tab/>
            </w:r>
            <w:r w:rsidR="009A2EED">
              <w:rPr>
                <w:noProof/>
                <w:webHidden/>
              </w:rPr>
              <w:fldChar w:fldCharType="begin"/>
            </w:r>
            <w:r w:rsidR="009A2EED">
              <w:rPr>
                <w:noProof/>
                <w:webHidden/>
              </w:rPr>
              <w:instrText xml:space="preserve"> PAGEREF _Toc206588377 \h </w:instrText>
            </w:r>
            <w:r w:rsidR="009A2EED">
              <w:rPr>
                <w:noProof/>
                <w:webHidden/>
              </w:rPr>
            </w:r>
            <w:r w:rsidR="009A2EED">
              <w:rPr>
                <w:noProof/>
                <w:webHidden/>
              </w:rPr>
              <w:fldChar w:fldCharType="separate"/>
            </w:r>
            <w:r w:rsidR="009A2EED">
              <w:rPr>
                <w:noProof/>
                <w:webHidden/>
              </w:rPr>
              <w:t>2</w:t>
            </w:r>
            <w:r w:rsidR="009A2EED">
              <w:rPr>
                <w:noProof/>
                <w:webHidden/>
              </w:rPr>
              <w:fldChar w:fldCharType="end"/>
            </w:r>
          </w:hyperlink>
        </w:p>
        <w:p w14:paraId="3893A0F1" w14:textId="1F2FEF25"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78" w:history="1">
            <w:r w:rsidRPr="00D22280">
              <w:rPr>
                <w:rStyle w:val="Hyperlink"/>
                <w:rFonts w:ascii="Aptos" w:hAnsi="Aptos" w:cs="Times New Roman"/>
                <w:bCs/>
                <w:noProof/>
              </w:rPr>
              <w:t>2.</w:t>
            </w:r>
            <w:r>
              <w:rPr>
                <w:rFonts w:eastAsiaTheme="minorEastAsia"/>
                <w:noProof/>
                <w:kern w:val="2"/>
                <w:sz w:val="24"/>
                <w:szCs w:val="24"/>
                <w:lang w:val="en-US"/>
                <w14:ligatures w14:val="standardContextual"/>
              </w:rPr>
              <w:tab/>
            </w:r>
            <w:r w:rsidRPr="00D22280">
              <w:rPr>
                <w:rStyle w:val="Hyperlink"/>
                <w:rFonts w:ascii="Aptos" w:hAnsi="Aptos" w:cs="Times New Roman"/>
                <w:noProof/>
              </w:rPr>
              <w:t>Īstenošanas nosacījumi</w:t>
            </w:r>
            <w:r>
              <w:rPr>
                <w:noProof/>
                <w:webHidden/>
              </w:rPr>
              <w:tab/>
            </w:r>
            <w:r>
              <w:rPr>
                <w:noProof/>
                <w:webHidden/>
              </w:rPr>
              <w:fldChar w:fldCharType="begin"/>
            </w:r>
            <w:r>
              <w:rPr>
                <w:noProof/>
                <w:webHidden/>
              </w:rPr>
              <w:instrText xml:space="preserve"> PAGEREF _Toc206588378 \h </w:instrText>
            </w:r>
            <w:r>
              <w:rPr>
                <w:noProof/>
                <w:webHidden/>
              </w:rPr>
            </w:r>
            <w:r>
              <w:rPr>
                <w:noProof/>
                <w:webHidden/>
              </w:rPr>
              <w:fldChar w:fldCharType="separate"/>
            </w:r>
            <w:r>
              <w:rPr>
                <w:noProof/>
                <w:webHidden/>
              </w:rPr>
              <w:t>6</w:t>
            </w:r>
            <w:r>
              <w:rPr>
                <w:noProof/>
                <w:webHidden/>
              </w:rPr>
              <w:fldChar w:fldCharType="end"/>
            </w:r>
          </w:hyperlink>
        </w:p>
        <w:p w14:paraId="12921FEF" w14:textId="58002BB2"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79" w:history="1">
            <w:r w:rsidRPr="00D22280">
              <w:rPr>
                <w:rStyle w:val="Hyperlink"/>
                <w:rFonts w:ascii="Aptos" w:hAnsi="Aptos" w:cs="Times New Roman"/>
                <w:bCs/>
                <w:noProof/>
              </w:rPr>
              <w:t>3.</w:t>
            </w:r>
            <w:r>
              <w:rPr>
                <w:rFonts w:eastAsiaTheme="minorEastAsia"/>
                <w:noProof/>
                <w:kern w:val="2"/>
                <w:sz w:val="24"/>
                <w:szCs w:val="24"/>
                <w:lang w:val="en-US"/>
                <w14:ligatures w14:val="standardContextual"/>
              </w:rPr>
              <w:tab/>
            </w:r>
            <w:r w:rsidRPr="00D22280">
              <w:rPr>
                <w:rStyle w:val="Hyperlink"/>
                <w:rFonts w:ascii="Aptos" w:hAnsi="Aptos" w:cs="Times New Roman"/>
                <w:noProof/>
              </w:rPr>
              <w:t>Attiecināmās izmaksas</w:t>
            </w:r>
            <w:r>
              <w:rPr>
                <w:noProof/>
                <w:webHidden/>
              </w:rPr>
              <w:tab/>
            </w:r>
            <w:r>
              <w:rPr>
                <w:noProof/>
                <w:webHidden/>
              </w:rPr>
              <w:fldChar w:fldCharType="begin"/>
            </w:r>
            <w:r>
              <w:rPr>
                <w:noProof/>
                <w:webHidden/>
              </w:rPr>
              <w:instrText xml:space="preserve"> PAGEREF _Toc206588379 \h </w:instrText>
            </w:r>
            <w:r>
              <w:rPr>
                <w:noProof/>
                <w:webHidden/>
              </w:rPr>
            </w:r>
            <w:r>
              <w:rPr>
                <w:noProof/>
                <w:webHidden/>
              </w:rPr>
              <w:fldChar w:fldCharType="separate"/>
            </w:r>
            <w:r>
              <w:rPr>
                <w:noProof/>
                <w:webHidden/>
              </w:rPr>
              <w:t>12</w:t>
            </w:r>
            <w:r>
              <w:rPr>
                <w:noProof/>
                <w:webHidden/>
              </w:rPr>
              <w:fldChar w:fldCharType="end"/>
            </w:r>
          </w:hyperlink>
        </w:p>
        <w:p w14:paraId="0ADFDA43" w14:textId="25853D6A"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80" w:history="1">
            <w:r w:rsidRPr="00D22280">
              <w:rPr>
                <w:rStyle w:val="Hyperlink"/>
                <w:rFonts w:ascii="Aptos" w:hAnsi="Aptos" w:cs="Times New Roman"/>
                <w:bCs/>
                <w:noProof/>
              </w:rPr>
              <w:t>4.</w:t>
            </w:r>
            <w:r>
              <w:rPr>
                <w:rFonts w:eastAsiaTheme="minorEastAsia"/>
                <w:noProof/>
                <w:kern w:val="2"/>
                <w:sz w:val="24"/>
                <w:szCs w:val="24"/>
                <w:lang w:val="en-US"/>
                <w14:ligatures w14:val="standardContextual"/>
              </w:rPr>
              <w:tab/>
            </w:r>
            <w:r w:rsidRPr="00D22280">
              <w:rPr>
                <w:rStyle w:val="Hyperlink"/>
                <w:rFonts w:ascii="Aptos" w:hAnsi="Aptos" w:cs="Times New Roman"/>
                <w:noProof/>
              </w:rPr>
              <w:t>Projekta iesnieguma aizpildīšana un pielikumi</w:t>
            </w:r>
            <w:r>
              <w:rPr>
                <w:noProof/>
                <w:webHidden/>
              </w:rPr>
              <w:tab/>
            </w:r>
            <w:r>
              <w:rPr>
                <w:noProof/>
                <w:webHidden/>
              </w:rPr>
              <w:fldChar w:fldCharType="begin"/>
            </w:r>
            <w:r>
              <w:rPr>
                <w:noProof/>
                <w:webHidden/>
              </w:rPr>
              <w:instrText xml:space="preserve"> PAGEREF _Toc206588380 \h </w:instrText>
            </w:r>
            <w:r>
              <w:rPr>
                <w:noProof/>
                <w:webHidden/>
              </w:rPr>
            </w:r>
            <w:r>
              <w:rPr>
                <w:noProof/>
                <w:webHidden/>
              </w:rPr>
              <w:fldChar w:fldCharType="separate"/>
            </w:r>
            <w:r>
              <w:rPr>
                <w:noProof/>
                <w:webHidden/>
              </w:rPr>
              <w:t>22</w:t>
            </w:r>
            <w:r>
              <w:rPr>
                <w:noProof/>
                <w:webHidden/>
              </w:rPr>
              <w:fldChar w:fldCharType="end"/>
            </w:r>
          </w:hyperlink>
        </w:p>
        <w:p w14:paraId="48C4E5ED" w14:textId="0B020815"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81" w:history="1">
            <w:r w:rsidRPr="00D22280">
              <w:rPr>
                <w:rStyle w:val="Hyperlink"/>
                <w:rFonts w:ascii="Aptos" w:hAnsi="Aptos" w:cs="Times New Roman"/>
                <w:bCs/>
                <w:noProof/>
              </w:rPr>
              <w:t>5.</w:t>
            </w:r>
            <w:r>
              <w:rPr>
                <w:rFonts w:eastAsiaTheme="minorEastAsia"/>
                <w:noProof/>
                <w:kern w:val="2"/>
                <w:sz w:val="24"/>
                <w:szCs w:val="24"/>
                <w:lang w:val="en-US"/>
                <w14:ligatures w14:val="standardContextual"/>
              </w:rPr>
              <w:tab/>
            </w:r>
            <w:r w:rsidRPr="00D22280">
              <w:rPr>
                <w:rStyle w:val="Hyperlink"/>
                <w:rFonts w:ascii="Aptos" w:hAnsi="Aptos" w:cs="Times New Roman"/>
                <w:noProof/>
              </w:rPr>
              <w:t>Vērtēšana un lēmumu pieņemšana</w:t>
            </w:r>
            <w:r>
              <w:rPr>
                <w:noProof/>
                <w:webHidden/>
              </w:rPr>
              <w:tab/>
            </w:r>
            <w:r>
              <w:rPr>
                <w:noProof/>
                <w:webHidden/>
              </w:rPr>
              <w:fldChar w:fldCharType="begin"/>
            </w:r>
            <w:r>
              <w:rPr>
                <w:noProof/>
                <w:webHidden/>
              </w:rPr>
              <w:instrText xml:space="preserve"> PAGEREF _Toc206588381 \h </w:instrText>
            </w:r>
            <w:r>
              <w:rPr>
                <w:noProof/>
                <w:webHidden/>
              </w:rPr>
            </w:r>
            <w:r>
              <w:rPr>
                <w:noProof/>
                <w:webHidden/>
              </w:rPr>
              <w:fldChar w:fldCharType="separate"/>
            </w:r>
            <w:r>
              <w:rPr>
                <w:noProof/>
                <w:webHidden/>
              </w:rPr>
              <w:t>27</w:t>
            </w:r>
            <w:r>
              <w:rPr>
                <w:noProof/>
                <w:webHidden/>
              </w:rPr>
              <w:fldChar w:fldCharType="end"/>
            </w:r>
          </w:hyperlink>
        </w:p>
        <w:p w14:paraId="2081A28F" w14:textId="44B587AB" w:rsidR="00DC1383" w:rsidRPr="00FE1EE3" w:rsidRDefault="00DC1383" w:rsidP="00DC1383">
          <w:pPr>
            <w:rPr>
              <w:rFonts w:ascii="Aptos" w:hAnsi="Aptos" w:cs="Times New Roman"/>
              <w:bCs/>
            </w:rPr>
          </w:pPr>
          <w:r w:rsidRPr="00FE1EE3">
            <w:rPr>
              <w:rFonts w:ascii="Aptos" w:hAnsi="Aptos" w:cs="Times New Roman"/>
              <w:b/>
              <w:bCs/>
            </w:rPr>
            <w:fldChar w:fldCharType="end"/>
          </w:r>
        </w:p>
      </w:sdtContent>
    </w:sdt>
    <w:bookmarkEnd w:id="0" w:displacedByCustomXml="prev"/>
    <w:p w14:paraId="31DCD7FE" w14:textId="60E50567" w:rsidR="004014D1" w:rsidRDefault="004014D1" w:rsidP="004014D1">
      <w:pPr>
        <w:rPr>
          <w:rFonts w:ascii="Aptos" w:hAnsi="Aptos" w:cs="Times New Roman"/>
        </w:rPr>
      </w:pPr>
    </w:p>
    <w:p w14:paraId="2FAA494D" w14:textId="77777777" w:rsidR="00805C76" w:rsidRPr="00FE1EE3" w:rsidRDefault="00805C76" w:rsidP="004014D1">
      <w:pPr>
        <w:rPr>
          <w:rFonts w:ascii="Aptos" w:hAnsi="Aptos" w:cs="Times New Roman"/>
        </w:rPr>
      </w:pPr>
    </w:p>
    <w:tbl>
      <w:tblPr>
        <w:tblW w:w="153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5"/>
        <w:gridCol w:w="6137"/>
        <w:gridCol w:w="7905"/>
      </w:tblGrid>
      <w:tr w:rsidR="00640E97" w:rsidRPr="00FE1EE3" w14:paraId="77F4DDC2" w14:textId="77777777" w:rsidTr="3D2AE4F9">
        <w:tc>
          <w:tcPr>
            <w:tcW w:w="1335" w:type="dxa"/>
            <w:tcBorders>
              <w:bottom w:val="single" w:sz="4" w:space="0" w:color="000000" w:themeColor="text1"/>
              <w:right w:val="single" w:sz="4" w:space="0" w:color="auto"/>
            </w:tcBorders>
            <w:shd w:val="clear" w:color="auto" w:fill="D0CECE" w:themeFill="background2" w:themeFillShade="E6"/>
          </w:tcPr>
          <w:p w14:paraId="1EF6DC72" w14:textId="2AA460CE" w:rsidR="00640E97" w:rsidRPr="00FE1EE3" w:rsidRDefault="00640E97" w:rsidP="008D4A71">
            <w:pPr>
              <w:spacing w:before="60" w:after="60" w:line="240" w:lineRule="auto"/>
              <w:ind w:left="17" w:right="17"/>
              <w:jc w:val="center"/>
              <w:rPr>
                <w:rFonts w:ascii="Aptos" w:hAnsi="Aptos" w:cs="Times New Roman"/>
                <w:b/>
              </w:rPr>
            </w:pPr>
            <w:r w:rsidRPr="00FE1EE3">
              <w:rPr>
                <w:rFonts w:ascii="Aptos" w:hAnsi="Aptos" w:cs="Times New Roman"/>
                <w:b/>
              </w:rPr>
              <w:t>Nr.p.k.</w:t>
            </w:r>
          </w:p>
        </w:tc>
        <w:tc>
          <w:tcPr>
            <w:tcW w:w="6137" w:type="dxa"/>
            <w:tcBorders>
              <w:bottom w:val="single" w:sz="4" w:space="0" w:color="000000" w:themeColor="text1"/>
              <w:right w:val="single" w:sz="4" w:space="0" w:color="auto"/>
            </w:tcBorders>
            <w:shd w:val="clear" w:color="auto" w:fill="D0CECE" w:themeFill="background2" w:themeFillShade="E6"/>
          </w:tcPr>
          <w:p w14:paraId="0056F754" w14:textId="2E58C7D4" w:rsidR="00640E97" w:rsidRPr="00FE1EE3" w:rsidRDefault="00640E97" w:rsidP="008D4A71">
            <w:pPr>
              <w:spacing w:before="60" w:after="60" w:line="240" w:lineRule="auto"/>
              <w:ind w:left="17" w:right="17"/>
              <w:jc w:val="center"/>
              <w:rPr>
                <w:rFonts w:ascii="Aptos" w:hAnsi="Aptos" w:cs="Times New Roman"/>
                <w:b/>
              </w:rPr>
            </w:pPr>
            <w:r w:rsidRPr="00FE1EE3">
              <w:rPr>
                <w:rFonts w:ascii="Aptos" w:hAnsi="Aptos" w:cs="Times New Roman"/>
                <w:b/>
              </w:rPr>
              <w:t>Jautājumi</w:t>
            </w:r>
          </w:p>
        </w:tc>
        <w:tc>
          <w:tcPr>
            <w:tcW w:w="7905" w:type="dxa"/>
            <w:tcBorders>
              <w:left w:val="single" w:sz="4" w:space="0" w:color="auto"/>
              <w:bottom w:val="single" w:sz="4" w:space="0" w:color="000000" w:themeColor="text1"/>
            </w:tcBorders>
            <w:shd w:val="clear" w:color="auto" w:fill="D0CECE" w:themeFill="background2" w:themeFillShade="E6"/>
          </w:tcPr>
          <w:p w14:paraId="235B1301" w14:textId="77777777" w:rsidR="00640E97" w:rsidRPr="00FE1EE3" w:rsidRDefault="00640E97" w:rsidP="008D4A71">
            <w:pPr>
              <w:spacing w:before="60" w:after="60" w:line="240" w:lineRule="auto"/>
              <w:jc w:val="center"/>
              <w:rPr>
                <w:rFonts w:ascii="Aptos" w:hAnsi="Aptos" w:cs="Times New Roman"/>
                <w:b/>
              </w:rPr>
            </w:pPr>
            <w:r w:rsidRPr="00FE1EE3">
              <w:rPr>
                <w:rFonts w:ascii="Aptos" w:hAnsi="Aptos" w:cs="Times New Roman"/>
                <w:b/>
              </w:rPr>
              <w:t>Atbildes</w:t>
            </w:r>
          </w:p>
        </w:tc>
      </w:tr>
      <w:tr w:rsidR="00640E97" w:rsidRPr="00FE1EE3" w14:paraId="131B41A7" w14:textId="77777777" w:rsidTr="3D2AE4F9">
        <w:tc>
          <w:tcPr>
            <w:tcW w:w="15377" w:type="dxa"/>
            <w:gridSpan w:val="3"/>
            <w:tcBorders>
              <w:bottom w:val="single" w:sz="4" w:space="0" w:color="000000" w:themeColor="text1"/>
            </w:tcBorders>
            <w:shd w:val="clear" w:color="auto" w:fill="D0CECE" w:themeFill="background2" w:themeFillShade="E6"/>
          </w:tcPr>
          <w:p w14:paraId="07EC663F" w14:textId="7D4F675C" w:rsidR="00640E97" w:rsidRPr="00FE1EE3" w:rsidRDefault="00640E97" w:rsidP="00B626E4">
            <w:pPr>
              <w:pStyle w:val="Heading1"/>
              <w:numPr>
                <w:ilvl w:val="0"/>
                <w:numId w:val="3"/>
              </w:numPr>
              <w:tabs>
                <w:tab w:val="num" w:pos="360"/>
              </w:tabs>
              <w:spacing w:line="240" w:lineRule="auto"/>
              <w:ind w:left="0" w:firstLine="0"/>
              <w:rPr>
                <w:rFonts w:ascii="Aptos" w:hAnsi="Aptos" w:cs="Times New Roman"/>
                <w:b w:val="0"/>
                <w:sz w:val="22"/>
                <w:szCs w:val="22"/>
              </w:rPr>
            </w:pPr>
            <w:bookmarkStart w:id="2" w:name="_Toc20918679"/>
            <w:bookmarkStart w:id="3" w:name="_Toc46148086"/>
            <w:bookmarkStart w:id="4" w:name="_Toc206588377"/>
            <w:r w:rsidRPr="00FE1EE3">
              <w:rPr>
                <w:rFonts w:ascii="Aptos" w:hAnsi="Aptos" w:cs="Times New Roman"/>
                <w:sz w:val="22"/>
                <w:szCs w:val="22"/>
              </w:rPr>
              <w:t>Vispārīgi jautājumi</w:t>
            </w:r>
            <w:bookmarkEnd w:id="2"/>
            <w:bookmarkEnd w:id="3"/>
            <w:bookmarkEnd w:id="4"/>
          </w:p>
        </w:tc>
      </w:tr>
      <w:tr w:rsidR="005C282F" w:rsidRPr="00FE1EE3" w14:paraId="259B0EE0" w14:textId="77777777" w:rsidTr="3D2AE4F9">
        <w:trPr>
          <w:trHeight w:val="465"/>
        </w:trPr>
        <w:tc>
          <w:tcPr>
            <w:tcW w:w="1335" w:type="dxa"/>
            <w:tcBorders>
              <w:bottom w:val="single" w:sz="4" w:space="0" w:color="000000" w:themeColor="text1"/>
              <w:right w:val="single" w:sz="4" w:space="0" w:color="auto"/>
            </w:tcBorders>
          </w:tcPr>
          <w:p w14:paraId="75BDB5AB" w14:textId="0A3B36C9" w:rsidR="005C282F" w:rsidRPr="00717D86" w:rsidRDefault="005C282F" w:rsidP="3D2AE4F9">
            <w:pPr>
              <w:pStyle w:val="ListParagraph"/>
              <w:numPr>
                <w:ilvl w:val="1"/>
                <w:numId w:val="8"/>
              </w:numPr>
              <w:spacing w:line="240" w:lineRule="auto"/>
              <w:jc w:val="both"/>
              <w:rPr>
                <w:rFonts w:ascii="Aptos" w:eastAsia="Aptos" w:hAnsi="Aptos" w:cs="Aptos"/>
              </w:rPr>
            </w:pPr>
          </w:p>
        </w:tc>
        <w:tc>
          <w:tcPr>
            <w:tcW w:w="6137" w:type="dxa"/>
            <w:tcBorders>
              <w:bottom w:val="single" w:sz="4" w:space="0" w:color="000000" w:themeColor="text1"/>
              <w:right w:val="single" w:sz="4" w:space="0" w:color="auto"/>
            </w:tcBorders>
          </w:tcPr>
          <w:p w14:paraId="174C57F3" w14:textId="5ADC85D3" w:rsidR="005C282F" w:rsidRPr="00717D86" w:rsidRDefault="00805C76" w:rsidP="008D4A71">
            <w:pPr>
              <w:spacing w:line="240" w:lineRule="auto"/>
              <w:jc w:val="both"/>
              <w:rPr>
                <w:rFonts w:ascii="Aptos" w:hAnsi="Aptos" w:cs="Times New Roman"/>
              </w:rPr>
            </w:pPr>
            <w:r w:rsidRPr="00717D86">
              <w:rPr>
                <w:rFonts w:ascii="Aptos" w:hAnsi="Aptos" w:cs="Times New Roman"/>
              </w:rPr>
              <w:t xml:space="preserve">Vai </w:t>
            </w:r>
            <w:r w:rsidR="007A42E8" w:rsidRPr="00717D86">
              <w:rPr>
                <w:rFonts w:ascii="Aptos" w:eastAsia="Calibri" w:hAnsi="Aptos"/>
                <w14:ligatures w14:val="standardContextual"/>
              </w:rPr>
              <w:t>SAMP 4.2.1.5. 3.kārtas ietvaros ir paredzēts vebinārs?</w:t>
            </w:r>
          </w:p>
        </w:tc>
        <w:tc>
          <w:tcPr>
            <w:tcW w:w="7905" w:type="dxa"/>
            <w:tcBorders>
              <w:left w:val="single" w:sz="4" w:space="0" w:color="auto"/>
            </w:tcBorders>
          </w:tcPr>
          <w:p w14:paraId="0B7FCC28" w14:textId="77777777" w:rsidR="0080522F" w:rsidRPr="00717D86" w:rsidRDefault="007A42E8" w:rsidP="009A2EED">
            <w:pPr>
              <w:spacing w:after="0" w:line="240" w:lineRule="auto"/>
              <w:jc w:val="both"/>
              <w:rPr>
                <w:rFonts w:ascii="Aptos" w:eastAsia="Calibri" w:hAnsi="Aptos"/>
                <w14:ligatures w14:val="standardContextual"/>
              </w:rPr>
            </w:pPr>
            <w:r w:rsidRPr="00717D86">
              <w:rPr>
                <w:rFonts w:ascii="Aptos" w:eastAsia="Calibri" w:hAnsi="Aptos"/>
                <w14:ligatures w14:val="standardContextual"/>
              </w:rPr>
              <w:t xml:space="preserve">SAMP 4.2.1.5. 3.kārtas ietvaros nav  paredzēts ne vebinārs, ne projekta iesniegumu priekšatlase. </w:t>
            </w:r>
          </w:p>
          <w:p w14:paraId="53479D72" w14:textId="77777777" w:rsidR="005C282F" w:rsidRPr="00717D86" w:rsidRDefault="005C7AD0" w:rsidP="009A2EED">
            <w:pPr>
              <w:spacing w:after="0" w:line="240" w:lineRule="auto"/>
              <w:jc w:val="both"/>
              <w:rPr>
                <w:rFonts w:ascii="Aptos" w:eastAsia="Times New Roman" w:hAnsi="Aptos" w:cs="Times New Roman"/>
              </w:rPr>
            </w:pPr>
            <w:hyperlink r:id="rId11" w:history="1">
              <w:r w:rsidRPr="00717D86">
                <w:rPr>
                  <w:rStyle w:val="Hyperlink"/>
                  <w:rFonts w:ascii="Aptos" w:eastAsia="Calibri" w:hAnsi="Aptos"/>
                  <w14:ligatures w14:val="standardContextual"/>
                </w:rPr>
                <w:t xml:space="preserve">SAMP </w:t>
              </w:r>
              <w:r w:rsidR="0080522F" w:rsidRPr="00717D86">
                <w:rPr>
                  <w:rStyle w:val="Hyperlink"/>
                  <w:rFonts w:ascii="Aptos" w:eastAsia="Calibri" w:hAnsi="Aptos"/>
                  <w14:ligatures w14:val="standardContextual"/>
                </w:rPr>
                <w:t>4.2.1.5. 3.kārtas</w:t>
              </w:r>
              <w:r w:rsidRPr="00717D86">
                <w:rPr>
                  <w:rStyle w:val="Hyperlink"/>
                  <w:rFonts w:ascii="Aptos" w:eastAsia="Calibri" w:hAnsi="Aptos"/>
                  <w14:ligatures w14:val="standardContextual"/>
                </w:rPr>
                <w:t xml:space="preserve"> </w:t>
              </w:r>
              <w:r w:rsidRPr="00717D86">
                <w:rPr>
                  <w:rStyle w:val="Hyperlink"/>
                  <w:rFonts w:ascii="Aptos" w:eastAsia="Times New Roman" w:hAnsi="Aptos" w:cs="Times New Roman"/>
                </w:rPr>
                <w:t>MK noteikumi</w:t>
              </w:r>
            </w:hyperlink>
            <w:r w:rsidRPr="00717D86">
              <w:rPr>
                <w:rFonts w:ascii="Aptos" w:eastAsia="Times New Roman" w:hAnsi="Aptos" w:cs="Times New Roman"/>
              </w:rPr>
              <w:t xml:space="preserve"> un tajos izvirzītās </w:t>
            </w:r>
            <w:r w:rsidR="00E839E5" w:rsidRPr="00717D86">
              <w:rPr>
                <w:rFonts w:ascii="Aptos" w:eastAsia="Times New Roman" w:hAnsi="Aptos" w:cs="Times New Roman"/>
              </w:rPr>
              <w:t>prasības</w:t>
            </w:r>
            <w:r w:rsidRPr="00717D86">
              <w:rPr>
                <w:rFonts w:ascii="Aptos" w:eastAsia="Times New Roman" w:hAnsi="Aptos" w:cs="Times New Roman"/>
              </w:rPr>
              <w:t xml:space="preserve"> ir </w:t>
            </w:r>
            <w:r w:rsidR="00E839E5" w:rsidRPr="00717D86">
              <w:rPr>
                <w:rFonts w:ascii="Aptos" w:eastAsia="Times New Roman" w:hAnsi="Aptos" w:cs="Times New Roman"/>
              </w:rPr>
              <w:t>ļoti</w:t>
            </w:r>
            <w:r w:rsidRPr="00717D86">
              <w:rPr>
                <w:rFonts w:ascii="Aptos" w:eastAsia="Times New Roman" w:hAnsi="Aptos" w:cs="Times New Roman"/>
              </w:rPr>
              <w:t xml:space="preserve"> līdzīgi SAMP 4215 2.kārtai. Aicinām aģentūras m</w:t>
            </w:r>
            <w:r w:rsidR="00E839E5" w:rsidRPr="00717D86">
              <w:rPr>
                <w:rFonts w:ascii="Aptos" w:eastAsia="Times New Roman" w:hAnsi="Aptos" w:cs="Times New Roman"/>
              </w:rPr>
              <w:t>ā</w:t>
            </w:r>
            <w:r w:rsidRPr="00717D86">
              <w:rPr>
                <w:rFonts w:ascii="Aptos" w:eastAsia="Times New Roman" w:hAnsi="Aptos" w:cs="Times New Roman"/>
              </w:rPr>
              <w:t xml:space="preserve">jas lapā </w:t>
            </w:r>
            <w:hyperlink r:id="rId12" w:history="1">
              <w:r w:rsidR="00EE3B54" w:rsidRPr="00717D86">
                <w:rPr>
                  <w:rStyle w:val="Hyperlink"/>
                  <w:rFonts w:ascii="Aptos" w:eastAsia="Times New Roman" w:hAnsi="Aptos" w:cs="Times New Roman"/>
                </w:rPr>
                <w:t>https://www.cfla.gov.lv/lv/4-2-1-5-k-2</w:t>
              </w:r>
            </w:hyperlink>
            <w:r w:rsidR="00EE3B54" w:rsidRPr="00717D86">
              <w:rPr>
                <w:rFonts w:ascii="Aptos" w:eastAsia="Times New Roman" w:hAnsi="Aptos" w:cs="Times New Roman"/>
              </w:rPr>
              <w:t xml:space="preserve"> </w:t>
            </w:r>
            <w:r w:rsidRPr="00717D86">
              <w:rPr>
                <w:rFonts w:ascii="Aptos" w:eastAsia="Times New Roman" w:hAnsi="Aptos" w:cs="Times New Roman"/>
              </w:rPr>
              <w:t xml:space="preserve">skatīt SAMP 4215 2.kārtas </w:t>
            </w:r>
            <w:r w:rsidR="00AD2F33" w:rsidRPr="00717D86">
              <w:rPr>
                <w:rFonts w:ascii="Aptos" w:eastAsia="Times New Roman" w:hAnsi="Aptos" w:cs="Times New Roman"/>
              </w:rPr>
              <w:t>V</w:t>
            </w:r>
            <w:r w:rsidRPr="00717D86">
              <w:rPr>
                <w:rFonts w:ascii="Aptos" w:eastAsia="Times New Roman" w:hAnsi="Aptos" w:cs="Times New Roman"/>
              </w:rPr>
              <w:t xml:space="preserve">ebināru un sniegtās </w:t>
            </w:r>
            <w:r w:rsidR="00510895" w:rsidRPr="00717D86">
              <w:rPr>
                <w:rFonts w:ascii="Aptos" w:eastAsia="Times New Roman" w:hAnsi="Aptos" w:cs="Times New Roman"/>
              </w:rPr>
              <w:t>A</w:t>
            </w:r>
            <w:r w:rsidRPr="00717D86">
              <w:rPr>
                <w:rFonts w:ascii="Aptos" w:eastAsia="Times New Roman" w:hAnsi="Aptos" w:cs="Times New Roman"/>
              </w:rPr>
              <w:t xml:space="preserve">tbildes </w:t>
            </w:r>
            <w:r w:rsidR="00E839E5" w:rsidRPr="00717D86">
              <w:rPr>
                <w:rFonts w:ascii="Aptos" w:eastAsia="Times New Roman" w:hAnsi="Aptos" w:cs="Times New Roman"/>
              </w:rPr>
              <w:t xml:space="preserve">uz </w:t>
            </w:r>
            <w:r w:rsidR="00510895" w:rsidRPr="00717D86">
              <w:rPr>
                <w:rFonts w:ascii="Aptos" w:eastAsia="Times New Roman" w:hAnsi="Aptos" w:cs="Times New Roman"/>
              </w:rPr>
              <w:t xml:space="preserve">uzdotajiem </w:t>
            </w:r>
            <w:r w:rsidR="00E839E5" w:rsidRPr="00717D86">
              <w:rPr>
                <w:rFonts w:ascii="Aptos" w:eastAsia="Times New Roman" w:hAnsi="Aptos" w:cs="Times New Roman"/>
              </w:rPr>
              <w:t>jautājumiem.</w:t>
            </w:r>
          </w:p>
          <w:p w14:paraId="5968D408" w14:textId="2923547E" w:rsidR="002875C3" w:rsidRPr="00717D86" w:rsidRDefault="002875C3" w:rsidP="009A2EED">
            <w:pPr>
              <w:spacing w:after="0" w:line="240" w:lineRule="auto"/>
              <w:jc w:val="both"/>
              <w:rPr>
                <w:rFonts w:ascii="Aptos" w:eastAsia="Calibri" w:hAnsi="Aptos"/>
              </w:rPr>
            </w:pPr>
            <w:r w:rsidRPr="00717D86">
              <w:rPr>
                <w:rFonts w:ascii="Aptos" w:eastAsia="Calibri" w:hAnsi="Aptos"/>
              </w:rPr>
              <w:t xml:space="preserve">Kā arī aicinām </w:t>
            </w:r>
            <w:r w:rsidR="00507349" w:rsidRPr="00717D86">
              <w:rPr>
                <w:rFonts w:ascii="Aptos" w:eastAsia="Calibri" w:hAnsi="Aptos"/>
              </w:rPr>
              <w:t>iesniedzējus</w:t>
            </w:r>
            <w:r w:rsidRPr="00717D86">
              <w:rPr>
                <w:rFonts w:ascii="Aptos" w:eastAsia="Calibri" w:hAnsi="Aptos"/>
              </w:rPr>
              <w:t xml:space="preserve"> uz</w:t>
            </w:r>
            <w:r w:rsidR="00507349" w:rsidRPr="00717D86">
              <w:rPr>
                <w:rFonts w:ascii="Aptos" w:eastAsia="Calibri" w:hAnsi="Aptos"/>
              </w:rPr>
              <w:t xml:space="preserve"> individu</w:t>
            </w:r>
            <w:r w:rsidR="00465653" w:rsidRPr="00717D86">
              <w:rPr>
                <w:rFonts w:ascii="Aptos" w:eastAsia="Calibri" w:hAnsi="Aptos"/>
              </w:rPr>
              <w:t>ālām konsultācijām.</w:t>
            </w:r>
          </w:p>
        </w:tc>
      </w:tr>
      <w:tr w:rsidR="008475AA" w:rsidRPr="00FE1EE3" w14:paraId="2642F243" w14:textId="77777777" w:rsidTr="3D2AE4F9">
        <w:trPr>
          <w:trHeight w:val="330"/>
        </w:trPr>
        <w:tc>
          <w:tcPr>
            <w:tcW w:w="1335" w:type="dxa"/>
            <w:tcBorders>
              <w:bottom w:val="single" w:sz="4" w:space="0" w:color="000000" w:themeColor="text1"/>
              <w:right w:val="single" w:sz="4" w:space="0" w:color="auto"/>
            </w:tcBorders>
          </w:tcPr>
          <w:p w14:paraId="26B02D09" w14:textId="1CB1688E" w:rsidR="008475AA" w:rsidRPr="00FE1EE3" w:rsidRDefault="008475AA" w:rsidP="3D2AE4F9">
            <w:pPr>
              <w:pStyle w:val="ListParagraph"/>
              <w:numPr>
                <w:ilvl w:val="1"/>
                <w:numId w:val="8"/>
              </w:numPr>
              <w:spacing w:line="240" w:lineRule="auto"/>
              <w:jc w:val="both"/>
              <w:rPr>
                <w:rFonts w:ascii="Aptos" w:eastAsia="Aptos" w:hAnsi="Aptos" w:cs="Aptos"/>
              </w:rPr>
            </w:pPr>
          </w:p>
        </w:tc>
        <w:tc>
          <w:tcPr>
            <w:tcW w:w="6137" w:type="dxa"/>
            <w:tcBorders>
              <w:right w:val="single" w:sz="4" w:space="0" w:color="auto"/>
            </w:tcBorders>
          </w:tcPr>
          <w:p w14:paraId="4896644B" w14:textId="0DAC511B" w:rsidR="008475AA" w:rsidRPr="00FE1EE3" w:rsidRDefault="008475AA" w:rsidP="008D4A71">
            <w:pPr>
              <w:spacing w:line="240" w:lineRule="auto"/>
              <w:jc w:val="both"/>
              <w:rPr>
                <w:rFonts w:ascii="Aptos" w:hAnsi="Aptos" w:cs="Times New Roman"/>
              </w:rPr>
            </w:pPr>
          </w:p>
        </w:tc>
        <w:tc>
          <w:tcPr>
            <w:tcW w:w="7905" w:type="dxa"/>
            <w:tcBorders>
              <w:left w:val="single" w:sz="4" w:space="0" w:color="auto"/>
            </w:tcBorders>
          </w:tcPr>
          <w:p w14:paraId="4C925E92" w14:textId="448E708A" w:rsidR="008475AA" w:rsidRPr="00FE1EE3" w:rsidRDefault="008475AA" w:rsidP="008D4A71">
            <w:pPr>
              <w:spacing w:line="240" w:lineRule="auto"/>
              <w:jc w:val="both"/>
              <w:rPr>
                <w:rFonts w:ascii="Aptos" w:hAnsi="Aptos" w:cs="Times New Roman"/>
                <w:color w:val="2F5496" w:themeColor="accent1" w:themeShade="BF"/>
              </w:rPr>
            </w:pPr>
          </w:p>
        </w:tc>
      </w:tr>
      <w:tr w:rsidR="00013CA7" w:rsidRPr="00FE1EE3" w14:paraId="2FEB01EF" w14:textId="77777777" w:rsidTr="3D2AE4F9">
        <w:tc>
          <w:tcPr>
            <w:tcW w:w="15377" w:type="dxa"/>
            <w:gridSpan w:val="3"/>
            <w:tcBorders>
              <w:bottom w:val="single" w:sz="4" w:space="0" w:color="000000" w:themeColor="text1"/>
            </w:tcBorders>
            <w:shd w:val="clear" w:color="auto" w:fill="D0CECE" w:themeFill="background2" w:themeFillShade="E6"/>
          </w:tcPr>
          <w:p w14:paraId="699262F3" w14:textId="0732996C"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5" w:name="_Toc20918681"/>
            <w:bookmarkStart w:id="6" w:name="_Toc46148087"/>
            <w:bookmarkStart w:id="7" w:name="_Toc206588378"/>
            <w:r w:rsidRPr="00FE1EE3">
              <w:rPr>
                <w:rFonts w:ascii="Aptos" w:hAnsi="Aptos" w:cs="Times New Roman"/>
                <w:sz w:val="22"/>
                <w:szCs w:val="22"/>
              </w:rPr>
              <w:t>Īstenošanas nosacījumi</w:t>
            </w:r>
            <w:bookmarkEnd w:id="5"/>
            <w:bookmarkEnd w:id="6"/>
            <w:bookmarkEnd w:id="7"/>
          </w:p>
        </w:tc>
      </w:tr>
      <w:tr w:rsidR="00013CA7" w:rsidRPr="00FE1EE3" w14:paraId="4183D992" w14:textId="77777777" w:rsidTr="3D2AE4F9">
        <w:tc>
          <w:tcPr>
            <w:tcW w:w="1335" w:type="dxa"/>
          </w:tcPr>
          <w:p w14:paraId="69143A56" w14:textId="77777777" w:rsidR="00D47631" w:rsidRPr="00717D86" w:rsidRDefault="00EE1DE1" w:rsidP="008D4A71">
            <w:pPr>
              <w:pStyle w:val="ListParagraph"/>
              <w:spacing w:line="240" w:lineRule="auto"/>
              <w:ind w:left="360"/>
              <w:jc w:val="both"/>
              <w:rPr>
                <w:rFonts w:ascii="Aptos" w:hAnsi="Aptos" w:cs="Times New Roman"/>
              </w:rPr>
            </w:pPr>
            <w:r w:rsidRPr="00717D86">
              <w:rPr>
                <w:rFonts w:ascii="Aptos" w:hAnsi="Aptos" w:cs="Times New Roman"/>
              </w:rPr>
              <w:t>2.1.</w:t>
            </w:r>
          </w:p>
          <w:p w14:paraId="222CF867" w14:textId="658AA475" w:rsidR="00EE1DE1" w:rsidRPr="00717D86" w:rsidRDefault="00EE1DE1" w:rsidP="008D4A71">
            <w:pPr>
              <w:pStyle w:val="ListParagraph"/>
              <w:spacing w:line="240" w:lineRule="auto"/>
              <w:ind w:left="360"/>
              <w:jc w:val="both"/>
              <w:rPr>
                <w:rFonts w:ascii="Aptos" w:hAnsi="Aptos" w:cs="Times New Roman"/>
              </w:rPr>
            </w:pPr>
          </w:p>
        </w:tc>
        <w:tc>
          <w:tcPr>
            <w:tcW w:w="6137" w:type="dxa"/>
            <w:tcBorders>
              <w:right w:val="single" w:sz="4" w:space="0" w:color="auto"/>
            </w:tcBorders>
          </w:tcPr>
          <w:p w14:paraId="36AF0955" w14:textId="77777777" w:rsidR="00E66484" w:rsidRPr="00717D86" w:rsidRDefault="00FF52CE" w:rsidP="00FF52CE">
            <w:pPr>
              <w:spacing w:line="240" w:lineRule="auto"/>
              <w:jc w:val="both"/>
              <w:rPr>
                <w:rFonts w:ascii="Aptos" w:hAnsi="Aptos" w:cs="Times New Roman"/>
              </w:rPr>
            </w:pPr>
            <w:r w:rsidRPr="00717D86">
              <w:rPr>
                <w:rFonts w:ascii="Aptos" w:hAnsi="Aptos" w:cs="Times New Roman"/>
              </w:rPr>
              <w:t xml:space="preserve">Projektā, kā vienu no skolām </w:t>
            </w:r>
            <w:r w:rsidR="00B70B61" w:rsidRPr="00717D86">
              <w:rPr>
                <w:rFonts w:ascii="Aptos" w:hAnsi="Aptos" w:cs="Times New Roman"/>
              </w:rPr>
              <w:t>X</w:t>
            </w:r>
            <w:r w:rsidRPr="00717D86">
              <w:rPr>
                <w:rFonts w:ascii="Aptos" w:hAnsi="Aptos" w:cs="Times New Roman"/>
              </w:rPr>
              <w:t xml:space="preserve"> novads grib virzīt </w:t>
            </w:r>
            <w:r w:rsidR="00E66484" w:rsidRPr="00717D86">
              <w:rPr>
                <w:rFonts w:ascii="Aptos" w:hAnsi="Aptos" w:cs="Times New Roman"/>
              </w:rPr>
              <w:t>A</w:t>
            </w:r>
            <w:r w:rsidRPr="00717D86">
              <w:rPr>
                <w:rFonts w:ascii="Aptos" w:hAnsi="Aptos" w:cs="Times New Roman"/>
              </w:rPr>
              <w:t xml:space="preserve"> skolu, atbilstoši noteikumu 16.4.4. punktu uz 2025.gada 1.septembri skolā vajadzēja būt 45 izglītojamiem, šajā skolā uz 1.septembri bija </w:t>
            </w:r>
            <w:r w:rsidR="00E66484" w:rsidRPr="00717D86">
              <w:rPr>
                <w:rFonts w:ascii="Aptos" w:hAnsi="Aptos" w:cs="Times New Roman"/>
              </w:rPr>
              <w:t>xx</w:t>
            </w:r>
            <w:r w:rsidRPr="00717D86">
              <w:rPr>
                <w:rFonts w:ascii="Aptos" w:hAnsi="Aptos" w:cs="Times New Roman"/>
              </w:rPr>
              <w:t xml:space="preserve"> izglītojamie, oktobrī jau </w:t>
            </w:r>
            <w:r w:rsidR="00E66484" w:rsidRPr="00717D86">
              <w:rPr>
                <w:rFonts w:ascii="Aptos" w:hAnsi="Aptos" w:cs="Times New Roman"/>
              </w:rPr>
              <w:t>yy</w:t>
            </w:r>
            <w:r w:rsidRPr="00717D86">
              <w:rPr>
                <w:rFonts w:ascii="Aptos" w:hAnsi="Aptos" w:cs="Times New Roman"/>
              </w:rPr>
              <w:t xml:space="preserve">. Vai uz šo skolu attiecas noteikumu 17.4. punkts? Novads veic vispārējo izglītības iestāžu optimizāciju, pagājušajā gadā tika likvidēta </w:t>
            </w:r>
            <w:r w:rsidR="00E66484" w:rsidRPr="00717D86">
              <w:rPr>
                <w:rFonts w:ascii="Aptos" w:hAnsi="Aptos" w:cs="Times New Roman"/>
              </w:rPr>
              <w:t>B</w:t>
            </w:r>
            <w:r w:rsidRPr="00717D86">
              <w:rPr>
                <w:rFonts w:ascii="Aptos" w:hAnsi="Aptos" w:cs="Times New Roman"/>
              </w:rPr>
              <w:t xml:space="preserve"> skola, šogad janvārī </w:t>
            </w:r>
            <w:r w:rsidR="00E66484" w:rsidRPr="00717D86">
              <w:rPr>
                <w:rFonts w:ascii="Aptos" w:hAnsi="Aptos" w:cs="Times New Roman"/>
              </w:rPr>
              <w:t>C</w:t>
            </w:r>
            <w:r w:rsidRPr="00717D86">
              <w:rPr>
                <w:rFonts w:ascii="Aptos" w:hAnsi="Aptos" w:cs="Times New Roman"/>
              </w:rPr>
              <w:t xml:space="preserve"> skola. Kā arī ir doma vēl par vienas skolas likvidāciju.</w:t>
            </w:r>
          </w:p>
          <w:p w14:paraId="65B5F8C0" w14:textId="496EB1FD" w:rsidR="00013CA7" w:rsidRPr="00717D86" w:rsidRDefault="00FF52CE" w:rsidP="00FF52CE">
            <w:pPr>
              <w:spacing w:line="240" w:lineRule="auto"/>
              <w:jc w:val="both"/>
              <w:rPr>
                <w:rFonts w:ascii="Aptos" w:hAnsi="Aptos" w:cs="Times New Roman"/>
              </w:rPr>
            </w:pPr>
            <w:r w:rsidRPr="00717D86">
              <w:rPr>
                <w:rFonts w:ascii="Aptos" w:hAnsi="Aptos" w:cs="Times New Roman"/>
              </w:rPr>
              <w:t>Kas mums būtu jādara, lai apliecinātu, ka šajā skolā tuvākajos 3-5 gados skolēnu skaits būs stabils?</w:t>
            </w:r>
          </w:p>
        </w:tc>
        <w:tc>
          <w:tcPr>
            <w:tcW w:w="7905" w:type="dxa"/>
            <w:tcBorders>
              <w:left w:val="single" w:sz="4" w:space="0" w:color="auto"/>
            </w:tcBorders>
          </w:tcPr>
          <w:p w14:paraId="4A602F94" w14:textId="793EE9FF" w:rsidR="00A23BA1" w:rsidRPr="00A23BA1" w:rsidRDefault="00A23BA1" w:rsidP="00A23BA1">
            <w:pPr>
              <w:spacing w:line="240" w:lineRule="auto"/>
              <w:jc w:val="both"/>
              <w:rPr>
                <w:rFonts w:ascii="Aptos" w:hAnsi="Aptos" w:cs="Times New Roman"/>
              </w:rPr>
            </w:pPr>
            <w:r w:rsidRPr="00A23BA1">
              <w:rPr>
                <w:rFonts w:ascii="Aptos" w:hAnsi="Aptos" w:cs="Times New Roman"/>
              </w:rPr>
              <w:t>Lai varētu piemērot </w:t>
            </w:r>
            <w:hyperlink r:id="rId13" w:history="1">
              <w:r w:rsidR="003B7940" w:rsidRPr="00717D86">
                <w:rPr>
                  <w:rStyle w:val="Hyperlink"/>
                  <w:rFonts w:ascii="Aptos" w:hAnsi="Aptos" w:cs="Times New Roman"/>
                  <w:color w:val="auto"/>
                </w:rPr>
                <w:t xml:space="preserve">SAM 4215 MK noteikumu </w:t>
              </w:r>
            </w:hyperlink>
            <w:r w:rsidRPr="00A23BA1">
              <w:rPr>
                <w:rFonts w:ascii="Aptos" w:hAnsi="Aptos" w:cs="Times New Roman"/>
              </w:rPr>
              <w:t> 17.4. apakšpunktu, pašvaldībai līdz projekta iesniegšanai jāpieņem domes lēmums par monitoringu, paredzot konkrētu risinājumu, ja minimālais izglītojamo skaits, kas ir noteikts </w:t>
            </w:r>
            <w:hyperlink r:id="rId14" w:history="1">
              <w:r w:rsidR="003B7940" w:rsidRPr="00717D86">
                <w:rPr>
                  <w:rStyle w:val="Hyperlink"/>
                  <w:rFonts w:ascii="Aptos" w:hAnsi="Aptos" w:cs="Times New Roman"/>
                  <w:color w:val="auto"/>
                </w:rPr>
                <w:t xml:space="preserve">SAM 4215 MK noteikumu </w:t>
              </w:r>
            </w:hyperlink>
            <w:r w:rsidRPr="00A23BA1">
              <w:rPr>
                <w:rFonts w:ascii="Aptos" w:hAnsi="Aptos" w:cs="Times New Roman"/>
              </w:rPr>
              <w:t> 16.4. apakšpunktā, netiks sasniegts. Proti, pašvaldība domes lēmumā paredz monitorēt izglītojamo skaitu, piemēram, līdz 2027. gada janvārim, un ja minimāli nepieciešamais izglītojamo skaits netiks sasniegts, tad šajā pašā lēmumā</w:t>
            </w:r>
            <w:r w:rsidRPr="00A23BA1">
              <w:rPr>
                <w:rFonts w:ascii="Aptos" w:hAnsi="Aptos" w:cs="Times New Roman"/>
                <w:u w:val="single"/>
              </w:rPr>
              <w:t> </w:t>
            </w:r>
            <w:r w:rsidRPr="00A23BA1">
              <w:rPr>
                <w:rFonts w:ascii="Aptos" w:hAnsi="Aptos" w:cs="Times New Roman"/>
              </w:rPr>
              <w:t>paredz konkrēto risinājumu (piemēram, reorganizācija, likvidācija), kas nodrošinātu izglītības iestādes atbilstību, kas stājas spēkā ne vēlāk kā 31.08.2027.</w:t>
            </w:r>
          </w:p>
          <w:p w14:paraId="670E15A8" w14:textId="77777777" w:rsidR="00A23BA1" w:rsidRPr="00A23BA1" w:rsidRDefault="00A23BA1" w:rsidP="00A23BA1">
            <w:pPr>
              <w:spacing w:line="240" w:lineRule="auto"/>
              <w:jc w:val="both"/>
              <w:rPr>
                <w:rFonts w:ascii="Aptos" w:hAnsi="Aptos" w:cs="Times New Roman"/>
              </w:rPr>
            </w:pPr>
            <w:r w:rsidRPr="00A23BA1">
              <w:rPr>
                <w:rFonts w:ascii="Aptos" w:hAnsi="Aptos" w:cs="Times New Roman"/>
              </w:rPr>
              <w:t>Vēršam uzmanību, ka izglītības iestādes atbilstība jānodrošina projekta īstenošanas laikā un vēl 5 gadus pēc noslēguma maksājuma saņemšanas.</w:t>
            </w:r>
          </w:p>
          <w:p w14:paraId="6682C31B" w14:textId="26F8A1E3" w:rsidR="00013CA7" w:rsidRPr="00717D86" w:rsidRDefault="00013CA7" w:rsidP="008D4A71">
            <w:pPr>
              <w:spacing w:line="240" w:lineRule="auto"/>
              <w:jc w:val="both"/>
              <w:rPr>
                <w:rFonts w:ascii="Aptos" w:hAnsi="Aptos" w:cs="Times New Roman"/>
              </w:rPr>
            </w:pPr>
          </w:p>
        </w:tc>
      </w:tr>
      <w:tr w:rsidR="00013CA7" w:rsidRPr="00FE1EE3" w14:paraId="2D4C1E87" w14:textId="77777777" w:rsidTr="3D2AE4F9">
        <w:tc>
          <w:tcPr>
            <w:tcW w:w="1335" w:type="dxa"/>
          </w:tcPr>
          <w:p w14:paraId="464703D3" w14:textId="468514A4" w:rsidR="00013CA7" w:rsidRPr="00717D86" w:rsidRDefault="00C97DC3" w:rsidP="008D4A71">
            <w:pPr>
              <w:pStyle w:val="ListParagraph"/>
              <w:spacing w:line="240" w:lineRule="auto"/>
              <w:ind w:left="360"/>
              <w:jc w:val="both"/>
              <w:rPr>
                <w:rFonts w:ascii="Aptos" w:hAnsi="Aptos" w:cs="Times New Roman"/>
              </w:rPr>
            </w:pPr>
            <w:r w:rsidRPr="00717D86">
              <w:rPr>
                <w:rFonts w:ascii="Aptos" w:hAnsi="Aptos" w:cs="Times New Roman"/>
              </w:rPr>
              <w:t>2.2.</w:t>
            </w:r>
          </w:p>
        </w:tc>
        <w:tc>
          <w:tcPr>
            <w:tcW w:w="6137" w:type="dxa"/>
            <w:tcBorders>
              <w:right w:val="single" w:sz="4" w:space="0" w:color="auto"/>
            </w:tcBorders>
          </w:tcPr>
          <w:p w14:paraId="2F41A5E3" w14:textId="77777777" w:rsidR="000529E2" w:rsidRPr="00717D86" w:rsidRDefault="000529E2" w:rsidP="000529E2">
            <w:pPr>
              <w:pStyle w:val="ListParagraph"/>
              <w:tabs>
                <w:tab w:val="left" w:pos="2280"/>
              </w:tabs>
              <w:spacing w:line="240" w:lineRule="auto"/>
              <w:ind w:left="0"/>
              <w:jc w:val="both"/>
              <w:rPr>
                <w:rFonts w:ascii="Aptos" w:hAnsi="Aptos" w:cs="Times New Roman"/>
              </w:rPr>
            </w:pPr>
            <w:r w:rsidRPr="00717D86">
              <w:rPr>
                <w:rFonts w:ascii="Aptos" w:hAnsi="Aptos" w:cs="Times New Roman"/>
              </w:rPr>
              <w:t>Jautājums</w:t>
            </w:r>
            <w:r w:rsidR="00626C5D" w:rsidRPr="00717D86">
              <w:rPr>
                <w:rFonts w:ascii="Aptos" w:hAnsi="Aptos" w:cs="Times New Roman"/>
              </w:rPr>
              <w:t xml:space="preserve"> par projekta gatavības pakāpi uz iesniegšanas brīdi, iespējamos variantus iepirkuma procesa veikšanai. Ja pašvaldība plāno cenu aptaujas rezultātā veikt šo attiecībā uz projektēšanas darbiem uz būvniecības procesu: </w:t>
            </w:r>
          </w:p>
          <w:p w14:paraId="1A74CBC6" w14:textId="77777777" w:rsidR="000529E2" w:rsidRPr="00717D86" w:rsidRDefault="00626C5D" w:rsidP="000529E2">
            <w:pPr>
              <w:pStyle w:val="ListParagraph"/>
              <w:tabs>
                <w:tab w:val="left" w:pos="2280"/>
              </w:tabs>
              <w:spacing w:line="240" w:lineRule="auto"/>
              <w:ind w:left="0"/>
              <w:jc w:val="both"/>
              <w:rPr>
                <w:rFonts w:ascii="Aptos" w:hAnsi="Aptos" w:cs="Times New Roman"/>
              </w:rPr>
            </w:pPr>
            <w:r w:rsidRPr="00717D86">
              <w:rPr>
                <w:rFonts w:ascii="Aptos" w:hAnsi="Aptos" w:cs="Times New Roman"/>
              </w:rPr>
              <w:t xml:space="preserve">1) Paziņojums par būvniecību Ziemeru pamatskolai un </w:t>
            </w:r>
          </w:p>
          <w:p w14:paraId="37921470" w14:textId="77777777" w:rsidR="000529E2" w:rsidRPr="00717D86" w:rsidRDefault="00626C5D" w:rsidP="000529E2">
            <w:pPr>
              <w:pStyle w:val="ListParagraph"/>
              <w:tabs>
                <w:tab w:val="left" w:pos="2280"/>
              </w:tabs>
              <w:spacing w:line="240" w:lineRule="auto"/>
              <w:ind w:left="0"/>
              <w:jc w:val="both"/>
              <w:rPr>
                <w:rFonts w:ascii="Aptos" w:hAnsi="Aptos" w:cs="Times New Roman"/>
              </w:rPr>
            </w:pPr>
            <w:r w:rsidRPr="00717D86">
              <w:rPr>
                <w:rFonts w:ascii="Aptos" w:hAnsi="Aptos" w:cs="Times New Roman"/>
              </w:rPr>
              <w:t xml:space="preserve">2) Paskaidrojuma raksts Liepnas pamatskolai, kura rezultātā būtu izveidotas skices un nepieciešamie darbu apjomi būvdarbiem (remontdarbiem). </w:t>
            </w:r>
          </w:p>
          <w:p w14:paraId="403028AF" w14:textId="77777777" w:rsidR="000529E2" w:rsidRPr="00717D86" w:rsidRDefault="00626C5D" w:rsidP="000529E2">
            <w:pPr>
              <w:pStyle w:val="ListParagraph"/>
              <w:tabs>
                <w:tab w:val="left" w:pos="2280"/>
              </w:tabs>
              <w:spacing w:line="240" w:lineRule="auto"/>
              <w:ind w:left="0"/>
              <w:jc w:val="both"/>
              <w:rPr>
                <w:rFonts w:ascii="Aptos" w:hAnsi="Aptos" w:cs="Times New Roman"/>
              </w:rPr>
            </w:pPr>
            <w:r w:rsidRPr="00717D86">
              <w:rPr>
                <w:rFonts w:ascii="Aptos" w:hAnsi="Aptos" w:cs="Times New Roman"/>
              </w:rPr>
              <w:t xml:space="preserve">Tālāk būtu izsludināts iepirkums būvdarbu iepirkumam abām skolām. Nevienā no abiem gadījumiem būvvaldes izziņa nebūtu, jo BIS būs izveidotas lietas, kas nepieciešama, lai pēc tam inventarizācijas lietā varētu veikt attiecīgās izmaiņas, kad darbi būs noslēgušies. Ņemot vērā izmaiņas būvniecības likumā, apliecinājuma karte kā forma vairs nav jauniem būvniecības procesiem. </w:t>
            </w:r>
          </w:p>
          <w:p w14:paraId="2D6A9689" w14:textId="4DE8CBD8" w:rsidR="00013CA7" w:rsidRPr="00717D86" w:rsidRDefault="00626C5D" w:rsidP="000529E2">
            <w:pPr>
              <w:pStyle w:val="ListParagraph"/>
              <w:tabs>
                <w:tab w:val="left" w:pos="2280"/>
              </w:tabs>
              <w:spacing w:line="240" w:lineRule="auto"/>
              <w:ind w:left="0"/>
              <w:jc w:val="both"/>
              <w:rPr>
                <w:rFonts w:ascii="Aptos" w:hAnsi="Aptos" w:cs="Times New Roman"/>
              </w:rPr>
            </w:pPr>
            <w:r w:rsidRPr="00717D86">
              <w:rPr>
                <w:rFonts w:ascii="Aptos" w:hAnsi="Aptos" w:cs="Times New Roman"/>
              </w:rPr>
              <w:t xml:space="preserve">Ņemot vērā plānoto situāciju, nav īstas pārliecības, kuram punktam </w:t>
            </w:r>
            <w:r w:rsidR="000529E2" w:rsidRPr="00717D86">
              <w:rPr>
                <w:rFonts w:ascii="Aptos" w:hAnsi="Aptos" w:cs="Times New Roman"/>
              </w:rPr>
              <w:t>MK</w:t>
            </w:r>
            <w:r w:rsidRPr="00717D86">
              <w:rPr>
                <w:rFonts w:ascii="Aptos" w:hAnsi="Aptos" w:cs="Times New Roman"/>
              </w:rPr>
              <w:t xml:space="preserve"> noteikumos 16.2.1., 16.2.2., 16.2.3. atbilstu pašvaldības plānotais. Šobrīd šķiet, ka tam būtu jābūt punktam 16.2.1., bet projektē-būvē situācija pilnā apjomā neizpildītos.</w:t>
            </w:r>
          </w:p>
        </w:tc>
        <w:tc>
          <w:tcPr>
            <w:tcW w:w="7905" w:type="dxa"/>
            <w:tcBorders>
              <w:left w:val="single" w:sz="4" w:space="0" w:color="auto"/>
            </w:tcBorders>
          </w:tcPr>
          <w:p w14:paraId="4FE72446" w14:textId="4B36B4AA" w:rsidR="00BD7848" w:rsidRPr="00BD7848" w:rsidRDefault="003B7940" w:rsidP="00BD7848">
            <w:pPr>
              <w:spacing w:after="0" w:line="240" w:lineRule="auto"/>
              <w:jc w:val="both"/>
              <w:rPr>
                <w:rFonts w:ascii="Aptos" w:hAnsi="Aptos" w:cs="Times New Roman"/>
              </w:rPr>
            </w:pPr>
            <w:hyperlink r:id="rId15">
              <w:r w:rsidRPr="3D2AE4F9">
                <w:rPr>
                  <w:rStyle w:val="Hyperlink"/>
                  <w:rFonts w:ascii="Aptos" w:hAnsi="Aptos" w:cs="Times New Roman"/>
                </w:rPr>
                <w:t>SAM 4215 MK noteikumu</w:t>
              </w:r>
              <w:r w:rsidR="00BD7848" w:rsidRPr="3D2AE4F9">
                <w:rPr>
                  <w:rStyle w:val="Hyperlink"/>
                  <w:rFonts w:ascii="Aptos" w:hAnsi="Aptos" w:cs="Times New Roman"/>
                </w:rPr>
                <w:t> </w:t>
              </w:r>
            </w:hyperlink>
            <w:r w:rsidR="00BD7848" w:rsidRPr="3D2AE4F9">
              <w:rPr>
                <w:rFonts w:ascii="Aptos" w:hAnsi="Aptos" w:cs="Times New Roman"/>
              </w:rPr>
              <w:t>16.2.1.punkts nosaka projekta iesnieguma gatavības pakāpi: ir uzsākta iepirkuma procedūra par vismaz vienas projekta būves projektēšanas darbiem vai par apvienotu projektēšanu un būvdarbiem par vismaz vienu projekta būvi [..].</w:t>
            </w:r>
          </w:p>
          <w:p w14:paraId="71678198" w14:textId="07C23D4A" w:rsidR="00BD7848" w:rsidRPr="00BD7848" w:rsidRDefault="00BD7848" w:rsidP="00BD7848">
            <w:pPr>
              <w:spacing w:after="0" w:line="240" w:lineRule="auto"/>
              <w:jc w:val="both"/>
              <w:rPr>
                <w:rFonts w:ascii="Aptos" w:hAnsi="Aptos" w:cs="Times New Roman"/>
              </w:rPr>
            </w:pPr>
            <w:r w:rsidRPr="00BD7848">
              <w:rPr>
                <w:rFonts w:ascii="Aptos" w:hAnsi="Aptos" w:cs="Times New Roman"/>
              </w:rPr>
              <w:t xml:space="preserve">Vienlaikus skaidrojam, ka </w:t>
            </w:r>
            <w:r w:rsidR="00E23403" w:rsidRPr="00717D86">
              <w:rPr>
                <w:rFonts w:ascii="Aptos" w:hAnsi="Aptos" w:cs="Times New Roman"/>
              </w:rPr>
              <w:t xml:space="preserve">SAM 4215 MK noteikumu </w:t>
            </w:r>
            <w:r w:rsidRPr="00BD7848">
              <w:rPr>
                <w:rFonts w:ascii="Aptos" w:hAnsi="Aptos" w:cs="Times New Roman"/>
              </w:rPr>
              <w:t>16.2.1.punkta ietvaros ir jābūt izsludinātai iepirkumu procedūrai par jebkādu būvdarbu projektēšanas darbiem kādā (vismaz vienā) projektā iekļautai būvei – skolai, dienesta viesnīcai, sporta būvei, nevis izsludināta iepirkuma procedūra vai procedūras par visiem būvdarbiem kādā no projektā iekļautajām būvēm.</w:t>
            </w:r>
          </w:p>
          <w:p w14:paraId="2AE3A133" w14:textId="77777777" w:rsidR="00BD7848" w:rsidRPr="00BD7848" w:rsidRDefault="00BD7848" w:rsidP="00BD7848">
            <w:pPr>
              <w:spacing w:after="0" w:line="240" w:lineRule="auto"/>
              <w:jc w:val="both"/>
              <w:rPr>
                <w:rFonts w:ascii="Aptos" w:hAnsi="Aptos" w:cs="Times New Roman"/>
              </w:rPr>
            </w:pPr>
            <w:r w:rsidRPr="00BD7848">
              <w:rPr>
                <w:rFonts w:ascii="Aptos" w:hAnsi="Aptos" w:cs="Times New Roman"/>
              </w:rPr>
              <w:t>Ja projektā paredzat veikt tikai būvdarbus, tad jāizpildās kritērija pirmajai daļai par uzsāktu būvdarbu projektēšanas iepirkuma procedūru. Neparedzot aprīkojuma iegādi projektā, otrā daļa par iegādājamā aprīkojuma sarakstu un izmaksu aprēķinu nav attiecināma. Ja projekta iesniegumā būs informācija, ka no projekta attiecināmajām izmaksām ir paredzēts segt gan būvdarbu izmaksas, gan aprīkojuma iegādes izmaksas, tad jāizpilda abas šī kritērija prasības, tostarp jāiesniedz indikatīvs aprīkojuma saraksts un indikatīvs tā izmaksu aprēķins.</w:t>
            </w:r>
          </w:p>
          <w:p w14:paraId="79ABFA77" w14:textId="77777777" w:rsidR="00BD7848" w:rsidRPr="00BD7848" w:rsidRDefault="00BD7848" w:rsidP="00BD7848">
            <w:pPr>
              <w:spacing w:after="0" w:line="240" w:lineRule="auto"/>
              <w:jc w:val="both"/>
              <w:rPr>
                <w:rFonts w:ascii="Aptos" w:hAnsi="Aptos" w:cs="Times New Roman"/>
              </w:rPr>
            </w:pPr>
            <w:r w:rsidRPr="00BD7848">
              <w:rPr>
                <w:rFonts w:ascii="Aptos" w:hAnsi="Aptos" w:cs="Times New Roman"/>
              </w:rPr>
              <w:t>Projektēšanas darbiem drīkst piemērot iepirkuma procedūru – cenu aptauju, ievērojot Publisko iepirkumu likumā noteiktos līgumcenu sliekšņus un projekta iesniegumā apliecinot, ka cenu aptauja ir izsludināta, ievērojot caurskatāmu, atklātu, nediskriminējošu un konkurenci nodrošinošu procedūru.</w:t>
            </w:r>
          </w:p>
          <w:p w14:paraId="6D1DDA49" w14:textId="77777777" w:rsidR="00013CA7" w:rsidRPr="00717D86" w:rsidRDefault="00013CA7" w:rsidP="004365FB">
            <w:pPr>
              <w:spacing w:after="0" w:line="240" w:lineRule="auto"/>
              <w:jc w:val="both"/>
              <w:rPr>
                <w:rFonts w:ascii="Aptos" w:hAnsi="Aptos" w:cs="Times New Roman"/>
                <w:color w:val="2F5496" w:themeColor="accent1" w:themeShade="BF"/>
              </w:rPr>
            </w:pPr>
          </w:p>
        </w:tc>
      </w:tr>
      <w:tr w:rsidR="00013CA7" w:rsidRPr="00FE1EE3" w14:paraId="5DCBB4A1" w14:textId="77777777" w:rsidTr="3D2AE4F9">
        <w:tc>
          <w:tcPr>
            <w:tcW w:w="1335" w:type="dxa"/>
          </w:tcPr>
          <w:p w14:paraId="28F9274F" w14:textId="46FF659D" w:rsidR="00013CA7" w:rsidRPr="00717D86" w:rsidRDefault="00C97DC3" w:rsidP="008D4A71">
            <w:pPr>
              <w:pStyle w:val="ListParagraph"/>
              <w:spacing w:line="240" w:lineRule="auto"/>
              <w:ind w:left="360"/>
              <w:jc w:val="both"/>
              <w:rPr>
                <w:rFonts w:ascii="Aptos" w:hAnsi="Aptos" w:cs="Times New Roman"/>
              </w:rPr>
            </w:pPr>
            <w:r w:rsidRPr="00717D86">
              <w:rPr>
                <w:rFonts w:ascii="Aptos" w:hAnsi="Aptos" w:cs="Times New Roman"/>
              </w:rPr>
              <w:t>2.</w:t>
            </w:r>
            <w:r w:rsidR="005E5966" w:rsidRPr="00717D86">
              <w:rPr>
                <w:rFonts w:ascii="Aptos" w:hAnsi="Aptos" w:cs="Times New Roman"/>
              </w:rPr>
              <w:t>3</w:t>
            </w:r>
            <w:r w:rsidRPr="00717D86">
              <w:rPr>
                <w:rFonts w:ascii="Aptos" w:hAnsi="Aptos" w:cs="Times New Roman"/>
              </w:rPr>
              <w:t>.</w:t>
            </w:r>
          </w:p>
        </w:tc>
        <w:tc>
          <w:tcPr>
            <w:tcW w:w="6137" w:type="dxa"/>
            <w:tcBorders>
              <w:right w:val="single" w:sz="4" w:space="0" w:color="auto"/>
            </w:tcBorders>
          </w:tcPr>
          <w:p w14:paraId="7965D9E3" w14:textId="712AE6EA" w:rsidR="00013CA7" w:rsidRPr="00717D86" w:rsidRDefault="00707C35" w:rsidP="008D4A71">
            <w:pPr>
              <w:spacing w:line="240" w:lineRule="auto"/>
              <w:jc w:val="both"/>
              <w:rPr>
                <w:rFonts w:ascii="Aptos" w:hAnsi="Aptos" w:cs="Times New Roman"/>
              </w:rPr>
            </w:pPr>
            <w:r w:rsidRPr="00717D86">
              <w:rPr>
                <w:rFonts w:ascii="Aptos" w:hAnsi="Aptos" w:cs="Times New Roman"/>
              </w:rPr>
              <w:t>Jautājums par 20.2.4. punktu – vai pie iekšējo inženiertīklu pozīcijām iet apgaismojums, rozetes, slēdži, ūdensvada un kanalizācijas tīklu sadaļā skaitītos ar podi, kas jāiekļauj 25% apmērā, nepārsniedzot būvdarbu izmaksas?</w:t>
            </w:r>
          </w:p>
        </w:tc>
        <w:tc>
          <w:tcPr>
            <w:tcW w:w="7905" w:type="dxa"/>
            <w:tcBorders>
              <w:left w:val="single" w:sz="4" w:space="0" w:color="auto"/>
            </w:tcBorders>
          </w:tcPr>
          <w:p w14:paraId="287D74C6" w14:textId="331F4547" w:rsidR="00D3568E" w:rsidRPr="00D3568E" w:rsidRDefault="00D3568E" w:rsidP="00D3568E">
            <w:pPr>
              <w:spacing w:line="240" w:lineRule="auto"/>
              <w:jc w:val="both"/>
              <w:rPr>
                <w:rFonts w:ascii="Aptos" w:hAnsi="Aptos" w:cs="Times New Roman"/>
                <w:color w:val="2F5496" w:themeColor="accent1" w:themeShade="BF"/>
              </w:rPr>
            </w:pPr>
            <w:r w:rsidRPr="00D3568E">
              <w:rPr>
                <w:rFonts w:ascii="Aptos" w:hAnsi="Aptos" w:cs="Times New Roman"/>
              </w:rPr>
              <w:t xml:space="preserve">Ņemot vērā  </w:t>
            </w:r>
            <w:hyperlink r:id="rId16" w:history="1">
              <w:r w:rsidRPr="00D3568E">
                <w:rPr>
                  <w:rStyle w:val="Hyperlink"/>
                  <w:rFonts w:ascii="Aptos" w:hAnsi="Aptos" w:cs="Times New Roman"/>
                </w:rPr>
                <w:t>Vispārīgajos būvnoteikumos</w:t>
              </w:r>
            </w:hyperlink>
            <w:r w:rsidRPr="00D3568E">
              <w:rPr>
                <w:rFonts w:ascii="Aptos" w:hAnsi="Aptos" w:cs="Times New Roman"/>
                <w:color w:val="2F5496" w:themeColor="accent1" w:themeShade="BF"/>
              </w:rPr>
              <w:t xml:space="preserve"> </w:t>
            </w:r>
            <w:r w:rsidRPr="00D3568E">
              <w:rPr>
                <w:rFonts w:ascii="Aptos" w:hAnsi="Aptos" w:cs="Times New Roman"/>
              </w:rPr>
              <w:t xml:space="preserve">noteikto: “2.16. inženiertīkls – būvju kopums, kas sastāv no cauruļvadiem, kabeļiem, vadiem, aprīkojuma, iekārtām un ierīcēm un paredzēts elektroenerģijas, siltumenerģijas, gāzes, elektronisko sakaru, ūdens un citu resursu ražošanai, pārvadei (transportam), uzglabāšanai vai sadalei, kā arī inženiertīklu pievadiem un iekšējiem inženiertīkliem”. Secināms, ka atbilstoši Vispārīgajos būvnoteikumiem, apgaismojums, rozetes, slēdži, ūdensvada, kanalizācijas tīkli, pods ir uzskatāmi kā inženiertīkli. </w:t>
            </w:r>
          </w:p>
          <w:p w14:paraId="5364D1A6" w14:textId="6089683D" w:rsidR="00013CA7" w:rsidRPr="00717D86" w:rsidRDefault="00D3568E" w:rsidP="008D4A71">
            <w:pPr>
              <w:spacing w:line="240" w:lineRule="auto"/>
              <w:jc w:val="both"/>
              <w:rPr>
                <w:rFonts w:ascii="Aptos" w:hAnsi="Aptos" w:cs="Times New Roman"/>
                <w:color w:val="2F5496" w:themeColor="accent1" w:themeShade="BF"/>
              </w:rPr>
            </w:pPr>
            <w:r w:rsidRPr="00D3568E">
              <w:rPr>
                <w:rFonts w:ascii="Aptos" w:hAnsi="Aptos" w:cs="Times New Roman"/>
              </w:rPr>
              <w:t xml:space="preserve">Vienlaikus, </w:t>
            </w:r>
            <w:hyperlink r:id="rId17" w:history="1">
              <w:r w:rsidRPr="00717D86">
                <w:rPr>
                  <w:rStyle w:val="Hyperlink"/>
                  <w:rFonts w:ascii="Aptos" w:hAnsi="Aptos" w:cs="Times New Roman"/>
                </w:rPr>
                <w:t>SAM 4215 MK noteikumu</w:t>
              </w:r>
            </w:hyperlink>
            <w:r w:rsidRPr="00D3568E">
              <w:rPr>
                <w:rFonts w:ascii="Aptos" w:hAnsi="Aptos" w:cs="Times New Roman"/>
              </w:rPr>
              <w:t xml:space="preserve"> 20.2.4.punktā uzskaitītās iekšējo inženiertīklu izmaksas “iekšējo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 neietver </w:t>
            </w:r>
            <w:r w:rsidRPr="00D3568E">
              <w:rPr>
                <w:rFonts w:ascii="Aptos" w:hAnsi="Aptos" w:cs="Times New Roman"/>
                <w:b/>
                <w:bCs/>
              </w:rPr>
              <w:t xml:space="preserve">aprīkojumu, iekārtas un ierīces, </w:t>
            </w:r>
            <w:r w:rsidRPr="00D3568E">
              <w:rPr>
                <w:rFonts w:ascii="Aptos" w:hAnsi="Aptos" w:cs="Times New Roman"/>
              </w:rPr>
              <w:t xml:space="preserve">līdz ar to, secināms, ka sam 4215 ietvaros aprīkojumu varētu ietvert budžeta kopsavilkuma izmaksu pozīcijā atbilstoši </w:t>
            </w:r>
            <w:hyperlink r:id="rId18" w:history="1">
              <w:r w:rsidRPr="00717D86">
                <w:rPr>
                  <w:rStyle w:val="Hyperlink"/>
                  <w:rFonts w:ascii="Aptos" w:hAnsi="Aptos" w:cs="Times New Roman"/>
                </w:rPr>
                <w:t>SAM 4215 MK noteikumu</w:t>
              </w:r>
            </w:hyperlink>
            <w:r w:rsidRPr="00D3568E">
              <w:rPr>
                <w:rFonts w:ascii="Aptos" w:hAnsi="Aptos" w:cs="Times New Roman"/>
              </w:rPr>
              <w:t xml:space="preserve"> 20.2.3.punktam, vai atbilstoši konkrētām telpām, piemēram </w:t>
            </w:r>
            <w:hyperlink r:id="rId19" w:history="1">
              <w:r w:rsidRPr="00717D86">
                <w:rPr>
                  <w:rStyle w:val="Hyperlink"/>
                  <w:rFonts w:ascii="Aptos" w:hAnsi="Aptos" w:cs="Times New Roman"/>
                </w:rPr>
                <w:t>SAM 4215 MK noteikumu</w:t>
              </w:r>
            </w:hyperlink>
            <w:r w:rsidRPr="00D3568E">
              <w:rPr>
                <w:rFonts w:ascii="Aptos" w:hAnsi="Aptos" w:cs="Times New Roman"/>
              </w:rPr>
              <w:t xml:space="preserve"> 20.2.1., 20.2.2., 20.4.punkts.</w:t>
            </w:r>
          </w:p>
        </w:tc>
      </w:tr>
      <w:tr w:rsidR="00013CA7" w:rsidRPr="00FE1EE3" w14:paraId="140FB887" w14:textId="77777777" w:rsidTr="3D2AE4F9">
        <w:tc>
          <w:tcPr>
            <w:tcW w:w="1335" w:type="dxa"/>
          </w:tcPr>
          <w:p w14:paraId="46D1F036" w14:textId="050A2C8F" w:rsidR="00013CA7" w:rsidRPr="00717D86" w:rsidRDefault="00C97DC3" w:rsidP="008D4A71">
            <w:pPr>
              <w:pStyle w:val="ListParagraph"/>
              <w:spacing w:line="240" w:lineRule="auto"/>
              <w:ind w:left="360"/>
              <w:jc w:val="both"/>
              <w:rPr>
                <w:rFonts w:ascii="Aptos" w:hAnsi="Aptos" w:cs="Times New Roman"/>
              </w:rPr>
            </w:pPr>
            <w:r w:rsidRPr="00717D86">
              <w:rPr>
                <w:rFonts w:ascii="Aptos" w:hAnsi="Aptos" w:cs="Times New Roman"/>
              </w:rPr>
              <w:t>2.</w:t>
            </w:r>
            <w:r w:rsidR="005E5966" w:rsidRPr="00717D86">
              <w:rPr>
                <w:rFonts w:ascii="Aptos" w:hAnsi="Aptos" w:cs="Times New Roman"/>
              </w:rPr>
              <w:t>4</w:t>
            </w:r>
            <w:r w:rsidRPr="00717D86">
              <w:rPr>
                <w:rFonts w:ascii="Aptos" w:hAnsi="Aptos" w:cs="Times New Roman"/>
              </w:rPr>
              <w:t>.</w:t>
            </w:r>
          </w:p>
        </w:tc>
        <w:tc>
          <w:tcPr>
            <w:tcW w:w="6137" w:type="dxa"/>
            <w:tcBorders>
              <w:right w:val="single" w:sz="4" w:space="0" w:color="auto"/>
            </w:tcBorders>
          </w:tcPr>
          <w:p w14:paraId="7A3E8C0E" w14:textId="00A8626B" w:rsidR="00013CA7" w:rsidRPr="00717D86" w:rsidRDefault="008C6ECD" w:rsidP="008D4A71">
            <w:pPr>
              <w:spacing w:line="240" w:lineRule="auto"/>
              <w:jc w:val="both"/>
              <w:rPr>
                <w:rFonts w:ascii="Aptos" w:hAnsi="Aptos" w:cs="Times New Roman"/>
              </w:rPr>
            </w:pPr>
            <w:r w:rsidRPr="00717D86">
              <w:rPr>
                <w:rFonts w:ascii="Aptos" w:hAnsi="Aptos" w:cs="Times New Roman"/>
              </w:rPr>
              <w:t>Vai valodu kabineti paiet zem STEM? </w:t>
            </w:r>
          </w:p>
        </w:tc>
        <w:tc>
          <w:tcPr>
            <w:tcW w:w="7905" w:type="dxa"/>
            <w:tcBorders>
              <w:left w:val="single" w:sz="4" w:space="0" w:color="auto"/>
            </w:tcBorders>
          </w:tcPr>
          <w:p w14:paraId="4704892F" w14:textId="685D1BEC" w:rsidR="00013CA7" w:rsidRPr="00717D86" w:rsidRDefault="00BB5E91" w:rsidP="008D4A71">
            <w:pPr>
              <w:spacing w:line="240" w:lineRule="auto"/>
              <w:jc w:val="both"/>
              <w:rPr>
                <w:rFonts w:ascii="Aptos" w:hAnsi="Aptos" w:cs="Times New Roman"/>
                <w:color w:val="2F5496" w:themeColor="accent1" w:themeShade="BF"/>
              </w:rPr>
            </w:pPr>
            <w:r w:rsidRPr="00717D86">
              <w:rPr>
                <w:rFonts w:ascii="Aptos" w:hAnsi="Aptos" w:cs="Times New Roman"/>
              </w:rPr>
              <w:t xml:space="preserve">Nē, saīsinājumā STEM ietilpst </w:t>
            </w:r>
            <w:hyperlink r:id="rId20" w:history="1">
              <w:r w:rsidRPr="00717D86">
                <w:rPr>
                  <w:rStyle w:val="Hyperlink"/>
                  <w:rFonts w:ascii="Aptos" w:hAnsi="Aptos" w:cs="Times New Roman"/>
                </w:rPr>
                <w:t>SAM 4215 MK noteikumu</w:t>
              </w:r>
            </w:hyperlink>
            <w:r w:rsidRPr="00717D86">
              <w:rPr>
                <w:rFonts w:ascii="Aptos" w:hAnsi="Aptos" w:cs="Times New Roman"/>
                <w:color w:val="2F5496" w:themeColor="accent1" w:themeShade="BF"/>
              </w:rPr>
              <w:t xml:space="preserve"> </w:t>
            </w:r>
            <w:r w:rsidRPr="00717D86">
              <w:rPr>
                <w:rFonts w:ascii="Aptos" w:hAnsi="Aptos" w:cs="Times New Roman"/>
              </w:rPr>
              <w:t xml:space="preserve">20.5 apakšpunktā uzskaitītie kabineti - </w:t>
            </w:r>
            <w:r w:rsidRPr="00717D86">
              <w:rPr>
                <w:rFonts w:ascii="Arial" w:hAnsi="Arial" w:cs="Arial"/>
              </w:rPr>
              <w:t> </w:t>
            </w:r>
            <w:r w:rsidRPr="00717D86">
              <w:rPr>
                <w:rFonts w:ascii="Aptos" w:hAnsi="Aptos" w:cs="Times New Roman"/>
              </w:rPr>
              <w:t>dabaszin</w:t>
            </w:r>
            <w:r w:rsidRPr="00717D86">
              <w:rPr>
                <w:rFonts w:ascii="Aptos" w:hAnsi="Aptos" w:cs="Aptos"/>
              </w:rPr>
              <w:t>ā</w:t>
            </w:r>
            <w:r w:rsidRPr="00717D86">
              <w:rPr>
                <w:rFonts w:ascii="Aptos" w:hAnsi="Aptos" w:cs="Times New Roman"/>
              </w:rPr>
              <w:t>t</w:t>
            </w:r>
            <w:r w:rsidRPr="00717D86">
              <w:rPr>
                <w:rFonts w:ascii="Aptos" w:hAnsi="Aptos" w:cs="Aptos"/>
              </w:rPr>
              <w:t>ņ</w:t>
            </w:r>
            <w:r w:rsidRPr="00717D86">
              <w:rPr>
                <w:rFonts w:ascii="Aptos" w:hAnsi="Aptos" w:cs="Times New Roman"/>
              </w:rPr>
              <w:t>u (dabaszin</w:t>
            </w:r>
            <w:r w:rsidRPr="00717D86">
              <w:rPr>
                <w:rFonts w:ascii="Aptos" w:hAnsi="Aptos" w:cs="Aptos"/>
              </w:rPr>
              <w:t>ī</w:t>
            </w:r>
            <w:r w:rsidRPr="00717D86">
              <w:rPr>
                <w:rFonts w:ascii="Aptos" w:hAnsi="Aptos" w:cs="Times New Roman"/>
              </w:rPr>
              <w:t>bu</w:t>
            </w:r>
            <w:r w:rsidRPr="00717D86">
              <w:rPr>
                <w:rFonts w:ascii="Aptos" w:hAnsi="Aptos" w:cs="Aptos"/>
              </w:rPr>
              <w:t> </w:t>
            </w:r>
            <w:r w:rsidRPr="00717D86">
              <w:rPr>
                <w:rFonts w:ascii="Aptos" w:hAnsi="Aptos" w:cs="Times New Roman"/>
              </w:rPr>
              <w:t>(1.</w:t>
            </w:r>
            <w:r w:rsidRPr="00717D86">
              <w:rPr>
                <w:rFonts w:ascii="Aptos" w:hAnsi="Aptos" w:cs="Aptos"/>
              </w:rPr>
              <w:t>–</w:t>
            </w:r>
            <w:r w:rsidRPr="00717D86">
              <w:rPr>
                <w:rFonts w:ascii="Aptos" w:hAnsi="Aptos" w:cs="Times New Roman"/>
              </w:rPr>
              <w:t xml:space="preserve">6. klasei), </w:t>
            </w:r>
            <w:r w:rsidRPr="00717D86">
              <w:rPr>
                <w:rFonts w:ascii="Aptos" w:hAnsi="Aptos" w:cs="Aptos"/>
              </w:rPr>
              <w:t>ķī</w:t>
            </w:r>
            <w:r w:rsidRPr="00717D86">
              <w:rPr>
                <w:rFonts w:ascii="Aptos" w:hAnsi="Aptos" w:cs="Times New Roman"/>
              </w:rPr>
              <w:t>mijas, biolo</w:t>
            </w:r>
            <w:r w:rsidRPr="00717D86">
              <w:rPr>
                <w:rFonts w:ascii="Aptos" w:hAnsi="Aptos" w:cs="Aptos"/>
              </w:rPr>
              <w:t>ģ</w:t>
            </w:r>
            <w:r w:rsidRPr="00717D86">
              <w:rPr>
                <w:rFonts w:ascii="Aptos" w:hAnsi="Aptos" w:cs="Times New Roman"/>
              </w:rPr>
              <w:t>ijas, fizikas, dizaina un tehnolo</w:t>
            </w:r>
            <w:r w:rsidRPr="00717D86">
              <w:rPr>
                <w:rFonts w:ascii="Aptos" w:hAnsi="Aptos" w:cs="Aptos"/>
              </w:rPr>
              <w:t>ģ</w:t>
            </w:r>
            <w:r w:rsidRPr="00717D86">
              <w:rPr>
                <w:rFonts w:ascii="Aptos" w:hAnsi="Aptos" w:cs="Times New Roman"/>
              </w:rPr>
              <w:t>iju, in</w:t>
            </w:r>
            <w:r w:rsidRPr="00717D86">
              <w:rPr>
                <w:rFonts w:ascii="Aptos" w:hAnsi="Aptos" w:cs="Aptos"/>
              </w:rPr>
              <w:t>ž</w:t>
            </w:r>
            <w:r w:rsidRPr="00717D86">
              <w:rPr>
                <w:rFonts w:ascii="Aptos" w:hAnsi="Aptos" w:cs="Times New Roman"/>
              </w:rPr>
              <w:t>enierzin</w:t>
            </w:r>
            <w:r w:rsidRPr="00717D86">
              <w:rPr>
                <w:rFonts w:ascii="Aptos" w:hAnsi="Aptos" w:cs="Aptos"/>
              </w:rPr>
              <w:t>ī</w:t>
            </w:r>
            <w:r w:rsidRPr="00717D86">
              <w:rPr>
                <w:rFonts w:ascii="Aptos" w:hAnsi="Aptos" w:cs="Times New Roman"/>
              </w:rPr>
              <w:t xml:space="preserve">bu, </w:t>
            </w:r>
            <w:r w:rsidRPr="00717D86">
              <w:rPr>
                <w:rFonts w:ascii="Aptos" w:hAnsi="Aptos" w:cs="Aptos"/>
              </w:rPr>
              <w:t>ģ</w:t>
            </w:r>
            <w:r w:rsidRPr="00717D86">
              <w:rPr>
                <w:rFonts w:ascii="Aptos" w:hAnsi="Aptos" w:cs="Times New Roman"/>
              </w:rPr>
              <w:t>eogr</w:t>
            </w:r>
            <w:r w:rsidRPr="00717D86">
              <w:rPr>
                <w:rFonts w:ascii="Aptos" w:hAnsi="Aptos" w:cs="Aptos"/>
              </w:rPr>
              <w:t>ā</w:t>
            </w:r>
            <w:r w:rsidRPr="00717D86">
              <w:rPr>
                <w:rFonts w:ascii="Aptos" w:hAnsi="Aptos" w:cs="Times New Roman"/>
              </w:rPr>
              <w:t>fijas) un matem</w:t>
            </w:r>
            <w:r w:rsidRPr="00717D86">
              <w:rPr>
                <w:rFonts w:ascii="Aptos" w:hAnsi="Aptos" w:cs="Aptos"/>
              </w:rPr>
              <w:t>ā</w:t>
            </w:r>
            <w:r w:rsidRPr="00717D86">
              <w:rPr>
                <w:rFonts w:ascii="Aptos" w:hAnsi="Aptos" w:cs="Times New Roman"/>
              </w:rPr>
              <w:t>tikas kabinetu (tai skait</w:t>
            </w:r>
            <w:r w:rsidRPr="00717D86">
              <w:rPr>
                <w:rFonts w:ascii="Aptos" w:hAnsi="Aptos" w:cs="Aptos"/>
              </w:rPr>
              <w:t>ā</w:t>
            </w:r>
            <w:r w:rsidRPr="00717D86">
              <w:rPr>
                <w:rFonts w:ascii="Aptos" w:hAnsi="Aptos" w:cs="Times New Roman"/>
              </w:rPr>
              <w:t xml:space="preserve"> praktisko darbu telpu). STEM kabinetos neietilpst valodu apguves m</w:t>
            </w:r>
            <w:r w:rsidRPr="00717D86">
              <w:rPr>
                <w:rFonts w:ascii="Aptos" w:hAnsi="Aptos" w:cs="Aptos"/>
              </w:rPr>
              <w:t>ā</w:t>
            </w:r>
            <w:r w:rsidRPr="00717D86">
              <w:rPr>
                <w:rFonts w:ascii="Aptos" w:hAnsi="Aptos" w:cs="Times New Roman"/>
              </w:rPr>
              <w:t>c</w:t>
            </w:r>
            <w:r w:rsidRPr="00717D86">
              <w:rPr>
                <w:rFonts w:ascii="Aptos" w:hAnsi="Aptos" w:cs="Aptos"/>
              </w:rPr>
              <w:t>ī</w:t>
            </w:r>
            <w:r w:rsidRPr="00717D86">
              <w:rPr>
                <w:rFonts w:ascii="Aptos" w:hAnsi="Aptos" w:cs="Times New Roman"/>
              </w:rPr>
              <w:t>bu klases</w:t>
            </w:r>
            <w:r w:rsidR="00904840" w:rsidRPr="00717D86">
              <w:rPr>
                <w:rFonts w:ascii="Aptos" w:hAnsi="Aptos" w:cs="Times New Roman"/>
              </w:rPr>
              <w:t xml:space="preserve">, </w:t>
            </w:r>
            <w:r w:rsidRPr="00717D86">
              <w:rPr>
                <w:rFonts w:ascii="Aptos" w:hAnsi="Aptos" w:cs="Times New Roman"/>
              </w:rPr>
              <w:t>arī datorklases nav STEM kabinets.</w:t>
            </w:r>
          </w:p>
        </w:tc>
      </w:tr>
      <w:tr w:rsidR="002365FF" w:rsidRPr="00FE1EE3" w14:paraId="52EFAA2D" w14:textId="77777777" w:rsidTr="3D2AE4F9">
        <w:tc>
          <w:tcPr>
            <w:tcW w:w="1335" w:type="dxa"/>
          </w:tcPr>
          <w:p w14:paraId="7AC8C769" w14:textId="09419EFB" w:rsidR="002365FF" w:rsidRPr="00717D86" w:rsidRDefault="002365FF" w:rsidP="008D4A71">
            <w:pPr>
              <w:pStyle w:val="ListParagraph"/>
              <w:spacing w:line="240" w:lineRule="auto"/>
              <w:ind w:left="360"/>
              <w:jc w:val="both"/>
              <w:rPr>
                <w:rFonts w:ascii="Aptos" w:hAnsi="Aptos" w:cs="Times New Roman"/>
              </w:rPr>
            </w:pPr>
            <w:r>
              <w:rPr>
                <w:rFonts w:ascii="Aptos" w:hAnsi="Aptos" w:cs="Times New Roman"/>
              </w:rPr>
              <w:t>2.5.</w:t>
            </w:r>
          </w:p>
        </w:tc>
        <w:tc>
          <w:tcPr>
            <w:tcW w:w="6137" w:type="dxa"/>
            <w:tcBorders>
              <w:right w:val="single" w:sz="4" w:space="0" w:color="auto"/>
            </w:tcBorders>
          </w:tcPr>
          <w:p w14:paraId="0867BFE8" w14:textId="7DD19407" w:rsidR="002365FF" w:rsidRPr="002365FF" w:rsidRDefault="00540CD3" w:rsidP="002365FF">
            <w:pPr>
              <w:spacing w:line="240" w:lineRule="auto"/>
              <w:jc w:val="both"/>
              <w:rPr>
                <w:rFonts w:ascii="Aptos" w:hAnsi="Aptos" w:cs="Times New Roman"/>
              </w:rPr>
            </w:pPr>
            <w:r>
              <w:rPr>
                <w:rFonts w:ascii="Aptos" w:hAnsi="Aptos" w:cs="Times New Roman"/>
              </w:rPr>
              <w:t xml:space="preserve">1) </w:t>
            </w:r>
            <w:r w:rsidR="002365FF" w:rsidRPr="002365FF">
              <w:rPr>
                <w:rFonts w:ascii="Aptos" w:hAnsi="Aptos" w:cs="Times New Roman"/>
              </w:rPr>
              <w:t>Jautājums - ja projektā tiktu paredzēta gan būvniecība (un projektēšana), gan aprīkojuma iegāde, attiecīgi iestājoties MK noteikumu 16.2.1. punktam, uz kuru brīdi jābūt uzsāktai iepirkuma procedūrai vismaz vienas projekta būves projektēšanas darbiem?</w:t>
            </w:r>
          </w:p>
          <w:p w14:paraId="0F39CED9" w14:textId="0959F17C" w:rsidR="002365FF" w:rsidRPr="002365FF" w:rsidRDefault="002365FF" w:rsidP="002365FF">
            <w:pPr>
              <w:spacing w:line="240" w:lineRule="auto"/>
              <w:jc w:val="both"/>
              <w:rPr>
                <w:rFonts w:ascii="Aptos" w:hAnsi="Aptos" w:cs="Times New Roman"/>
              </w:rPr>
            </w:pPr>
            <w:r w:rsidRPr="002365FF">
              <w:rPr>
                <w:rFonts w:ascii="Aptos" w:hAnsi="Aptos" w:cs="Times New Roman"/>
              </w:rPr>
              <w:t xml:space="preserve">2) Pašvaldība projektā plāno </w:t>
            </w:r>
            <w:r w:rsidR="00540CD3">
              <w:rPr>
                <w:rFonts w:ascii="Aptos" w:hAnsi="Aptos" w:cs="Times New Roman"/>
              </w:rPr>
              <w:t>šādas darbības</w:t>
            </w:r>
            <w:r w:rsidRPr="002365FF">
              <w:rPr>
                <w:rFonts w:ascii="Aptos" w:hAnsi="Aptos" w:cs="Times New Roman"/>
              </w:rPr>
              <w:t>:</w:t>
            </w:r>
          </w:p>
          <w:p w14:paraId="37C10AB6" w14:textId="77777777" w:rsidR="002365FF" w:rsidRPr="002365FF" w:rsidRDefault="002365FF" w:rsidP="002365FF">
            <w:pPr>
              <w:spacing w:line="240" w:lineRule="auto"/>
              <w:jc w:val="both"/>
              <w:rPr>
                <w:rFonts w:ascii="Aptos" w:hAnsi="Aptos" w:cs="Times New Roman"/>
              </w:rPr>
            </w:pPr>
            <w:r w:rsidRPr="002365FF">
              <w:rPr>
                <w:rFonts w:ascii="Aptos" w:hAnsi="Aptos" w:cs="Times New Roman"/>
              </w:rPr>
              <w:t>1. Skolu sporta zāļu remonts un pielāgošana plānotajai mācību programmai modernizācijai - dronu apmācībām (kosmētisks remonts un tīkli)</w:t>
            </w:r>
          </w:p>
          <w:p w14:paraId="20EE316A" w14:textId="45204705" w:rsidR="002365FF" w:rsidRPr="002365FF" w:rsidRDefault="00540CD3" w:rsidP="002365FF">
            <w:pPr>
              <w:spacing w:line="240" w:lineRule="auto"/>
              <w:jc w:val="both"/>
              <w:rPr>
                <w:rFonts w:ascii="Aptos" w:hAnsi="Aptos" w:cs="Times New Roman"/>
              </w:rPr>
            </w:pPr>
            <w:r>
              <w:rPr>
                <w:rFonts w:ascii="Aptos" w:hAnsi="Aptos" w:cs="Times New Roman"/>
              </w:rPr>
              <w:t>[..]</w:t>
            </w:r>
          </w:p>
          <w:p w14:paraId="771DACA1" w14:textId="025160B0" w:rsidR="002365FF" w:rsidRPr="002365FF" w:rsidRDefault="002365FF" w:rsidP="002365FF">
            <w:pPr>
              <w:spacing w:line="240" w:lineRule="auto"/>
              <w:jc w:val="both"/>
              <w:rPr>
                <w:rFonts w:ascii="Aptos" w:hAnsi="Aptos" w:cs="Times New Roman"/>
              </w:rPr>
            </w:pPr>
            <w:r w:rsidRPr="002365FF">
              <w:rPr>
                <w:rFonts w:ascii="Aptos" w:hAnsi="Aptos" w:cs="Times New Roman"/>
              </w:rPr>
              <w:t>5. Dronu un aprīkojuma iegāde - darbība nr. 5 mācību procesa nodrošināšanai paredzētā aprīkojuma iegāde</w:t>
            </w:r>
          </w:p>
          <w:p w14:paraId="3BC60E65" w14:textId="116C9996" w:rsidR="002365FF" w:rsidRPr="002365FF" w:rsidRDefault="002365FF" w:rsidP="002365FF">
            <w:pPr>
              <w:spacing w:line="240" w:lineRule="auto"/>
              <w:jc w:val="both"/>
              <w:rPr>
                <w:rFonts w:ascii="Aptos" w:hAnsi="Aptos" w:cs="Times New Roman"/>
              </w:rPr>
            </w:pPr>
            <w:r w:rsidRPr="002365FF">
              <w:rPr>
                <w:rFonts w:ascii="Aptos" w:hAnsi="Aptos" w:cs="Times New Roman"/>
              </w:rPr>
              <w:t xml:space="preserve">Jautājums: Vai korekti, ja sporta zāļu remonts tiek iekļauts darbībā 3. vispārējās izglītības iestādes sporta infrastruktūras pārbūve vai atjaunošana, ja projekta primārais mērķis ir tieši dronu praktiskās apmācības STEM priekšmetu ietvaros? Vai šajā gadījumā sporta zāles remonts skatāms kā ieguldījums STEM jeb darbībā 4. dabaszinātņu, tai skaitā praktisko telpu pārbūve, atjaunošana, izveide un pilnveide. </w:t>
            </w:r>
          </w:p>
          <w:p w14:paraId="44655C15" w14:textId="1F2E5AC1" w:rsidR="002365FF" w:rsidRPr="002365FF" w:rsidRDefault="002365FF" w:rsidP="002365FF">
            <w:pPr>
              <w:spacing w:line="240" w:lineRule="auto"/>
              <w:jc w:val="both"/>
              <w:rPr>
                <w:rFonts w:ascii="Aptos" w:hAnsi="Aptos" w:cs="Times New Roman"/>
              </w:rPr>
            </w:pPr>
            <w:r w:rsidRPr="002365FF">
              <w:rPr>
                <w:rFonts w:ascii="Aptos" w:hAnsi="Aptos" w:cs="Times New Roman"/>
              </w:rPr>
              <w:t>3)  Atbilstoši  MK Nr. 783 33.2. apakšpunktiem, atlases nolikumam un vērtēšanas kritēriju 2.4. punktam, kritērijam c) noteikts vismaz 1 projekts HP VINPI rādītājs:</w:t>
            </w:r>
            <w:r w:rsidR="00540CD3">
              <w:rPr>
                <w:rFonts w:ascii="Aptos" w:hAnsi="Aptos" w:cs="Times New Roman"/>
              </w:rPr>
              <w:t xml:space="preserve"> [..]</w:t>
            </w:r>
          </w:p>
          <w:p w14:paraId="0396F478" w14:textId="7F8A5D61" w:rsidR="002365FF" w:rsidRPr="00717D86" w:rsidRDefault="002365FF" w:rsidP="002365FF">
            <w:pPr>
              <w:spacing w:line="240" w:lineRule="auto"/>
              <w:jc w:val="both"/>
              <w:rPr>
                <w:rFonts w:ascii="Aptos" w:hAnsi="Aptos" w:cs="Times New Roman"/>
              </w:rPr>
            </w:pPr>
            <w:r w:rsidRPr="002365FF">
              <w:rPr>
                <w:rFonts w:ascii="Aptos" w:hAnsi="Aptos" w:cs="Times New Roman"/>
              </w:rPr>
              <w:t>Jautājums: Vai rezultātā visām telpām jābūt pilnībā piekļūstamām ar jebkāda veida traucējumiem, vai ir iespējamas atkāpes skolu īpatnību dēļ, ņemot vērā, ka skolas nav jaunbūves. Attiecīgi, vai vides pieejamība jāpiemēro maksimāli vietās kur tas ir iespējams ar iespējamām atkāpēm, kur tas nav iespējams, vai pilnībā bez atkāpēm jānodrošina simtprocentīga piekļūstamība no skolas ieejas līdz projektā atjaunojamajām telpām?</w:t>
            </w:r>
          </w:p>
        </w:tc>
        <w:tc>
          <w:tcPr>
            <w:tcW w:w="7905" w:type="dxa"/>
            <w:tcBorders>
              <w:left w:val="single" w:sz="4" w:space="0" w:color="auto"/>
            </w:tcBorders>
          </w:tcPr>
          <w:p w14:paraId="084A107E" w14:textId="357DF36C" w:rsidR="001D7BD7" w:rsidRPr="001D7BD7" w:rsidRDefault="001D7BD7" w:rsidP="001D7BD7">
            <w:pPr>
              <w:spacing w:line="240" w:lineRule="auto"/>
              <w:jc w:val="both"/>
              <w:rPr>
                <w:rFonts w:ascii="Aptos" w:hAnsi="Aptos" w:cs="Times New Roman"/>
              </w:rPr>
            </w:pPr>
            <w:r>
              <w:rPr>
                <w:rFonts w:ascii="Aptos" w:hAnsi="Aptos" w:cs="Times New Roman"/>
              </w:rPr>
              <w:t xml:space="preserve">1) </w:t>
            </w:r>
            <w:r w:rsidRPr="001D7BD7">
              <w:rPr>
                <w:rFonts w:ascii="Aptos" w:hAnsi="Aptos" w:cs="Times New Roman"/>
              </w:rPr>
              <w:t xml:space="preserve"> apstiprinām, ka, ja projektā ir paredzēta gan būvniecība gan aprīkojuma iegāde, projekta iesniegumam jāatbilst </w:t>
            </w:r>
            <w:hyperlink r:id="rId21" w:history="1">
              <w:r w:rsidR="001A073B" w:rsidRPr="00717D86">
                <w:rPr>
                  <w:rStyle w:val="Hyperlink"/>
                  <w:rFonts w:ascii="Aptos" w:hAnsi="Aptos" w:cs="Times New Roman"/>
                </w:rPr>
                <w:t>SAM 4215 MK noteikumu</w:t>
              </w:r>
            </w:hyperlink>
            <w:r w:rsidRPr="001D7BD7">
              <w:rPr>
                <w:rFonts w:ascii="Aptos" w:hAnsi="Aptos" w:cs="Times New Roman"/>
              </w:rPr>
              <w:t xml:space="preserve">16.2.1. apakšpunkta prasībām - ir uzsākta iepirkuma procedūra par vismaz vienas projekta būves projektēšanas darbiem vai par apvienotu projektēšanu un būvdarbiem par vismaz vienu projekta būvi un ir iesniegts iepērkamā aprīkojuma saraksts ar veiktu aprīkojuma iegādes izmaksu aprēķinu, ja aprīkojuma iegāde ir ieplānota. Sagaidāms, ka projekta iesniegums uz iesniegšanas brīdi nodrošina šīs prasības izpildi. Ja vērtēšanas laikā tiks konstatēts, ka projekta iesniegums pilnībā neatbilst izvirzītajām prasībām attiecībā uz projekta gatavības pakāpi, projekta iesniedzējam tiks izvirzīti papildus nosacījumi, kas būs jāizpilda CFLA lēmumā noteiktajā nosacījumu izpildes laikā. Vēršam uzmanību, ka lēmums par projekta iesniegumu apstiprināšanu nevar tikt pieņemts neizpildot </w:t>
            </w:r>
            <w:hyperlink r:id="rId22" w:history="1">
              <w:r w:rsidR="001A073B" w:rsidRPr="00717D86">
                <w:rPr>
                  <w:rStyle w:val="Hyperlink"/>
                  <w:rFonts w:ascii="Aptos" w:hAnsi="Aptos" w:cs="Times New Roman"/>
                </w:rPr>
                <w:t>SAM 4215 MK noteikumu</w:t>
              </w:r>
            </w:hyperlink>
            <w:r w:rsidRPr="001D7BD7">
              <w:rPr>
                <w:rFonts w:ascii="Aptos" w:hAnsi="Aptos" w:cs="Times New Roman"/>
              </w:rPr>
              <w:t xml:space="preserve"> 16.2. apakšpunkta prasības. </w:t>
            </w:r>
          </w:p>
          <w:p w14:paraId="48251D15" w14:textId="182E2698" w:rsidR="001D7BD7" w:rsidRPr="001D7BD7" w:rsidRDefault="00724894" w:rsidP="001D7BD7">
            <w:pPr>
              <w:spacing w:line="240" w:lineRule="auto"/>
              <w:jc w:val="both"/>
              <w:rPr>
                <w:rFonts w:ascii="Aptos" w:hAnsi="Aptos" w:cs="Times New Roman"/>
              </w:rPr>
            </w:pPr>
            <w:r>
              <w:rPr>
                <w:rFonts w:ascii="Aptos" w:hAnsi="Aptos" w:cs="Times New Roman"/>
              </w:rPr>
              <w:t>2)</w:t>
            </w:r>
            <w:r w:rsidR="001D7BD7" w:rsidRPr="001D7BD7">
              <w:rPr>
                <w:rFonts w:ascii="Aptos" w:hAnsi="Aptos" w:cs="Times New Roman"/>
              </w:rPr>
              <w:t xml:space="preserve"> skaidrojam, ka investīcijas sporta zālē veic atbilstoši </w:t>
            </w:r>
            <w:hyperlink r:id="rId23" w:history="1">
              <w:r w:rsidR="001A073B" w:rsidRPr="00717D86">
                <w:rPr>
                  <w:rStyle w:val="Hyperlink"/>
                  <w:rFonts w:ascii="Aptos" w:hAnsi="Aptos" w:cs="Times New Roman"/>
                </w:rPr>
                <w:t>SAM 4215 MK noteikumu</w:t>
              </w:r>
            </w:hyperlink>
            <w:r w:rsidR="001A073B">
              <w:t xml:space="preserve"> </w:t>
            </w:r>
            <w:r w:rsidR="001D7BD7" w:rsidRPr="001D7BD7">
              <w:rPr>
                <w:rFonts w:ascii="Aptos" w:hAnsi="Aptos" w:cs="Times New Roman"/>
              </w:rPr>
              <w:t>20.7. apakšpunktam, neskatoties uz to, ka to var izmantot dažādiem mērķiem.</w:t>
            </w:r>
          </w:p>
          <w:p w14:paraId="52D989BE" w14:textId="6E9A1C54" w:rsidR="001D7BD7" w:rsidRPr="001D7BD7" w:rsidRDefault="00724894" w:rsidP="001D7BD7">
            <w:pPr>
              <w:spacing w:line="240" w:lineRule="auto"/>
              <w:jc w:val="both"/>
              <w:rPr>
                <w:rFonts w:ascii="Aptos" w:hAnsi="Aptos" w:cs="Times New Roman"/>
              </w:rPr>
            </w:pPr>
            <w:r>
              <w:rPr>
                <w:rFonts w:ascii="Aptos" w:hAnsi="Aptos" w:cs="Times New Roman"/>
              </w:rPr>
              <w:t xml:space="preserve">3) </w:t>
            </w:r>
            <w:r w:rsidR="001D7BD7" w:rsidRPr="001D7BD7">
              <w:rPr>
                <w:rFonts w:ascii="Aptos" w:hAnsi="Aptos" w:cs="Times New Roman"/>
              </w:rPr>
              <w:t xml:space="preserve">skaidrojam, ka projektā nav nosacījuma visā objektā/telpās nodrošināt vides piekļūstamību, bet, lai izpildītu </w:t>
            </w:r>
            <w:hyperlink r:id="rId24" w:history="1">
              <w:r w:rsidR="001A073B" w:rsidRPr="00717D86">
                <w:rPr>
                  <w:rStyle w:val="Hyperlink"/>
                  <w:rFonts w:ascii="Aptos" w:hAnsi="Aptos" w:cs="Times New Roman"/>
                </w:rPr>
                <w:t>SAM 4215 MK noteikumu</w:t>
              </w:r>
            </w:hyperlink>
            <w:r w:rsidR="001A073B">
              <w:t xml:space="preserve"> </w:t>
            </w:r>
            <w:r w:rsidR="001D7BD7" w:rsidRPr="001D7BD7">
              <w:rPr>
                <w:rFonts w:ascii="Aptos" w:hAnsi="Aptos" w:cs="Times New Roman"/>
              </w:rPr>
              <w:t>Nr. 783 33.2. apakšpunktā noteiktos nosacījumus, projekta iesniedzējam ir jāpamato, kas projekta ietvaros tiks veikts, </w:t>
            </w:r>
            <w:r w:rsidR="001D7BD7" w:rsidRPr="001D7BD7">
              <w:rPr>
                <w:rFonts w:ascii="Aptos" w:hAnsi="Aptos" w:cs="Times New Roman"/>
                <w:b/>
                <w:bCs/>
              </w:rPr>
              <w:t>lai veicinātu vides piekļūstamību noteiktajā objektā.</w:t>
            </w:r>
            <w:r w:rsidR="001D7BD7" w:rsidRPr="001D7BD7">
              <w:rPr>
                <w:rFonts w:ascii="Aptos" w:hAnsi="Aptos" w:cs="Times New Roman"/>
              </w:rPr>
              <w:t> Ja nav pārliecības, kādi vides piekļūstamības risinājumi var tikt plānoti projektā paredzētajām darbībām, aicinām piesaistīt vides piekļūstamības konsultantus.</w:t>
            </w:r>
          </w:p>
          <w:p w14:paraId="7E861310" w14:textId="77777777" w:rsidR="001D7BD7" w:rsidRPr="001D7BD7" w:rsidRDefault="001D7BD7" w:rsidP="001D7BD7">
            <w:pPr>
              <w:numPr>
                <w:ilvl w:val="0"/>
                <w:numId w:val="17"/>
              </w:numPr>
              <w:spacing w:line="240" w:lineRule="auto"/>
              <w:jc w:val="both"/>
              <w:rPr>
                <w:rFonts w:ascii="Aptos" w:hAnsi="Aptos" w:cs="Times New Roman"/>
              </w:rPr>
            </w:pPr>
            <w:r w:rsidRPr="001D7BD7">
              <w:rPr>
                <w:rFonts w:ascii="Aptos" w:hAnsi="Aptos" w:cs="Times New Roman"/>
              </w:rPr>
              <w:t>Lai izpildītu Rādītāju "objektu skaits, kuros ar Eiropas Reģionālās attīstības fonda ieguldījumiem ir nodrošināta vides un informācijas piekļūstamība (VINPI_12)" Jums sadaļā "Darbības" ir jāpiesaista atbilstošās specifiskās darbības piemēram, "fiziska piekļūstamība cilvēkiem ar kustību traucējumiem", “Labās prakses ieteikumi vides piekļūstamības nodrošināšanai papildus LBN 200-21 noteiktajam” attiecīgi pamatojumā norādot, kas projekta ietvaros tiks veikts, lai veicinātu vides piekļūstamību noteiktajos objektos/objektā, piemēram, pielāgotas tualetes, durvju ailes, ēkas ieejas utml., arī pielāgots aprīkojums cilvēkiem ar dažādiem funkcionāliem traucējumiem, vizuālie risinājumi, lūdzam vairāk iepazīties Labklājības ministrijas mājaslapā: </w:t>
            </w:r>
            <w:hyperlink r:id="rId25" w:tooltip="Original URL: https://www.lm.gov.lv/lv/horizontalais-princips-vienlidziba-ieklausana-nediskriminacija-un-pamattiesibu-ieverosana. Click or tap if you trust this link." w:history="1">
              <w:r w:rsidRPr="001D7BD7">
                <w:rPr>
                  <w:rStyle w:val="Hyperlink"/>
                  <w:rFonts w:ascii="Aptos" w:hAnsi="Aptos" w:cs="Times New Roman"/>
                </w:rPr>
                <w:t>https://www.lm.gov.lv/lv/horizontalais-princips-vienlidziba-ieklausana-nediskriminacija-un-pamattiesibu-ieverosana</w:t>
              </w:r>
            </w:hyperlink>
            <w:r w:rsidRPr="001D7BD7">
              <w:rPr>
                <w:rFonts w:ascii="Aptos" w:hAnsi="Aptos" w:cs="Times New Roman"/>
              </w:rPr>
              <w:t>;  </w:t>
            </w:r>
            <w:hyperlink r:id="rId26" w:tooltip="Original URL: https://www.lm.gov.lv/lv/labas-prakses-ieteikumi-vides-pieklustamibas-nodrosinasanai-papildus-lbn-200-21-noteiktajam-2022. Click or tap if you trust this link." w:history="1">
              <w:r w:rsidRPr="001D7BD7">
                <w:rPr>
                  <w:rStyle w:val="Hyperlink"/>
                  <w:rFonts w:ascii="Aptos" w:hAnsi="Aptos" w:cs="Times New Roman"/>
                </w:rPr>
                <w:t>https://www.lm.gov.lv/lv/labas-prakses-ieteikumi-vides-pieklustamibas-nodrosinasanai-papildus-lbn-200-21-noteiktajam-2022</w:t>
              </w:r>
            </w:hyperlink>
          </w:p>
          <w:p w14:paraId="7896533B" w14:textId="77777777" w:rsidR="001D7BD7" w:rsidRPr="001D7BD7" w:rsidRDefault="001D7BD7" w:rsidP="001D7BD7">
            <w:pPr>
              <w:numPr>
                <w:ilvl w:val="0"/>
                <w:numId w:val="17"/>
              </w:numPr>
              <w:spacing w:line="240" w:lineRule="auto"/>
              <w:jc w:val="both"/>
              <w:rPr>
                <w:rFonts w:ascii="Aptos" w:hAnsi="Aptos" w:cs="Times New Roman"/>
              </w:rPr>
            </w:pPr>
            <w:r w:rsidRPr="001D7BD7">
              <w:rPr>
                <w:rFonts w:ascii="Aptos" w:hAnsi="Aptos" w:cs="Times New Roman"/>
              </w:rPr>
              <w:t>Lai izpildītu Rādītāju  "veikto vides un informācijas piekļūstamības pašnovērtējumu skaits atbilstoši Labklājības ministrijas izstrādātajai metodikai (VINPI_17)" - vairāk attiecināms uz gadījumiem, kad ēkā jau ir nodrošināta lielākā daļa vides piekļūstamības risinājumu un projekta iesniedzējs var nodrošināt, ka  objektam atbilstoši Labklājības ministrijas izstrādātajai metodikai vides piekļūstamības novērtējumam, iegūto punktu skaits nav zemāks par 8. Vairāk informāciju skatīt šeit: </w:t>
            </w:r>
            <w:hyperlink r:id="rId27" w:tooltip="Original URL: https://www.lm.gov.lv/lv/vides-pieklustamibas-pasnovertejums. Click or tap if you trust this link." w:history="1">
              <w:r w:rsidRPr="001D7BD7">
                <w:rPr>
                  <w:rStyle w:val="Hyperlink"/>
                  <w:rFonts w:ascii="Aptos" w:hAnsi="Aptos" w:cs="Times New Roman"/>
                </w:rPr>
                <w:t>https://www.lm.gov.lv/lv/vides-pieklustamibas-pasnovertejums</w:t>
              </w:r>
            </w:hyperlink>
            <w:r w:rsidRPr="001D7BD7">
              <w:rPr>
                <w:rFonts w:ascii="Aptos" w:hAnsi="Aptos" w:cs="Times New Roman"/>
              </w:rPr>
              <w:t>, atbilstoši projekta iesnieguma sadaļā "Darbības", apakšsadaļā "Horizontāli principi" piesaistāmas specifiskā darbība "vides un informācijas piekļūstamības pašnovērtējums".</w:t>
            </w:r>
          </w:p>
          <w:p w14:paraId="512D53AB" w14:textId="72DC384A" w:rsidR="002365FF" w:rsidRPr="00E90B35" w:rsidRDefault="001D7BD7" w:rsidP="00E90B35">
            <w:pPr>
              <w:numPr>
                <w:ilvl w:val="0"/>
                <w:numId w:val="17"/>
              </w:numPr>
              <w:spacing w:line="240" w:lineRule="auto"/>
              <w:jc w:val="both"/>
              <w:rPr>
                <w:rFonts w:ascii="Aptos" w:hAnsi="Aptos" w:cs="Times New Roman"/>
              </w:rPr>
            </w:pPr>
            <w:r w:rsidRPr="001D7BD7">
              <w:rPr>
                <w:rFonts w:ascii="Aptos" w:hAnsi="Aptos" w:cs="Times New Roman"/>
              </w:rPr>
              <w:t>Lai izpildītu Rādītāju "konsultatīva rakstura pasākumu skaits par būvētās vides, IT risinājumu, IT tehnoloģiju piekļūstamību personām ar dažādiem funkcionāliem traucējumiem (VINPI_18)", projekta iesniedzējam jānodrošina, ka projekta īstenošanas laikā plānojot noteiktos būvdarbus vai aprīkojuma iegādi tiks piesaistīti vides piekļūstamības konsultanti, kas sniedz ieteikumus/risinājumus vides piekļūstamības veicināšanā tieši projektā plānotajām darbībām, atbilstoši projekta iesnieguma sadaļā "Darbības", apakšsadaļā "Horizontāli principi" piesaistāmas specifiskā darbība "vides piekļūstamības ekspertu konsultācijas".</w:t>
            </w:r>
          </w:p>
        </w:tc>
      </w:tr>
      <w:tr w:rsidR="00E90B35" w:rsidRPr="00FE1EE3" w14:paraId="44395A99" w14:textId="77777777" w:rsidTr="3D2AE4F9">
        <w:tc>
          <w:tcPr>
            <w:tcW w:w="1335" w:type="dxa"/>
          </w:tcPr>
          <w:p w14:paraId="12EC6A2D" w14:textId="2B6DCDDB" w:rsidR="00E90B35" w:rsidRDefault="00DD6999" w:rsidP="008D4A71">
            <w:pPr>
              <w:pStyle w:val="ListParagraph"/>
              <w:spacing w:line="240" w:lineRule="auto"/>
              <w:ind w:left="360"/>
              <w:jc w:val="both"/>
              <w:rPr>
                <w:rFonts w:ascii="Aptos" w:hAnsi="Aptos" w:cs="Times New Roman"/>
              </w:rPr>
            </w:pPr>
            <w:r>
              <w:rPr>
                <w:rFonts w:ascii="Aptos" w:hAnsi="Aptos" w:cs="Times New Roman"/>
              </w:rPr>
              <w:t>2.6.</w:t>
            </w:r>
          </w:p>
        </w:tc>
        <w:tc>
          <w:tcPr>
            <w:tcW w:w="6137" w:type="dxa"/>
            <w:tcBorders>
              <w:right w:val="single" w:sz="4" w:space="0" w:color="auto"/>
            </w:tcBorders>
          </w:tcPr>
          <w:p w14:paraId="12B2043C" w14:textId="7EAEEBF8" w:rsidR="00E90B35" w:rsidRDefault="00DD6999" w:rsidP="002365FF">
            <w:pPr>
              <w:spacing w:line="240" w:lineRule="auto"/>
              <w:jc w:val="both"/>
              <w:rPr>
                <w:rFonts w:ascii="Aptos" w:hAnsi="Aptos" w:cs="Times New Roman"/>
              </w:rPr>
            </w:pPr>
            <w:r>
              <w:rPr>
                <w:rFonts w:ascii="Aptos" w:hAnsi="Aptos" w:cs="Times New Roman"/>
              </w:rPr>
              <w:t>Projekta ietvaros atbalstāmās Izglītības iestādes daļā notiek saimnieciskā darbība, ģimenes ārsta prakse, kā rīkoties šādā gadījumā?</w:t>
            </w:r>
          </w:p>
        </w:tc>
        <w:tc>
          <w:tcPr>
            <w:tcW w:w="7905" w:type="dxa"/>
            <w:tcBorders>
              <w:left w:val="single" w:sz="4" w:space="0" w:color="auto"/>
            </w:tcBorders>
          </w:tcPr>
          <w:p w14:paraId="52593B00" w14:textId="3B7B2827" w:rsidR="00E90B35" w:rsidRDefault="00DD6999" w:rsidP="001D7BD7">
            <w:pPr>
              <w:spacing w:line="240" w:lineRule="auto"/>
              <w:jc w:val="both"/>
              <w:rPr>
                <w:rFonts w:ascii="Aptos" w:hAnsi="Aptos" w:cs="Times New Roman"/>
              </w:rPr>
            </w:pPr>
            <w:r>
              <w:rPr>
                <w:rFonts w:ascii="Aptos" w:hAnsi="Aptos" w:cs="Times New Roman"/>
              </w:rPr>
              <w:t>Š</w:t>
            </w:r>
            <w:r w:rsidR="00E90B35" w:rsidRPr="001D7BD7">
              <w:rPr>
                <w:rFonts w:ascii="Aptos" w:hAnsi="Aptos" w:cs="Times New Roman"/>
              </w:rPr>
              <w:t>ādi gadījumi, ka</w:t>
            </w:r>
            <w:r>
              <w:rPr>
                <w:rFonts w:ascii="Aptos" w:hAnsi="Aptos" w:cs="Times New Roman"/>
              </w:rPr>
              <w:t>d</w:t>
            </w:r>
            <w:r w:rsidR="00E90B35" w:rsidRPr="001D7BD7">
              <w:rPr>
                <w:rFonts w:ascii="Aptos" w:hAnsi="Aptos" w:cs="Times New Roman"/>
              </w:rPr>
              <w:t xml:space="preserve"> kādā ēkas daļā notiek ar izglītības funkcijām nesaistīta darbība (</w:t>
            </w:r>
            <w:r>
              <w:rPr>
                <w:rFonts w:ascii="Aptos" w:hAnsi="Aptos" w:cs="Times New Roman"/>
              </w:rPr>
              <w:t xml:space="preserve">piemēram, </w:t>
            </w:r>
            <w:r w:rsidR="00E90B35" w:rsidRPr="001D7BD7">
              <w:rPr>
                <w:rFonts w:ascii="Aptos" w:hAnsi="Aptos" w:cs="Times New Roman"/>
              </w:rPr>
              <w:t>ģimenes ārstu prakses) var būt, lūdzam šādā gadījumā sadaļā "Projekta īstenošanas kapacitāte" apliecināt, ka ēkas daļās, kurās notiek saimnieciskā darbība, netiks veikti ieguldījumi projekta ietvaros.</w:t>
            </w:r>
          </w:p>
        </w:tc>
      </w:tr>
      <w:tr w:rsidR="00013CA7" w:rsidRPr="00FE1EE3" w14:paraId="2F11DB32" w14:textId="77777777" w:rsidTr="3D2AE4F9">
        <w:tc>
          <w:tcPr>
            <w:tcW w:w="15377" w:type="dxa"/>
            <w:gridSpan w:val="3"/>
            <w:tcBorders>
              <w:bottom w:val="single" w:sz="4" w:space="0" w:color="000000" w:themeColor="text1"/>
            </w:tcBorders>
            <w:shd w:val="clear" w:color="auto" w:fill="D0CECE" w:themeFill="background2" w:themeFillShade="E6"/>
          </w:tcPr>
          <w:p w14:paraId="6F1C6314" w14:textId="7BC4B14D" w:rsidR="00013CA7" w:rsidRPr="00FE1EE3" w:rsidRDefault="0039385D" w:rsidP="00B626E4">
            <w:pPr>
              <w:pStyle w:val="Heading1"/>
              <w:numPr>
                <w:ilvl w:val="0"/>
                <w:numId w:val="3"/>
              </w:numPr>
              <w:tabs>
                <w:tab w:val="num" w:pos="360"/>
              </w:tabs>
              <w:spacing w:line="240" w:lineRule="auto"/>
              <w:ind w:left="0" w:firstLine="0"/>
              <w:rPr>
                <w:rFonts w:ascii="Aptos" w:hAnsi="Aptos" w:cs="Times New Roman"/>
                <w:sz w:val="22"/>
                <w:szCs w:val="22"/>
              </w:rPr>
            </w:pPr>
            <w:bookmarkStart w:id="8" w:name="_Toc206588379"/>
            <w:r>
              <w:rPr>
                <w:rFonts w:ascii="Aptos" w:hAnsi="Aptos" w:cs="Times New Roman"/>
                <w:sz w:val="22"/>
                <w:szCs w:val="22"/>
              </w:rPr>
              <w:t xml:space="preserve"> </w:t>
            </w:r>
            <w:r w:rsidR="00F60DD8">
              <w:rPr>
                <w:rFonts w:ascii="Aptos" w:hAnsi="Aptos" w:cs="Times New Roman"/>
                <w:sz w:val="22"/>
                <w:szCs w:val="22"/>
              </w:rPr>
              <w:t xml:space="preserve"> </w:t>
            </w:r>
            <w:r w:rsidR="003B3BE0">
              <w:rPr>
                <w:rFonts w:ascii="Aptos" w:hAnsi="Aptos" w:cs="Times New Roman"/>
                <w:sz w:val="22"/>
                <w:szCs w:val="22"/>
              </w:rPr>
              <w:t xml:space="preserve">                             </w:t>
            </w:r>
            <w:r w:rsidR="00013CA7" w:rsidRPr="00FE1EE3">
              <w:rPr>
                <w:rFonts w:ascii="Aptos" w:hAnsi="Aptos" w:cs="Times New Roman"/>
                <w:sz w:val="22"/>
                <w:szCs w:val="22"/>
              </w:rPr>
              <w:t>Attiecināmās izmaksas</w:t>
            </w:r>
            <w:bookmarkEnd w:id="8"/>
          </w:p>
        </w:tc>
      </w:tr>
      <w:tr w:rsidR="00013CA7" w:rsidRPr="00FE1EE3" w14:paraId="29C2E4A2" w14:textId="77777777" w:rsidTr="3D2AE4F9">
        <w:tc>
          <w:tcPr>
            <w:tcW w:w="1335" w:type="dxa"/>
          </w:tcPr>
          <w:p w14:paraId="7A249BB7" w14:textId="566BFA5F" w:rsidR="00013CA7" w:rsidRPr="00717D86" w:rsidRDefault="00C97DC3" w:rsidP="00605778">
            <w:pPr>
              <w:shd w:val="clear" w:color="auto" w:fill="FFFFFF"/>
              <w:spacing w:line="240" w:lineRule="auto"/>
              <w:jc w:val="center"/>
              <w:rPr>
                <w:rFonts w:ascii="Aptos" w:hAnsi="Aptos" w:cs="Times New Roman"/>
              </w:rPr>
            </w:pPr>
            <w:r w:rsidRPr="00717D86">
              <w:rPr>
                <w:rFonts w:ascii="Aptos" w:hAnsi="Aptos" w:cs="Times New Roman"/>
              </w:rPr>
              <w:t>3.1.</w:t>
            </w:r>
          </w:p>
        </w:tc>
        <w:tc>
          <w:tcPr>
            <w:tcW w:w="6137" w:type="dxa"/>
            <w:tcBorders>
              <w:right w:val="single" w:sz="4" w:space="0" w:color="auto"/>
            </w:tcBorders>
          </w:tcPr>
          <w:p w14:paraId="32FA4B1F" w14:textId="6223C1BD" w:rsidR="00FB67D6" w:rsidRPr="00717D86" w:rsidRDefault="00955103" w:rsidP="00FB67D6">
            <w:pPr>
              <w:shd w:val="clear" w:color="auto" w:fill="FFFFFF"/>
              <w:spacing w:line="240" w:lineRule="auto"/>
              <w:jc w:val="both"/>
              <w:rPr>
                <w:rFonts w:ascii="Aptos" w:hAnsi="Aptos" w:cs="Times New Roman"/>
              </w:rPr>
            </w:pPr>
            <w:r w:rsidRPr="00717D86">
              <w:rPr>
                <w:rFonts w:ascii="Aptos" w:hAnsi="Aptos" w:cs="Times New Roman"/>
              </w:rPr>
              <w:t>J</w:t>
            </w:r>
            <w:r w:rsidR="00D04409" w:rsidRPr="00717D86">
              <w:rPr>
                <w:rFonts w:ascii="Aptos" w:hAnsi="Aptos" w:cs="Times New Roman"/>
              </w:rPr>
              <w:t>autājums par apkures katlu nomaiņu, vai tā tiktu attiecināta šīs projekta kārtas ietvaros skolai?</w:t>
            </w:r>
            <w:r w:rsidR="00FB67D6" w:rsidRPr="00717D86">
              <w:rPr>
                <w:rFonts w:ascii="Aptos" w:hAnsi="Aptos" w:cs="Times New Roman"/>
              </w:rPr>
              <w:t xml:space="preserve"> Apkures katls nav domāts kā energoefektivitātes uzlabošanas pasākums, bet pilnvērtīgas apkures sistēmas nodrošināšanas pasākums – apkures sistēmas uzlabošana, lai skolas mācību telpās būtu atbilstošs siltums bez pārrāvumiem, ņemot vērā līdzšinējā malkas apkures katla ilgo nolietojumu.</w:t>
            </w:r>
          </w:p>
          <w:p w14:paraId="5B12DA6A" w14:textId="4720BAE1" w:rsidR="00013CA7" w:rsidRPr="00717D86" w:rsidRDefault="00013CA7" w:rsidP="008D4A71">
            <w:pPr>
              <w:shd w:val="clear" w:color="auto" w:fill="FFFFFF"/>
              <w:spacing w:line="240" w:lineRule="auto"/>
              <w:jc w:val="both"/>
              <w:rPr>
                <w:rFonts w:ascii="Aptos" w:hAnsi="Aptos" w:cs="Times New Roman"/>
              </w:rPr>
            </w:pPr>
          </w:p>
        </w:tc>
        <w:tc>
          <w:tcPr>
            <w:tcW w:w="7905" w:type="dxa"/>
            <w:tcBorders>
              <w:left w:val="single" w:sz="4" w:space="0" w:color="auto"/>
            </w:tcBorders>
          </w:tcPr>
          <w:p w14:paraId="3670B08B" w14:textId="756F0B98" w:rsidR="003B7940" w:rsidRPr="003B7940" w:rsidRDefault="003B7940" w:rsidP="003B7940">
            <w:pPr>
              <w:spacing w:line="240" w:lineRule="auto"/>
              <w:jc w:val="both"/>
              <w:rPr>
                <w:rFonts w:ascii="Aptos" w:hAnsi="Aptos" w:cs="Times New Roman"/>
              </w:rPr>
            </w:pPr>
            <w:r w:rsidRPr="003B7940">
              <w:rPr>
                <w:rFonts w:ascii="Aptos" w:hAnsi="Aptos" w:cs="Times New Roman"/>
              </w:rPr>
              <w:t xml:space="preserve">Ja apkures katla nomaiņa paredzēta projekta ietvaros atbalstāmā skolā, kurā siltumapgāde tiek nodrošināta lokāli (nav pieslēgums centralizētai apkures sistēmai), un apkures katls apgādās ar siltumu tikai skolu, tad apkures katls būs ēkas iekšējais inženiertīkls, jo ir ēkas/zemes īpašnieka piederības zonā, kurā tiek veikti ieguldījumi. Šādā gadījumā apkures katla nomaiņas izmaksas būtu attiecināma saskaņā ar </w:t>
            </w:r>
            <w:hyperlink r:id="rId28" w:history="1">
              <w:r w:rsidR="00FB67D6" w:rsidRPr="00717D86">
                <w:rPr>
                  <w:rStyle w:val="Hyperlink"/>
                  <w:rFonts w:ascii="Aptos" w:hAnsi="Aptos" w:cs="Times New Roman"/>
                </w:rPr>
                <w:t>SAM 4215 MK noteikumu</w:t>
              </w:r>
              <w:r w:rsidR="00FB67D6" w:rsidRPr="00BD7848">
                <w:rPr>
                  <w:rStyle w:val="Hyperlink"/>
                  <w:rFonts w:ascii="Aptos" w:hAnsi="Aptos" w:cs="Times New Roman"/>
                </w:rPr>
                <w:t> </w:t>
              </w:r>
            </w:hyperlink>
            <w:r w:rsidRPr="003B7940">
              <w:rPr>
                <w:rFonts w:ascii="Aptos" w:hAnsi="Aptos" w:cs="Times New Roman"/>
              </w:rPr>
              <w:t>20.2.4.punktu, ievērojot šajā punktā ietvertos nosacījumus un izmaksu ierobežojumus.</w:t>
            </w:r>
          </w:p>
          <w:p w14:paraId="4CC12C07" w14:textId="477E0E88" w:rsidR="00013CA7" w:rsidRPr="00717D86" w:rsidRDefault="00013CA7" w:rsidP="008D4A71">
            <w:pPr>
              <w:spacing w:line="240" w:lineRule="auto"/>
              <w:jc w:val="both"/>
              <w:rPr>
                <w:rFonts w:ascii="Aptos" w:hAnsi="Aptos" w:cs="Times New Roman"/>
                <w:color w:val="2F5496" w:themeColor="accent1" w:themeShade="BF"/>
              </w:rPr>
            </w:pPr>
          </w:p>
        </w:tc>
      </w:tr>
      <w:tr w:rsidR="00FF43AB" w:rsidRPr="00FE1EE3" w14:paraId="209DBD11" w14:textId="77777777" w:rsidTr="3D2AE4F9">
        <w:trPr>
          <w:trHeight w:val="155"/>
        </w:trPr>
        <w:tc>
          <w:tcPr>
            <w:tcW w:w="1335" w:type="dxa"/>
            <w:vMerge w:val="restart"/>
          </w:tcPr>
          <w:p w14:paraId="1377D763" w14:textId="6DC9E296" w:rsidR="00FF43AB" w:rsidRPr="00717D86" w:rsidRDefault="00FF43AB" w:rsidP="004D143E">
            <w:pPr>
              <w:spacing w:line="240" w:lineRule="auto"/>
              <w:jc w:val="center"/>
              <w:rPr>
                <w:rFonts w:ascii="Aptos" w:hAnsi="Aptos" w:cs="Times New Roman"/>
              </w:rPr>
            </w:pPr>
            <w:r w:rsidRPr="00717D86">
              <w:rPr>
                <w:rFonts w:ascii="Aptos" w:hAnsi="Aptos" w:cs="Times New Roman"/>
              </w:rPr>
              <w:t>3.2.</w:t>
            </w:r>
          </w:p>
        </w:tc>
        <w:tc>
          <w:tcPr>
            <w:tcW w:w="6137" w:type="dxa"/>
            <w:tcBorders>
              <w:right w:val="single" w:sz="4" w:space="0" w:color="auto"/>
            </w:tcBorders>
          </w:tcPr>
          <w:p w14:paraId="34554157" w14:textId="62A02D10" w:rsidR="00FF43AB" w:rsidRPr="00717D86" w:rsidRDefault="00FF43AB" w:rsidP="00E846CC">
            <w:pPr>
              <w:spacing w:line="240" w:lineRule="auto"/>
              <w:jc w:val="both"/>
              <w:rPr>
                <w:rFonts w:ascii="Aptos" w:eastAsia="Times New Roman" w:hAnsi="Aptos" w:cs="Times New Roman"/>
                <w:lang w:eastAsia="lv-LV"/>
              </w:rPr>
            </w:pPr>
            <w:r w:rsidRPr="00717D86">
              <w:rPr>
                <w:rFonts w:ascii="Aptos" w:eastAsia="Times New Roman" w:hAnsi="Aptos" w:cs="Times New Roman"/>
                <w:lang w:eastAsia="lv-LV"/>
              </w:rPr>
              <w:t>Projekta ietvaros kā viena no prioritātēm ir atjaunot un aprīkot mācību telpas (datorikas kabinets, multifunkcionālā mācību telpa - MK not. 20.2.1.p), pārbūvēt un aprīkot ķīmijas laboratoriju, atjaunot un aprīkot ķīmijas un dizaina un tehnoloģiju kabinetus (MK not. 20.5.p)</w:t>
            </w:r>
          </w:p>
          <w:p w14:paraId="5113535F" w14:textId="7E50C519" w:rsidR="00FF43AB" w:rsidRPr="00717D86" w:rsidRDefault="00FF43AB" w:rsidP="00E846CC">
            <w:pPr>
              <w:spacing w:line="240" w:lineRule="auto"/>
              <w:jc w:val="both"/>
              <w:rPr>
                <w:rFonts w:ascii="Aptos" w:eastAsia="Times New Roman" w:hAnsi="Aptos" w:cs="Times New Roman"/>
                <w:lang w:eastAsia="lv-LV"/>
              </w:rPr>
            </w:pPr>
            <w:r w:rsidRPr="00717D86">
              <w:rPr>
                <w:rFonts w:ascii="Aptos" w:eastAsia="Times New Roman" w:hAnsi="Aptos" w:cs="Times New Roman"/>
                <w:lang w:eastAsia="lv-LV"/>
              </w:rPr>
              <w:t>Plānots arī atjaunot 3 gaiteņus (1., 2. un 3.stāvā) un atjaunot trīs evakuācijas kāpnes visu stāvu augstumā - skolai ir 4 stāvi).</w:t>
            </w:r>
          </w:p>
          <w:p w14:paraId="778EA6E9" w14:textId="0C436A94" w:rsidR="00FF43AB" w:rsidRPr="00717D86" w:rsidRDefault="00FF43AB" w:rsidP="00E846CC">
            <w:pPr>
              <w:spacing w:line="240" w:lineRule="auto"/>
              <w:jc w:val="both"/>
              <w:rPr>
                <w:rFonts w:ascii="Aptos" w:eastAsia="Times New Roman" w:hAnsi="Aptos" w:cs="Times New Roman"/>
                <w:lang w:eastAsia="lv-LV"/>
              </w:rPr>
            </w:pPr>
            <w:r w:rsidRPr="00717D86">
              <w:rPr>
                <w:rFonts w:ascii="Aptos" w:eastAsia="Times New Roman" w:hAnsi="Aptos" w:cs="Times New Roman"/>
                <w:lang w:eastAsia="lv-LV"/>
              </w:rPr>
              <w:t xml:space="preserve">Atjaunojamie kabineti (izņemot dizains un tehnoloģijas) un gaiteņi atrodas vienā ēkas daļā. Jautājumi: </w:t>
            </w:r>
          </w:p>
        </w:tc>
        <w:tc>
          <w:tcPr>
            <w:tcW w:w="7905" w:type="dxa"/>
            <w:tcBorders>
              <w:left w:val="single" w:sz="4" w:space="0" w:color="auto"/>
            </w:tcBorders>
          </w:tcPr>
          <w:p w14:paraId="36A63075" w14:textId="4A3CE69A" w:rsidR="00FF43AB" w:rsidRPr="00717D86" w:rsidRDefault="00FF43AB" w:rsidP="004D143E">
            <w:pPr>
              <w:spacing w:line="240" w:lineRule="auto"/>
              <w:jc w:val="both"/>
              <w:rPr>
                <w:rFonts w:ascii="Aptos" w:hAnsi="Aptos" w:cs="Times New Roman"/>
                <w:color w:val="2F5496" w:themeColor="accent1" w:themeShade="BF"/>
              </w:rPr>
            </w:pPr>
            <w:r w:rsidRPr="00717D86">
              <w:rPr>
                <w:rFonts w:ascii="Aptos" w:hAnsi="Aptos" w:cs="Times New Roman"/>
              </w:rPr>
              <w:t>N</w:t>
            </w:r>
            <w:r w:rsidRPr="00717D86">
              <w:rPr>
                <w:rFonts w:ascii="Aptos" w:hAnsi="Aptos"/>
              </w:rPr>
              <w:t xml:space="preserve">o sniegtā apraksta ir secināms, ka projekta ietvaros ir plānotas vispārējās izglītības iestādes ēkas un telpu pārbūves un atjaunošanas izmaksa, atbilstoši </w:t>
            </w:r>
            <w:hyperlink r:id="rId29" w:history="1">
              <w:r w:rsidRPr="00717D86">
                <w:rPr>
                  <w:rStyle w:val="Hyperlink"/>
                  <w:rFonts w:ascii="Aptos" w:hAnsi="Aptos"/>
                </w:rPr>
                <w:t>SAM 4215 MK noteikumu</w:t>
              </w:r>
            </w:hyperlink>
            <w:r w:rsidRPr="00717D86">
              <w:rPr>
                <w:rFonts w:ascii="Aptos" w:hAnsi="Aptos"/>
                <w:color w:val="2F5496" w:themeColor="accent1" w:themeShade="BF"/>
              </w:rPr>
              <w:t xml:space="preserve"> </w:t>
            </w:r>
            <w:r w:rsidRPr="00717D86">
              <w:rPr>
                <w:rFonts w:ascii="Aptos" w:hAnsi="Aptos"/>
              </w:rPr>
              <w:t>20.2. punktam. Atbildes:</w:t>
            </w:r>
          </w:p>
        </w:tc>
      </w:tr>
      <w:tr w:rsidR="00FF43AB" w:rsidRPr="00FE1EE3" w14:paraId="1D5F83C0" w14:textId="77777777" w:rsidTr="3D2AE4F9">
        <w:trPr>
          <w:trHeight w:val="155"/>
        </w:trPr>
        <w:tc>
          <w:tcPr>
            <w:tcW w:w="1335" w:type="dxa"/>
            <w:vMerge/>
          </w:tcPr>
          <w:p w14:paraId="5E6AF05E" w14:textId="77777777" w:rsidR="00FF43AB" w:rsidRPr="00717D86" w:rsidRDefault="00FF43AB" w:rsidP="004D143E">
            <w:pPr>
              <w:spacing w:line="240" w:lineRule="auto"/>
              <w:jc w:val="both"/>
              <w:rPr>
                <w:rFonts w:ascii="Aptos" w:hAnsi="Aptos" w:cs="Times New Roman"/>
              </w:rPr>
            </w:pPr>
          </w:p>
        </w:tc>
        <w:tc>
          <w:tcPr>
            <w:tcW w:w="6137" w:type="dxa"/>
            <w:tcBorders>
              <w:right w:val="single" w:sz="4" w:space="0" w:color="auto"/>
            </w:tcBorders>
          </w:tcPr>
          <w:p w14:paraId="47943305" w14:textId="2381CE10" w:rsidR="00FF43AB" w:rsidRPr="00717D86" w:rsidRDefault="00FF43AB" w:rsidP="004D143E">
            <w:pPr>
              <w:spacing w:line="240" w:lineRule="auto"/>
              <w:jc w:val="both"/>
              <w:rPr>
                <w:rFonts w:ascii="Aptos" w:eastAsia="Times New Roman" w:hAnsi="Aptos" w:cs="Times New Roman"/>
                <w:lang w:eastAsia="lv-LV"/>
              </w:rPr>
            </w:pPr>
            <w:r w:rsidRPr="00717D86">
              <w:rPr>
                <w:rFonts w:ascii="Aptos" w:eastAsia="Times New Roman" w:hAnsi="Aptos" w:cs="Times New Roman"/>
                <w:lang w:eastAsia="lv-LV"/>
              </w:rPr>
              <w:t>1) Vai atļauta 1.stāva gaiteņa atjaunošana, ja atjaunojamās mācību telpas atrodas 2.stāvā un 3.stāvā?</w:t>
            </w:r>
          </w:p>
        </w:tc>
        <w:tc>
          <w:tcPr>
            <w:tcW w:w="7905" w:type="dxa"/>
            <w:tcBorders>
              <w:left w:val="single" w:sz="4" w:space="0" w:color="auto"/>
            </w:tcBorders>
          </w:tcPr>
          <w:p w14:paraId="1B761DBC" w14:textId="143E0213" w:rsidR="00FF43AB" w:rsidRPr="00717D86" w:rsidRDefault="00FF43AB" w:rsidP="004D143E">
            <w:pPr>
              <w:spacing w:line="240" w:lineRule="auto"/>
              <w:jc w:val="both"/>
              <w:rPr>
                <w:rFonts w:ascii="Aptos" w:hAnsi="Aptos" w:cs="Times New Roman"/>
                <w:color w:val="2F5496" w:themeColor="accent1" w:themeShade="BF"/>
              </w:rPr>
            </w:pPr>
            <w:r w:rsidRPr="00717D86">
              <w:rPr>
                <w:rFonts w:ascii="Aptos" w:hAnsi="Aptos" w:cs="Times New Roman"/>
              </w:rPr>
              <w:t xml:space="preserve">1) Atbilstoši </w:t>
            </w:r>
            <w:hyperlink r:id="rId30" w:history="1">
              <w:r w:rsidRPr="00717D86">
                <w:rPr>
                  <w:rStyle w:val="Hyperlink"/>
                  <w:rFonts w:ascii="Aptos" w:hAnsi="Aptos" w:cs="Times New Roman"/>
                </w:rPr>
                <w:t>SAM 4215 MK noteikumu</w:t>
              </w:r>
            </w:hyperlink>
            <w:r w:rsidRPr="00717D86">
              <w:rPr>
                <w:rFonts w:ascii="Aptos" w:hAnsi="Aptos" w:cs="Times New Roman"/>
                <w:color w:val="2F5496" w:themeColor="accent1" w:themeShade="BF"/>
              </w:rPr>
              <w:t> </w:t>
            </w:r>
            <w:r w:rsidRPr="00717D86">
              <w:rPr>
                <w:rFonts w:ascii="Aptos" w:hAnsi="Aptos" w:cs="Times New Roman"/>
              </w:rPr>
              <w:t>20.2.2. punktam, ir attiecināma gaiteņu atjaunošana, ja projekta ietvaros tiek atjaunotas MK noteikumu 2.2.1. punktā un 20.5. punktā minētās telpas. Ne MK noteikumi, ne anotācija nenosaka, ka gaiteņiem būtu jāatrodas vienā stāvā ar atjaunojamām telpām.</w:t>
            </w:r>
          </w:p>
        </w:tc>
      </w:tr>
      <w:tr w:rsidR="00FF43AB" w:rsidRPr="00FE1EE3" w14:paraId="5C523F21" w14:textId="77777777" w:rsidTr="3D2AE4F9">
        <w:trPr>
          <w:trHeight w:val="155"/>
        </w:trPr>
        <w:tc>
          <w:tcPr>
            <w:tcW w:w="1335" w:type="dxa"/>
            <w:vMerge/>
          </w:tcPr>
          <w:p w14:paraId="744E170B" w14:textId="77777777" w:rsidR="00FF43AB" w:rsidRPr="00717D86" w:rsidRDefault="00FF43AB" w:rsidP="004D143E">
            <w:pPr>
              <w:spacing w:line="240" w:lineRule="auto"/>
              <w:jc w:val="both"/>
              <w:rPr>
                <w:rFonts w:ascii="Aptos" w:hAnsi="Aptos" w:cs="Times New Roman"/>
              </w:rPr>
            </w:pPr>
          </w:p>
        </w:tc>
        <w:tc>
          <w:tcPr>
            <w:tcW w:w="6137" w:type="dxa"/>
            <w:tcBorders>
              <w:right w:val="single" w:sz="4" w:space="0" w:color="auto"/>
            </w:tcBorders>
          </w:tcPr>
          <w:p w14:paraId="72D6E6F9" w14:textId="26F1391B" w:rsidR="00FF43AB" w:rsidRPr="00717D86" w:rsidRDefault="00FF43AB" w:rsidP="004D143E">
            <w:pPr>
              <w:spacing w:line="240" w:lineRule="auto"/>
              <w:jc w:val="both"/>
              <w:rPr>
                <w:rFonts w:ascii="Aptos" w:eastAsia="Aptos" w:hAnsi="Aptos"/>
                <w:kern w:val="2"/>
                <w14:ligatures w14:val="standardContextual"/>
              </w:rPr>
            </w:pPr>
            <w:r w:rsidRPr="00717D86">
              <w:rPr>
                <w:rFonts w:ascii="Aptos" w:eastAsia="Aptos" w:hAnsi="Aptos"/>
                <w:kern w:val="2"/>
                <w14:ligatures w14:val="standardContextual"/>
              </w:rPr>
              <w:t xml:space="preserve">2) Vai atļauta visu trīs evakuācijas kāpņu atjaunošana skolā? </w:t>
            </w:r>
          </w:p>
        </w:tc>
        <w:tc>
          <w:tcPr>
            <w:tcW w:w="7905" w:type="dxa"/>
            <w:tcBorders>
              <w:left w:val="single" w:sz="4" w:space="0" w:color="auto"/>
            </w:tcBorders>
          </w:tcPr>
          <w:p w14:paraId="3967C08A" w14:textId="3187EBA9" w:rsidR="00FF43AB" w:rsidRPr="00717D86" w:rsidRDefault="00FF43AB" w:rsidP="004D143E">
            <w:pPr>
              <w:spacing w:line="240" w:lineRule="auto"/>
              <w:jc w:val="both"/>
              <w:rPr>
                <w:rFonts w:ascii="Aptos" w:eastAsia="Times New Roman" w:hAnsi="Aptos"/>
                <w:color w:val="000000"/>
              </w:rPr>
            </w:pPr>
            <w:r w:rsidRPr="00717D86">
              <w:rPr>
                <w:rFonts w:ascii="Aptos" w:eastAsia="Times New Roman" w:hAnsi="Aptos"/>
                <w:color w:val="000000"/>
              </w:rPr>
              <w:t>2) Atbilstoši </w:t>
            </w:r>
            <w:hyperlink r:id="rId31" w:history="1">
              <w:r w:rsidRPr="00717D86">
                <w:rPr>
                  <w:rStyle w:val="Hyperlink"/>
                  <w:rFonts w:ascii="Aptos" w:hAnsi="Aptos" w:cs="Times New Roman"/>
                </w:rPr>
                <w:t>SAM 4215 MK noteikumu</w:t>
              </w:r>
            </w:hyperlink>
            <w:r w:rsidRPr="00717D86">
              <w:rPr>
                <w:rFonts w:ascii="Aptos" w:eastAsia="Times New Roman" w:hAnsi="Aptos"/>
                <w:color w:val="000000"/>
              </w:rPr>
              <w:t> 20.2.2. punktam, ir atbalstāmas evakuācijas kāpņu pārbūves un atjaunošanas izmaksas, ja tiek plānotas šo noteikumu 20.2.1. un 20.5. apakšpunktā minētās izmaksas. Ne MK noteikumi, ne anotācija nenosaka minimālo vai maksimālo atjaunojamo evakuācijas kāpņu skaitu.</w:t>
            </w:r>
          </w:p>
        </w:tc>
      </w:tr>
      <w:tr w:rsidR="00FF43AB" w:rsidRPr="00FE1EE3" w14:paraId="5FF2FA71" w14:textId="77777777" w:rsidTr="3D2AE4F9">
        <w:trPr>
          <w:trHeight w:val="155"/>
        </w:trPr>
        <w:tc>
          <w:tcPr>
            <w:tcW w:w="1335" w:type="dxa"/>
            <w:vMerge/>
          </w:tcPr>
          <w:p w14:paraId="5A4CBC63" w14:textId="77777777" w:rsidR="00FF43AB" w:rsidRPr="00717D86" w:rsidRDefault="00FF43AB" w:rsidP="004D143E">
            <w:pPr>
              <w:spacing w:line="240" w:lineRule="auto"/>
              <w:jc w:val="both"/>
              <w:rPr>
                <w:rFonts w:ascii="Aptos" w:hAnsi="Aptos" w:cs="Times New Roman"/>
              </w:rPr>
            </w:pPr>
          </w:p>
        </w:tc>
        <w:tc>
          <w:tcPr>
            <w:tcW w:w="6137" w:type="dxa"/>
            <w:tcBorders>
              <w:right w:val="single" w:sz="4" w:space="0" w:color="auto"/>
            </w:tcBorders>
          </w:tcPr>
          <w:p w14:paraId="4CE41547" w14:textId="0D35C21E" w:rsidR="00FF43AB" w:rsidRPr="00717D86" w:rsidRDefault="00FF43AB" w:rsidP="004D143E">
            <w:pPr>
              <w:spacing w:after="120" w:line="240" w:lineRule="auto"/>
              <w:jc w:val="both"/>
              <w:rPr>
                <w:rFonts w:ascii="Aptos" w:eastAsia="Times New Roman" w:hAnsi="Aptos" w:cs="Times New Roman"/>
                <w:lang w:eastAsia="lv-LV"/>
              </w:rPr>
            </w:pPr>
            <w:r w:rsidRPr="00717D86">
              <w:rPr>
                <w:rFonts w:ascii="Aptos" w:eastAsia="Times New Roman" w:hAnsi="Aptos" w:cs="Times New Roman"/>
                <w:lang w:eastAsia="lv-LV"/>
              </w:rPr>
              <w:t>3) Ņemot vērā, ka būvdarbi tiek plānoti pārsvarā tikai vienā ēkas daļā, vai ir atļaujama automātiskās ugunsgrēka atklāšanas sistēmas ierīkošana un videonovērošanas sistēmas izbūve (t.sk. videonovērošanas kameru iegāde) visā skolā? (Pie nosacījuma, ka izmaksas nepārsniegs 25 % no šo noteikumu 20.2.1., 20.2.2. un 20.5. apakšpunktā minētajām būvdarbu attiecināmajām izmaksām)?</w:t>
            </w:r>
          </w:p>
        </w:tc>
        <w:tc>
          <w:tcPr>
            <w:tcW w:w="7905" w:type="dxa"/>
            <w:tcBorders>
              <w:left w:val="single" w:sz="4" w:space="0" w:color="auto"/>
            </w:tcBorders>
          </w:tcPr>
          <w:p w14:paraId="65113389" w14:textId="49E92715" w:rsidR="00FF43AB" w:rsidRPr="00717D86" w:rsidRDefault="00FF43AB" w:rsidP="004D143E">
            <w:pPr>
              <w:spacing w:after="120" w:line="240" w:lineRule="auto"/>
              <w:jc w:val="both"/>
              <w:rPr>
                <w:rFonts w:ascii="Aptos" w:eastAsia="Times New Roman" w:hAnsi="Aptos"/>
                <w:color w:val="000000"/>
              </w:rPr>
            </w:pPr>
            <w:r w:rsidRPr="00717D86">
              <w:rPr>
                <w:rFonts w:ascii="Aptos" w:eastAsia="Times New Roman" w:hAnsi="Aptos"/>
                <w:color w:val="000000"/>
              </w:rPr>
              <w:t xml:space="preserve">3) Atbilstoši </w:t>
            </w:r>
            <w:hyperlink r:id="rId32" w:history="1">
              <w:r w:rsidRPr="00717D86">
                <w:rPr>
                  <w:rStyle w:val="Hyperlink"/>
                  <w:rFonts w:ascii="Aptos" w:hAnsi="Aptos" w:cs="Times New Roman"/>
                </w:rPr>
                <w:t>SAM 4215 MK noteikumu</w:t>
              </w:r>
            </w:hyperlink>
            <w:r w:rsidRPr="00717D86">
              <w:rPr>
                <w:rFonts w:ascii="Aptos" w:hAnsi="Aptos" w:cs="Times New Roman"/>
                <w:color w:val="2F5496" w:themeColor="accent1" w:themeShade="BF"/>
              </w:rPr>
              <w:t xml:space="preserve"> </w:t>
            </w:r>
            <w:r w:rsidRPr="00717D86">
              <w:rPr>
                <w:rFonts w:ascii="Aptos" w:eastAsia="Times New Roman" w:hAnsi="Aptos"/>
                <w:color w:val="000000"/>
              </w:rPr>
              <w:t>20.2.4. punktam, ir attiecināmas iekšējo inženiertīklu, t.sk. automātiskās ugunsgrēka atklāšanas, videonovērošanas sistēmas izbūves izmaksas. No epastā sniegtās informācijas secinām, ka projekta ietvaros ir plānoti būvdarbi atbilstoši MK noteikumu 20.2. punktam, līdz ar to inženiertīklu izmaksas plāno kā papildinošas šo noteikumu 20.2.1., 20.2.2. un 20.5. apakšpunktā</w:t>
            </w:r>
            <w:r w:rsidRPr="00717D86">
              <w:rPr>
                <w:rFonts w:ascii="Arial" w:eastAsia="Times New Roman" w:hAnsi="Arial" w:cs="Arial"/>
                <w:color w:val="000000"/>
              </w:rPr>
              <w:t>​​​​​​</w:t>
            </w:r>
            <w:r w:rsidRPr="00717D86">
              <w:rPr>
                <w:rFonts w:ascii="Aptos" w:eastAsia="Times New Roman" w:hAnsi="Aptos"/>
                <w:color w:val="000000"/>
              </w:rPr>
              <w:t xml:space="preserve"> min</w:t>
            </w:r>
            <w:r w:rsidRPr="00717D86">
              <w:rPr>
                <w:rFonts w:ascii="Aptos" w:eastAsia="Times New Roman" w:hAnsi="Aptos" w:cs="Aptos"/>
                <w:color w:val="000000"/>
              </w:rPr>
              <w:t>ē</w:t>
            </w:r>
            <w:r w:rsidRPr="00717D86">
              <w:rPr>
                <w:rFonts w:ascii="Aptos" w:eastAsia="Times New Roman" w:hAnsi="Aptos"/>
                <w:color w:val="000000"/>
              </w:rPr>
              <w:t>taj</w:t>
            </w:r>
            <w:r w:rsidRPr="00717D86">
              <w:rPr>
                <w:rFonts w:ascii="Aptos" w:eastAsia="Times New Roman" w:hAnsi="Aptos" w:cs="Aptos"/>
                <w:color w:val="000000"/>
              </w:rPr>
              <w:t>ā</w:t>
            </w:r>
            <w:r w:rsidRPr="00717D86">
              <w:rPr>
                <w:rFonts w:ascii="Aptos" w:eastAsia="Times New Roman" w:hAnsi="Aptos"/>
                <w:color w:val="000000"/>
              </w:rPr>
              <w:t>m izmaks</w:t>
            </w:r>
            <w:r w:rsidRPr="00717D86">
              <w:rPr>
                <w:rFonts w:ascii="Aptos" w:eastAsia="Times New Roman" w:hAnsi="Aptos" w:cs="Aptos"/>
                <w:color w:val="000000"/>
              </w:rPr>
              <w:t>ā</w:t>
            </w:r>
            <w:r w:rsidRPr="00717D86">
              <w:rPr>
                <w:rFonts w:ascii="Aptos" w:eastAsia="Times New Roman" w:hAnsi="Aptos"/>
                <w:color w:val="000000"/>
              </w:rPr>
              <w:t>m, un t</w:t>
            </w:r>
            <w:r w:rsidRPr="00717D86">
              <w:rPr>
                <w:rFonts w:ascii="Aptos" w:eastAsia="Times New Roman" w:hAnsi="Aptos" w:cs="Aptos"/>
                <w:color w:val="000000"/>
              </w:rPr>
              <w:t>ā</w:t>
            </w:r>
            <w:r w:rsidRPr="00717D86">
              <w:rPr>
                <w:rFonts w:ascii="Aptos" w:eastAsia="Times New Roman" w:hAnsi="Aptos"/>
                <w:color w:val="000000"/>
              </w:rPr>
              <w:t>s nep</w:t>
            </w:r>
            <w:r w:rsidRPr="00717D86">
              <w:rPr>
                <w:rFonts w:ascii="Aptos" w:eastAsia="Times New Roman" w:hAnsi="Aptos" w:cs="Aptos"/>
                <w:color w:val="000000"/>
              </w:rPr>
              <w:t>ā</w:t>
            </w:r>
            <w:r w:rsidRPr="00717D86">
              <w:rPr>
                <w:rFonts w:ascii="Aptos" w:eastAsia="Times New Roman" w:hAnsi="Aptos"/>
                <w:color w:val="000000"/>
              </w:rPr>
              <w:t xml:space="preserve">rsniedz 25 % no </w:t>
            </w:r>
            <w:r w:rsidRPr="00717D86">
              <w:rPr>
                <w:rFonts w:ascii="Aptos" w:eastAsia="Times New Roman" w:hAnsi="Aptos" w:cs="Aptos"/>
                <w:color w:val="000000"/>
              </w:rPr>
              <w:t>š</w:t>
            </w:r>
            <w:r w:rsidRPr="00717D86">
              <w:rPr>
                <w:rFonts w:ascii="Aptos" w:eastAsia="Times New Roman" w:hAnsi="Aptos"/>
                <w:color w:val="000000"/>
              </w:rPr>
              <w:t>o noteikumu 20.2.1., 20.2.2. un 20.5. apak</w:t>
            </w:r>
            <w:r w:rsidRPr="00717D86">
              <w:rPr>
                <w:rFonts w:ascii="Aptos" w:eastAsia="Times New Roman" w:hAnsi="Aptos" w:cs="Aptos"/>
                <w:color w:val="000000"/>
              </w:rPr>
              <w:t>š</w:t>
            </w:r>
            <w:r w:rsidRPr="00717D86">
              <w:rPr>
                <w:rFonts w:ascii="Aptos" w:eastAsia="Times New Roman" w:hAnsi="Aptos"/>
                <w:color w:val="000000"/>
              </w:rPr>
              <w:t>punkt</w:t>
            </w:r>
            <w:r w:rsidRPr="00717D86">
              <w:rPr>
                <w:rFonts w:ascii="Aptos" w:eastAsia="Times New Roman" w:hAnsi="Aptos" w:cs="Aptos"/>
                <w:color w:val="000000"/>
              </w:rPr>
              <w:t>ā</w:t>
            </w:r>
            <w:r w:rsidRPr="00717D86">
              <w:rPr>
                <w:rFonts w:ascii="Arial" w:eastAsia="Times New Roman" w:hAnsi="Arial" w:cs="Arial"/>
                <w:color w:val="000000"/>
              </w:rPr>
              <w:t>​​​​​​​</w:t>
            </w:r>
            <w:r w:rsidRPr="00717D86">
              <w:rPr>
                <w:rFonts w:ascii="Aptos" w:eastAsia="Times New Roman" w:hAnsi="Aptos"/>
                <w:color w:val="000000"/>
              </w:rPr>
              <w:t>min</w:t>
            </w:r>
            <w:r w:rsidRPr="00717D86">
              <w:rPr>
                <w:rFonts w:ascii="Aptos" w:eastAsia="Times New Roman" w:hAnsi="Aptos" w:cs="Aptos"/>
                <w:color w:val="000000"/>
              </w:rPr>
              <w:t>ē</w:t>
            </w:r>
            <w:r w:rsidRPr="00717D86">
              <w:rPr>
                <w:rFonts w:ascii="Aptos" w:eastAsia="Times New Roman" w:hAnsi="Aptos"/>
                <w:color w:val="000000"/>
              </w:rPr>
              <w:t>taj</w:t>
            </w:r>
            <w:r w:rsidRPr="00717D86">
              <w:rPr>
                <w:rFonts w:ascii="Aptos" w:eastAsia="Times New Roman" w:hAnsi="Aptos" w:cs="Aptos"/>
                <w:color w:val="000000"/>
              </w:rPr>
              <w:t>ā</w:t>
            </w:r>
            <w:r w:rsidRPr="00717D86">
              <w:rPr>
                <w:rFonts w:ascii="Aptos" w:eastAsia="Times New Roman" w:hAnsi="Aptos"/>
                <w:color w:val="000000"/>
              </w:rPr>
              <w:t>m būvdarbu attiecināmajām izmaksām. Ne MK noteikumi, ne anotācija nenosaka, ka inženiertīklu  izbūves un pārbūves izmaksas būtu attiecināmas tikai projekta ietvaros pārbūvējamās un atjaunojamās telpās.</w:t>
            </w:r>
          </w:p>
        </w:tc>
      </w:tr>
      <w:tr w:rsidR="00FF43AB" w:rsidRPr="00FE1EE3" w14:paraId="5CB0739D" w14:textId="77777777" w:rsidTr="3D2AE4F9">
        <w:trPr>
          <w:trHeight w:val="155"/>
        </w:trPr>
        <w:tc>
          <w:tcPr>
            <w:tcW w:w="1335" w:type="dxa"/>
            <w:vMerge/>
          </w:tcPr>
          <w:p w14:paraId="70CD7C18" w14:textId="77777777" w:rsidR="00FF43AB" w:rsidRPr="00717D86" w:rsidRDefault="00FF43AB" w:rsidP="004D143E">
            <w:pPr>
              <w:spacing w:line="240" w:lineRule="auto"/>
              <w:jc w:val="both"/>
              <w:rPr>
                <w:rFonts w:ascii="Aptos" w:hAnsi="Aptos" w:cs="Times New Roman"/>
              </w:rPr>
            </w:pPr>
          </w:p>
        </w:tc>
        <w:tc>
          <w:tcPr>
            <w:tcW w:w="6137" w:type="dxa"/>
            <w:tcBorders>
              <w:right w:val="single" w:sz="4" w:space="0" w:color="auto"/>
            </w:tcBorders>
          </w:tcPr>
          <w:p w14:paraId="161E921E" w14:textId="6F075AA9" w:rsidR="00FF43AB" w:rsidRPr="00717D86" w:rsidRDefault="00FF43AB" w:rsidP="004D143E">
            <w:pPr>
              <w:spacing w:after="120" w:line="240" w:lineRule="auto"/>
              <w:jc w:val="both"/>
              <w:rPr>
                <w:rFonts w:ascii="Aptos" w:eastAsia="Times New Roman" w:hAnsi="Aptos" w:cs="Times New Roman"/>
                <w:lang w:eastAsia="lv-LV"/>
              </w:rPr>
            </w:pPr>
            <w:r w:rsidRPr="00717D86">
              <w:rPr>
                <w:rFonts w:ascii="Aptos" w:eastAsia="Times New Roman" w:hAnsi="Aptos" w:cs="Times New Roman"/>
                <w:lang w:eastAsia="lv-LV"/>
              </w:rPr>
              <w:t>4) Vai ir attiecināma apkures sistēmas siltummezgla ierīkošana? (Pie nosacījuma, ka izmaksas nepārsniegs 25 % no šo noteikumu 20.2.1., 20.2.2. un 20.5. apakšpunktā minētajām būvdarbu attiecināmajām izmaksām)?</w:t>
            </w:r>
          </w:p>
        </w:tc>
        <w:tc>
          <w:tcPr>
            <w:tcW w:w="7905" w:type="dxa"/>
            <w:tcBorders>
              <w:left w:val="single" w:sz="4" w:space="0" w:color="auto"/>
            </w:tcBorders>
          </w:tcPr>
          <w:p w14:paraId="154E98F6" w14:textId="3FFB821D" w:rsidR="00FF43AB" w:rsidRPr="00717D86" w:rsidRDefault="00FF43AB" w:rsidP="00C00BA5">
            <w:pPr>
              <w:spacing w:after="120" w:line="240" w:lineRule="auto"/>
              <w:jc w:val="both"/>
              <w:rPr>
                <w:rFonts w:ascii="Aptos" w:eastAsia="Times New Roman" w:hAnsi="Aptos"/>
                <w:color w:val="000000"/>
              </w:rPr>
            </w:pPr>
            <w:r w:rsidRPr="00717D86">
              <w:rPr>
                <w:rFonts w:ascii="Aptos" w:eastAsia="Times New Roman" w:hAnsi="Aptos"/>
                <w:color w:val="000000"/>
              </w:rPr>
              <w:t xml:space="preserve">4) Atbilstoši </w:t>
            </w:r>
            <w:hyperlink r:id="rId33" w:history="1">
              <w:r w:rsidRPr="00717D86">
                <w:rPr>
                  <w:rStyle w:val="Hyperlink"/>
                  <w:rFonts w:ascii="Aptos" w:hAnsi="Aptos" w:cs="Times New Roman"/>
                </w:rPr>
                <w:t>SAM 4215 MK noteikumu</w:t>
              </w:r>
            </w:hyperlink>
            <w:r w:rsidRPr="00717D86">
              <w:rPr>
                <w:rFonts w:ascii="Aptos" w:hAnsi="Aptos" w:cs="Times New Roman"/>
                <w:color w:val="2F5496" w:themeColor="accent1" w:themeShade="BF"/>
              </w:rPr>
              <w:t xml:space="preserve"> </w:t>
            </w:r>
            <w:r w:rsidRPr="00717D86">
              <w:rPr>
                <w:rFonts w:ascii="Aptos" w:eastAsia="Times New Roman" w:hAnsi="Aptos"/>
                <w:color w:val="000000"/>
              </w:rPr>
              <w:t xml:space="preserve">20.2.4. punktam, ir attiecināmas iekšējo inženiertīklu, t.sk. apkures sistēmu izbūves un pārbūves izmaksas. </w:t>
            </w:r>
          </w:p>
          <w:p w14:paraId="2DD843DE" w14:textId="7C1BAD8A" w:rsidR="00FF43AB" w:rsidRPr="00717D86" w:rsidRDefault="00FF43AB" w:rsidP="00C00BA5">
            <w:pPr>
              <w:spacing w:after="120" w:line="240" w:lineRule="auto"/>
              <w:jc w:val="both"/>
              <w:rPr>
                <w:rFonts w:ascii="Aptos" w:eastAsia="Times New Roman" w:hAnsi="Aptos"/>
                <w:i/>
                <w:iCs/>
                <w:color w:val="000000"/>
              </w:rPr>
            </w:pPr>
            <w:r w:rsidRPr="00717D86">
              <w:rPr>
                <w:rFonts w:ascii="Aptos" w:eastAsia="Times New Roman" w:hAnsi="Aptos"/>
                <w:i/>
                <w:iCs/>
                <w:color w:val="000000"/>
              </w:rPr>
              <w:t>Vēršam uzmanību, ka  uz projektu nav attiecināmas izmaksas kas saistītas ar trešo pušu tīklu (piemēram, elektronisko sakaru vai citu ārējo pakalpojumu sniedzēju) kabeļu izbūvi. Esošo tīklu un inženiertīklu šķērsojumu un aizsardzības izmaksas būs attiecināmas tikai tad, ja pastāv risks šo tīklu bojājumiem būvdarbu laikā. Ārējo inženiertīklu izbūves izmaksas, kas nepieciešamas ēkas funkcionēšanai (piemēram, ūdensapgāde, kanalizācija, elektroapgāde), būs attiecināmas līdz pieslēgumam pie maģistrālajiem tīkliem.</w:t>
            </w:r>
          </w:p>
        </w:tc>
      </w:tr>
      <w:tr w:rsidR="00FF43AB" w:rsidRPr="00FE1EE3" w14:paraId="57A38095" w14:textId="77777777" w:rsidTr="3D2AE4F9">
        <w:trPr>
          <w:trHeight w:val="155"/>
        </w:trPr>
        <w:tc>
          <w:tcPr>
            <w:tcW w:w="1335" w:type="dxa"/>
            <w:vMerge/>
          </w:tcPr>
          <w:p w14:paraId="4C147C86" w14:textId="77777777" w:rsidR="00FF43AB" w:rsidRPr="00717D86" w:rsidRDefault="00FF43AB" w:rsidP="004D143E">
            <w:pPr>
              <w:spacing w:line="240" w:lineRule="auto"/>
              <w:jc w:val="both"/>
              <w:rPr>
                <w:rFonts w:ascii="Aptos" w:hAnsi="Aptos" w:cs="Times New Roman"/>
              </w:rPr>
            </w:pPr>
          </w:p>
        </w:tc>
        <w:tc>
          <w:tcPr>
            <w:tcW w:w="6137" w:type="dxa"/>
            <w:tcBorders>
              <w:right w:val="single" w:sz="4" w:space="0" w:color="auto"/>
            </w:tcBorders>
          </w:tcPr>
          <w:p w14:paraId="48F9FD11" w14:textId="4FCDCD2A" w:rsidR="00FF43AB" w:rsidRPr="00717D86" w:rsidRDefault="00FF43AB" w:rsidP="004D143E">
            <w:pPr>
              <w:spacing w:after="120" w:line="240" w:lineRule="auto"/>
              <w:jc w:val="both"/>
              <w:rPr>
                <w:rFonts w:ascii="Aptos" w:eastAsia="Times New Roman" w:hAnsi="Aptos" w:cs="Times New Roman"/>
                <w:lang w:eastAsia="lv-LV"/>
              </w:rPr>
            </w:pPr>
            <w:r w:rsidRPr="00717D86">
              <w:rPr>
                <w:rFonts w:ascii="Aptos" w:eastAsia="Times New Roman" w:hAnsi="Aptos" w:cs="Times New Roman"/>
                <w:lang w:eastAsia="lv-LV"/>
              </w:rPr>
              <w:t>5) Projekta ietvaros tiek paredzēta sporta zāles atjaunošana (grīdas un apgaismojuma atjaunošana), kā arī slēpošanas un skrituļslidošanas inventāra iegāde. Vai ir atļaujama skapīšu, solu ar āķiem iegāde meiteņu un puišu ģerbtuvēm, ja netiek plānota šo ģērbtuvju atjaunošanas izmaksas?</w:t>
            </w:r>
          </w:p>
        </w:tc>
        <w:tc>
          <w:tcPr>
            <w:tcW w:w="7905" w:type="dxa"/>
            <w:tcBorders>
              <w:left w:val="single" w:sz="4" w:space="0" w:color="auto"/>
            </w:tcBorders>
          </w:tcPr>
          <w:p w14:paraId="396E4D98" w14:textId="56A7516B" w:rsidR="00FF43AB" w:rsidRPr="00717D86" w:rsidRDefault="00FF43AB" w:rsidP="004D143E">
            <w:pPr>
              <w:spacing w:after="120" w:line="240" w:lineRule="auto"/>
              <w:jc w:val="both"/>
              <w:rPr>
                <w:rFonts w:ascii="Aptos" w:eastAsia="Times New Roman" w:hAnsi="Aptos"/>
                <w:color w:val="000000"/>
              </w:rPr>
            </w:pPr>
            <w:r w:rsidRPr="00717D86">
              <w:rPr>
                <w:rFonts w:ascii="Aptos" w:eastAsia="Times New Roman" w:hAnsi="Aptos"/>
                <w:color w:val="000000"/>
              </w:rPr>
              <w:t>5) Atbilstoši </w:t>
            </w:r>
            <w:hyperlink r:id="rId34" w:history="1">
              <w:r w:rsidRPr="00717D86">
                <w:rPr>
                  <w:rStyle w:val="Hyperlink"/>
                  <w:rFonts w:ascii="Aptos" w:hAnsi="Aptos" w:cs="Times New Roman"/>
                </w:rPr>
                <w:t>SAM 4215 MK noteikumu</w:t>
              </w:r>
            </w:hyperlink>
            <w:r w:rsidRPr="00717D86">
              <w:rPr>
                <w:rFonts w:ascii="Aptos" w:eastAsia="Times New Roman" w:hAnsi="Aptos"/>
                <w:color w:val="000000"/>
              </w:rPr>
              <w:t> 20.7. punktam, ir attiecināmas  sporta zāles un sporta laukuma pārbūves un atjaunošanas izmaksas, nepieciešamā aprīkojuma un inventāra iegādes izmaksas, t.sk. sporta ìçrbtuvju pārbūves un atjaunošanas, un /vai aprīkojuma izmaksas. Vienlaikus, atbilstoši </w:t>
            </w:r>
            <w:hyperlink r:id="rId35" w:history="1">
              <w:r w:rsidRPr="00717D86">
                <w:rPr>
                  <w:rStyle w:val="Hyperlink"/>
                  <w:rFonts w:ascii="Aptos" w:hAnsi="Aptos" w:cs="Times New Roman"/>
                </w:rPr>
                <w:t>SAM 4215 MK noteikumu</w:t>
              </w:r>
            </w:hyperlink>
            <w:r w:rsidRPr="00717D86">
              <w:rPr>
                <w:rFonts w:ascii="Aptos" w:hAnsi="Aptos" w:cs="Times New Roman"/>
                <w:color w:val="2F5496" w:themeColor="accent1" w:themeShade="BF"/>
              </w:rPr>
              <w:t xml:space="preserve"> </w:t>
            </w:r>
            <w:r w:rsidRPr="00717D86">
              <w:rPr>
                <w:rFonts w:ascii="Aptos" w:eastAsia="Times New Roman" w:hAnsi="Aptos"/>
                <w:color w:val="000000"/>
              </w:rPr>
              <w:t>33.12. punktam, ir nepieciešams nodrošināt sasniegto rezultātu ilgtspēju vismaz piecus gadus pēc noslēguma maksājuma veikšanas. Projekta iesniegumā lūdzu skaidrojiet kā tiks nodrošināta ilgtspēja slēpošanas un skrituļslidošanas inventāram.</w:t>
            </w:r>
          </w:p>
        </w:tc>
      </w:tr>
      <w:tr w:rsidR="00FF43AB" w:rsidRPr="00FE1EE3" w14:paraId="4494C7C9" w14:textId="77777777" w:rsidTr="3D2AE4F9">
        <w:trPr>
          <w:trHeight w:val="155"/>
        </w:trPr>
        <w:tc>
          <w:tcPr>
            <w:tcW w:w="1335" w:type="dxa"/>
            <w:vMerge/>
          </w:tcPr>
          <w:p w14:paraId="63A3147C" w14:textId="77777777" w:rsidR="00FF43AB" w:rsidRPr="00717D86" w:rsidRDefault="00FF43AB" w:rsidP="004D143E">
            <w:pPr>
              <w:spacing w:line="240" w:lineRule="auto"/>
              <w:jc w:val="both"/>
              <w:rPr>
                <w:rFonts w:ascii="Aptos" w:hAnsi="Aptos" w:cs="Times New Roman"/>
              </w:rPr>
            </w:pPr>
          </w:p>
        </w:tc>
        <w:tc>
          <w:tcPr>
            <w:tcW w:w="6137" w:type="dxa"/>
            <w:tcBorders>
              <w:right w:val="single" w:sz="4" w:space="0" w:color="auto"/>
            </w:tcBorders>
          </w:tcPr>
          <w:p w14:paraId="0255BCB5" w14:textId="41DAA0B6" w:rsidR="00FF43AB" w:rsidRPr="00717D86" w:rsidRDefault="00FF43AB" w:rsidP="004D143E">
            <w:pPr>
              <w:spacing w:after="120" w:line="240" w:lineRule="auto"/>
              <w:jc w:val="both"/>
              <w:rPr>
                <w:rFonts w:ascii="Aptos" w:eastAsia="Times New Roman" w:hAnsi="Aptos" w:cs="Times New Roman"/>
                <w:lang w:eastAsia="lv-LV"/>
              </w:rPr>
            </w:pPr>
            <w:r w:rsidRPr="00717D86">
              <w:rPr>
                <w:rFonts w:ascii="Aptos" w:eastAsia="Times New Roman" w:hAnsi="Aptos" w:cs="Times New Roman"/>
                <w:lang w:eastAsia="lv-LV"/>
              </w:rPr>
              <w:t>6) Vai šāda veida multifunkcionālai telpai būtu atļaujama 30-vietīga galda (transformējams), sēžamdīvānu un virtuves mēbeļu (pāris virtuves mēbeļu skapīši ar galda virsmu un izlietni) iegāde?</w:t>
            </w:r>
          </w:p>
        </w:tc>
        <w:tc>
          <w:tcPr>
            <w:tcW w:w="7905" w:type="dxa"/>
            <w:tcBorders>
              <w:left w:val="single" w:sz="4" w:space="0" w:color="auto"/>
            </w:tcBorders>
          </w:tcPr>
          <w:p w14:paraId="2E350F32" w14:textId="166CDEBB" w:rsidR="00FF43AB" w:rsidRPr="00717D86" w:rsidRDefault="00FF43AB" w:rsidP="004D143E">
            <w:pPr>
              <w:spacing w:after="120" w:line="240" w:lineRule="auto"/>
              <w:jc w:val="both"/>
              <w:rPr>
                <w:rFonts w:ascii="Aptos" w:eastAsia="Times New Roman" w:hAnsi="Aptos"/>
                <w:color w:val="000000"/>
              </w:rPr>
            </w:pPr>
            <w:r w:rsidRPr="00717D86">
              <w:rPr>
                <w:rFonts w:ascii="Aptos" w:eastAsia="Times New Roman" w:hAnsi="Aptos"/>
                <w:color w:val="000000"/>
              </w:rPr>
              <w:t xml:space="preserve">6) Atbilstoši </w:t>
            </w:r>
            <w:hyperlink r:id="rId36" w:history="1">
              <w:r w:rsidRPr="00717D86">
                <w:rPr>
                  <w:rStyle w:val="Hyperlink"/>
                  <w:rFonts w:ascii="Aptos" w:hAnsi="Aptos" w:cs="Times New Roman"/>
                </w:rPr>
                <w:t>SAM 4215 MK noteikumu</w:t>
              </w:r>
            </w:hyperlink>
            <w:r w:rsidRPr="00717D86">
              <w:rPr>
                <w:rFonts w:ascii="Aptos" w:hAnsi="Aptos" w:cs="Times New Roman"/>
                <w:color w:val="2F5496" w:themeColor="accent1" w:themeShade="BF"/>
              </w:rPr>
              <w:t xml:space="preserve"> </w:t>
            </w:r>
            <w:r w:rsidRPr="00717D86">
              <w:rPr>
                <w:rFonts w:ascii="Aptos" w:eastAsia="Times New Roman" w:hAnsi="Aptos"/>
                <w:color w:val="000000"/>
              </w:rPr>
              <w:t>20.2.1. punktam, ir attiecināmas multifunkcionālu mācību telpu pārbūves un atjaunošanas izmaksas. No Jūsu epastā sniegtā skaidrojuma izriet, ka multifunkcionālā telpa tiks izmantota mācību vajadzībām, līdz ar to izmaksas var būt attiecināmas. Projekta pieteikumā lūdzu sniedziet līdzīgu skaidrojumu, papildinot to ar aprakstu par virtuves nepieciešamību šajā telpā.</w:t>
            </w:r>
          </w:p>
        </w:tc>
      </w:tr>
      <w:tr w:rsidR="00013CA7" w:rsidRPr="00FE1EE3" w14:paraId="798F9D98" w14:textId="77777777" w:rsidTr="3D2AE4F9">
        <w:tc>
          <w:tcPr>
            <w:tcW w:w="1335" w:type="dxa"/>
          </w:tcPr>
          <w:p w14:paraId="67D926B1" w14:textId="1558A6E2" w:rsidR="00013CA7" w:rsidRPr="00FE1EE3" w:rsidRDefault="00C97DC3" w:rsidP="00605778">
            <w:pPr>
              <w:shd w:val="clear" w:color="auto" w:fill="FFFFFF"/>
              <w:spacing w:line="240" w:lineRule="auto"/>
              <w:jc w:val="center"/>
              <w:rPr>
                <w:rFonts w:ascii="Aptos" w:hAnsi="Aptos" w:cs="Times New Roman"/>
              </w:rPr>
            </w:pPr>
            <w:r w:rsidRPr="00FE1EE3">
              <w:rPr>
                <w:rFonts w:ascii="Aptos" w:hAnsi="Aptos" w:cs="Times New Roman"/>
              </w:rPr>
              <w:t>3.</w:t>
            </w:r>
            <w:r w:rsidR="00D25EFA">
              <w:rPr>
                <w:rFonts w:ascii="Aptos" w:hAnsi="Aptos" w:cs="Times New Roman"/>
              </w:rPr>
              <w:t>3</w:t>
            </w:r>
            <w:r w:rsidRPr="00FE1EE3">
              <w:rPr>
                <w:rFonts w:ascii="Aptos" w:hAnsi="Aptos" w:cs="Times New Roman"/>
              </w:rPr>
              <w:t>.</w:t>
            </w:r>
          </w:p>
        </w:tc>
        <w:tc>
          <w:tcPr>
            <w:tcW w:w="6137" w:type="dxa"/>
            <w:tcBorders>
              <w:right w:val="single" w:sz="4" w:space="0" w:color="auto"/>
            </w:tcBorders>
          </w:tcPr>
          <w:p w14:paraId="765E487E" w14:textId="60CE5E48" w:rsidR="0054086F" w:rsidRPr="0054086F" w:rsidRDefault="00B30560" w:rsidP="0054086F">
            <w:pPr>
              <w:shd w:val="clear" w:color="auto" w:fill="FFFFFF"/>
              <w:spacing w:line="240" w:lineRule="auto"/>
              <w:jc w:val="both"/>
              <w:rPr>
                <w:rFonts w:ascii="Aptos" w:eastAsia="Times New Roman" w:hAnsi="Aptos" w:cs="Times New Roman"/>
                <w:lang w:eastAsia="lv-LV"/>
              </w:rPr>
            </w:pPr>
            <w:r>
              <w:rPr>
                <w:rFonts w:ascii="Aptos" w:eastAsia="Times New Roman" w:hAnsi="Aptos" w:cs="Times New Roman"/>
                <w:lang w:eastAsia="lv-LV"/>
              </w:rPr>
              <w:t xml:space="preserve">1) </w:t>
            </w:r>
            <w:r w:rsidR="0054086F">
              <w:rPr>
                <w:rFonts w:ascii="Aptos" w:eastAsia="Times New Roman" w:hAnsi="Aptos" w:cs="Times New Roman"/>
                <w:lang w:eastAsia="lv-LV"/>
              </w:rPr>
              <w:t>V</w:t>
            </w:r>
            <w:r w:rsidR="0054086F" w:rsidRPr="0054086F">
              <w:rPr>
                <w:rFonts w:ascii="Aptos" w:eastAsia="Times New Roman" w:hAnsi="Aptos" w:cs="Times New Roman"/>
                <w:lang w:eastAsia="lv-LV"/>
              </w:rPr>
              <w:t>ai apkures katla nomaiņa un ārējo inženiertīklu nomaiņa pie pilnas skolas atjaunošanas vai pārbūves ir attiecināma?</w:t>
            </w:r>
          </w:p>
          <w:p w14:paraId="1A100615" w14:textId="20D7F37C" w:rsidR="0054086F" w:rsidRPr="0054086F" w:rsidRDefault="00B30560" w:rsidP="0054086F">
            <w:pPr>
              <w:shd w:val="clear" w:color="auto" w:fill="FFFFFF"/>
              <w:spacing w:line="240" w:lineRule="auto"/>
              <w:jc w:val="both"/>
              <w:rPr>
                <w:rFonts w:ascii="Aptos" w:eastAsia="Times New Roman" w:hAnsi="Aptos" w:cs="Times New Roman"/>
                <w:lang w:eastAsia="lv-LV"/>
              </w:rPr>
            </w:pPr>
            <w:r>
              <w:rPr>
                <w:rFonts w:ascii="Aptos" w:eastAsia="Times New Roman" w:hAnsi="Aptos" w:cs="Times New Roman"/>
                <w:lang w:eastAsia="lv-LV"/>
              </w:rPr>
              <w:t>2) V</w:t>
            </w:r>
            <w:r w:rsidR="0054086F" w:rsidRPr="0054086F">
              <w:rPr>
                <w:rFonts w:ascii="Aptos" w:eastAsia="Times New Roman" w:hAnsi="Aptos" w:cs="Times New Roman"/>
                <w:lang w:eastAsia="lv-LV"/>
              </w:rPr>
              <w:t>ai STEM komponente ir obligāta, ja jā tad, kādā apmērā?</w:t>
            </w:r>
          </w:p>
          <w:p w14:paraId="34C9D765" w14:textId="06BDD238" w:rsidR="00013CA7" w:rsidRPr="00FE1EE3" w:rsidRDefault="00013CA7" w:rsidP="008D4A71">
            <w:pPr>
              <w:shd w:val="clear" w:color="auto" w:fill="FFFFFF"/>
              <w:spacing w:line="240" w:lineRule="auto"/>
              <w:jc w:val="both"/>
              <w:rPr>
                <w:rFonts w:ascii="Aptos" w:eastAsia="Times New Roman" w:hAnsi="Aptos" w:cs="Times New Roman"/>
                <w:lang w:eastAsia="lv-LV"/>
              </w:rPr>
            </w:pPr>
          </w:p>
        </w:tc>
        <w:tc>
          <w:tcPr>
            <w:tcW w:w="7905" w:type="dxa"/>
            <w:tcBorders>
              <w:left w:val="single" w:sz="4" w:space="0" w:color="auto"/>
            </w:tcBorders>
          </w:tcPr>
          <w:p w14:paraId="1F847087" w14:textId="296E5A8B" w:rsidR="005E51C6" w:rsidRPr="005E51C6" w:rsidRDefault="00B30560" w:rsidP="005E51C6">
            <w:pPr>
              <w:spacing w:line="240" w:lineRule="auto"/>
              <w:jc w:val="both"/>
              <w:rPr>
                <w:rFonts w:ascii="Aptos" w:hAnsi="Aptos" w:cs="Times New Roman"/>
              </w:rPr>
            </w:pPr>
            <w:r>
              <w:rPr>
                <w:rFonts w:ascii="Aptos" w:hAnsi="Aptos" w:cs="Times New Roman"/>
              </w:rPr>
              <w:t xml:space="preserve">1) </w:t>
            </w:r>
            <w:r w:rsidR="005E51C6" w:rsidRPr="005E51C6">
              <w:rPr>
                <w:rFonts w:ascii="Aptos" w:hAnsi="Aptos" w:cs="Times New Roman"/>
              </w:rPr>
              <w:t>No Jūsu iepriekš sniegtās informācijas secinām, ka ir plānota vispārējās izglītības iestādes pilna apjoma pārbūve un ka katlu māja atrodas ārpus skolas ēkas. Gadījumā, ja </w:t>
            </w:r>
            <w:r w:rsidR="005E51C6" w:rsidRPr="002804B1">
              <w:rPr>
                <w:rFonts w:ascii="Aptos" w:hAnsi="Aptos" w:cs="Times New Roman"/>
              </w:rPr>
              <w:t>skola un katlu māja atrodas vienā teritorijā (adrese, kadastra nr), katlu māja ir ēkas/zemes īpašnieka piederības zonā un apkures katls apgādās ar siltumu tikai skolu, tad apkures katla un saistīto siltumtīklu nomaiņa katlu mājā būtu attiecināma kā iekšējo inženiertīklu izmaksas.</w:t>
            </w:r>
          </w:p>
          <w:p w14:paraId="36DDAD5B" w14:textId="77777777" w:rsidR="005E51C6" w:rsidRPr="005E51C6" w:rsidRDefault="005E51C6" w:rsidP="005E51C6">
            <w:pPr>
              <w:spacing w:line="240" w:lineRule="auto"/>
              <w:jc w:val="both"/>
              <w:rPr>
                <w:rFonts w:ascii="Aptos" w:hAnsi="Aptos" w:cs="Times New Roman"/>
              </w:rPr>
            </w:pPr>
            <w:r w:rsidRPr="005E51C6">
              <w:rPr>
                <w:rFonts w:ascii="Aptos" w:hAnsi="Aptos" w:cs="Times New Roman"/>
              </w:rPr>
              <w:t>Vienlaikus skaidrojam, ka:</w:t>
            </w:r>
          </w:p>
          <w:p w14:paraId="71504C61" w14:textId="364E3C25" w:rsidR="005E51C6" w:rsidRPr="005E51C6" w:rsidRDefault="005E51C6" w:rsidP="005E51C6">
            <w:pPr>
              <w:spacing w:line="240" w:lineRule="auto"/>
              <w:jc w:val="both"/>
              <w:rPr>
                <w:rFonts w:ascii="Aptos" w:hAnsi="Aptos" w:cs="Times New Roman"/>
              </w:rPr>
            </w:pPr>
            <w:r w:rsidRPr="005E51C6">
              <w:rPr>
                <w:rFonts w:ascii="Aptos" w:hAnsi="Aptos" w:cs="Times New Roman"/>
              </w:rPr>
              <w:t>- </w:t>
            </w:r>
            <w:hyperlink r:id="rId37" w:history="1">
              <w:r w:rsidRPr="00717D86">
                <w:rPr>
                  <w:rStyle w:val="Hyperlink"/>
                  <w:rFonts w:ascii="Aptos" w:hAnsi="Aptos" w:cs="Times New Roman"/>
                </w:rPr>
                <w:t>SAM 4215 MK noteikumu</w:t>
              </w:r>
            </w:hyperlink>
            <w:r w:rsidRPr="005E51C6">
              <w:rPr>
                <w:rFonts w:ascii="Aptos" w:hAnsi="Aptos" w:cs="Times New Roman"/>
              </w:rPr>
              <w:t xml:space="preserve"> 20.2.4. punkts un tajā noteiktais izmaksu ierobežojums neattiecas uz vispārējās izglītības iestādes </w:t>
            </w:r>
            <w:r w:rsidRPr="005E51C6">
              <w:rPr>
                <w:rFonts w:ascii="Aptos" w:hAnsi="Aptos" w:cs="Times New Roman"/>
                <w:u w:val="single"/>
              </w:rPr>
              <w:t xml:space="preserve">ēkas pilna apjoma pārbūves </w:t>
            </w:r>
            <w:r w:rsidRPr="005E51C6">
              <w:rPr>
                <w:rFonts w:ascii="Aptos" w:hAnsi="Aptos" w:cs="Times New Roman"/>
              </w:rPr>
              <w:t>gadījumiem (20.1.p.), bet attiecas uz 20.2. punktā noteikto izglītības iestāžu ēku pārbūves apjomu - ēkas un telpu pārbūve un atjaunošana;</w:t>
            </w:r>
          </w:p>
          <w:p w14:paraId="7CFE446B" w14:textId="79CC1D9B" w:rsidR="005E51C6" w:rsidRPr="005E51C6" w:rsidRDefault="005E51C6" w:rsidP="005E51C6">
            <w:pPr>
              <w:spacing w:line="240" w:lineRule="auto"/>
              <w:jc w:val="both"/>
              <w:rPr>
                <w:rFonts w:ascii="Aptos" w:hAnsi="Aptos" w:cs="Times New Roman"/>
              </w:rPr>
            </w:pPr>
            <w:r w:rsidRPr="005E51C6">
              <w:rPr>
                <w:rFonts w:ascii="Aptos" w:hAnsi="Aptos" w:cs="Times New Roman"/>
              </w:rPr>
              <w:t>- katlu mājas ēka nav iekšējais inženiertīkls, katlu mājas ēkas atjaunošanas izmaksas nav attiecināmas projekta ietvaros.</w:t>
            </w:r>
          </w:p>
          <w:p w14:paraId="4193AF36" w14:textId="6E6C5AC0" w:rsidR="005E51C6" w:rsidRPr="005E51C6" w:rsidRDefault="005E51C6" w:rsidP="005E51C6">
            <w:pPr>
              <w:spacing w:line="240" w:lineRule="auto"/>
              <w:jc w:val="both"/>
              <w:rPr>
                <w:rFonts w:ascii="Aptos" w:hAnsi="Aptos" w:cs="Times New Roman"/>
              </w:rPr>
            </w:pPr>
            <w:r w:rsidRPr="005E51C6">
              <w:rPr>
                <w:rFonts w:ascii="Aptos" w:hAnsi="Aptos" w:cs="Times New Roman"/>
              </w:rPr>
              <w:t>2) </w:t>
            </w:r>
            <w:hyperlink r:id="rId38" w:history="1">
              <w:r w:rsidRPr="00717D86">
                <w:rPr>
                  <w:rStyle w:val="Hyperlink"/>
                  <w:rFonts w:ascii="Aptos" w:hAnsi="Aptos" w:cs="Times New Roman"/>
                </w:rPr>
                <w:t>SAM 4215 MK noteikumu</w:t>
              </w:r>
            </w:hyperlink>
            <w:r w:rsidRPr="005E51C6">
              <w:rPr>
                <w:rFonts w:ascii="Aptos" w:hAnsi="Aptos" w:cs="Times New Roman"/>
              </w:rPr>
              <w:t> 16.punktā ir noteikti nosacījumi, kuriem projekta iesniegumiem ir jāatbilst, t.sk. 16.5.punkts nosaka, ka projekta iesniegumā ir jāplāno STEM kabinetu izmaksas vai projekta iesniegumā ir jāsniedz pamatojums, ka atbalstam izvirzītajā izglītības iestādē nav lietderīgi veikt jaunas investīcijas pilnveidotā vispārējās izglītības satura kvalitatīvai ieviešanai.</w:t>
            </w:r>
          </w:p>
          <w:p w14:paraId="59B58BA6" w14:textId="65147FDA" w:rsidR="005E51C6" w:rsidRPr="005E51C6" w:rsidRDefault="005E51C6" w:rsidP="005E51C6">
            <w:pPr>
              <w:spacing w:line="240" w:lineRule="auto"/>
              <w:jc w:val="both"/>
              <w:rPr>
                <w:rFonts w:ascii="Aptos" w:hAnsi="Aptos" w:cs="Times New Roman"/>
              </w:rPr>
            </w:pPr>
            <w:r w:rsidRPr="005E51C6">
              <w:rPr>
                <w:rFonts w:ascii="Aptos" w:hAnsi="Aptos" w:cs="Times New Roman"/>
              </w:rPr>
              <w:t>Vienlaikus, </w:t>
            </w:r>
            <w:hyperlink r:id="rId39" w:tooltip="Original URL: https://www.vestnesis.lv/op/2025/244.59. Click or tap if you trust this link." w:history="1">
              <w:hyperlink r:id="rId40" w:history="1">
                <w:r w:rsidRPr="00717D86">
                  <w:rPr>
                    <w:rStyle w:val="Hyperlink"/>
                    <w:rFonts w:ascii="Aptos" w:hAnsi="Aptos" w:cs="Times New Roman"/>
                  </w:rPr>
                  <w:t>SAM 4215 MK noteikumu</w:t>
                </w:r>
              </w:hyperlink>
              <w:r w:rsidRPr="005E51C6">
                <w:rPr>
                  <w:rStyle w:val="Hyperlink"/>
                  <w:rFonts w:ascii="Aptos" w:hAnsi="Aptos" w:cs="Times New Roman"/>
                </w:rPr>
                <w:t> </w:t>
              </w:r>
            </w:hyperlink>
            <w:r w:rsidRPr="005E51C6">
              <w:rPr>
                <w:rFonts w:ascii="Aptos" w:hAnsi="Aptos" w:cs="Times New Roman"/>
              </w:rPr>
              <w:t>20.2.punktā ēkas un telpu pārbūves un atjaunošanas gadījumā, 20.2.2, 20.2.4.punktos ir noteikts, ka uz projektu ir attiecināmas gaiteņu un sanitāro mezglu, evakuācijas kāpņu pārbūves un atjaunošanas izmaksas un iekšējo inženiertīklu izmaksas, ja projekta ietvaros tiek plānotas mācību telpu un STEM kabinetu atjaunošanas izmaksas (20.2.1. un 20.5. apakšpunktā minētās izmaksas). No Jūsu epastā sniegtās informācija izriet, ka plānota pilna apjoma pārbūve, SAM 4215 3.k MK noteikumu 20.1. punktā noteiktās pilna apjoma pārbūves gadījumā nav attiecināms 20.2.2, 20.2.4.punktos ir noteiktais.</w:t>
            </w:r>
          </w:p>
          <w:p w14:paraId="3E590E8A" w14:textId="276CB94D" w:rsidR="00013CA7" w:rsidRPr="00B30560" w:rsidRDefault="005E51C6" w:rsidP="008D4A71">
            <w:pPr>
              <w:spacing w:line="240" w:lineRule="auto"/>
              <w:jc w:val="both"/>
              <w:rPr>
                <w:rFonts w:ascii="Aptos" w:hAnsi="Aptos" w:cs="Times New Roman"/>
              </w:rPr>
            </w:pPr>
            <w:r w:rsidRPr="005E51C6">
              <w:rPr>
                <w:rFonts w:ascii="Aptos" w:hAnsi="Aptos" w:cs="Times New Roman"/>
              </w:rPr>
              <w:t>Pilnas apjoma pārbūve SAM 4215 ietvaros tiek traktēta kā - pārbūve vai atjaunošana, vai ierīkošanas visās skolas telpās, t.sk. gaiteņos. t.sk. fiziska telpu atjaunošana (kosmētiskais remonts).</w:t>
            </w:r>
          </w:p>
        </w:tc>
      </w:tr>
      <w:tr w:rsidR="00013CA7" w:rsidRPr="00FE1EE3" w14:paraId="39F7567D" w14:textId="77777777" w:rsidTr="3D2AE4F9">
        <w:tc>
          <w:tcPr>
            <w:tcW w:w="15377" w:type="dxa"/>
            <w:gridSpan w:val="3"/>
            <w:tcBorders>
              <w:bottom w:val="single" w:sz="4" w:space="0" w:color="000000" w:themeColor="text1"/>
            </w:tcBorders>
            <w:shd w:val="clear" w:color="auto" w:fill="D0CECE" w:themeFill="background2" w:themeFillShade="E6"/>
          </w:tcPr>
          <w:p w14:paraId="155D5E4C" w14:textId="1360B42D"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9" w:name="_Toc20918689"/>
            <w:bookmarkStart w:id="10" w:name="_Toc46148094"/>
            <w:bookmarkStart w:id="11" w:name="_Toc206588380"/>
            <w:r w:rsidRPr="00FE1EE3">
              <w:rPr>
                <w:rFonts w:ascii="Aptos" w:hAnsi="Aptos" w:cs="Times New Roman"/>
                <w:sz w:val="22"/>
                <w:szCs w:val="22"/>
              </w:rPr>
              <w:t>Projekta iesnieguma aizpildīšana</w:t>
            </w:r>
            <w:bookmarkEnd w:id="9"/>
            <w:bookmarkEnd w:id="10"/>
            <w:r w:rsidRPr="00FE1EE3">
              <w:rPr>
                <w:rFonts w:ascii="Aptos" w:hAnsi="Aptos" w:cs="Times New Roman"/>
                <w:sz w:val="22"/>
                <w:szCs w:val="22"/>
              </w:rPr>
              <w:t xml:space="preserve"> un pielikumi</w:t>
            </w:r>
            <w:bookmarkEnd w:id="11"/>
          </w:p>
        </w:tc>
      </w:tr>
      <w:tr w:rsidR="00013CA7" w:rsidRPr="00FE1EE3" w14:paraId="717E39BF" w14:textId="77777777" w:rsidTr="3D2AE4F9">
        <w:trPr>
          <w:trHeight w:val="155"/>
        </w:trPr>
        <w:tc>
          <w:tcPr>
            <w:tcW w:w="1335" w:type="dxa"/>
          </w:tcPr>
          <w:p w14:paraId="6FA20451" w14:textId="49B6111D" w:rsidR="00013CA7" w:rsidRPr="00FE1EE3" w:rsidRDefault="00C97DC3" w:rsidP="00605778">
            <w:pPr>
              <w:spacing w:line="240" w:lineRule="auto"/>
              <w:jc w:val="center"/>
              <w:rPr>
                <w:rFonts w:ascii="Aptos" w:hAnsi="Aptos" w:cs="Times New Roman"/>
              </w:rPr>
            </w:pPr>
            <w:r w:rsidRPr="00FE1EE3">
              <w:rPr>
                <w:rFonts w:ascii="Aptos" w:hAnsi="Aptos" w:cs="Times New Roman"/>
              </w:rPr>
              <w:t>4.1.</w:t>
            </w:r>
          </w:p>
        </w:tc>
        <w:tc>
          <w:tcPr>
            <w:tcW w:w="6137" w:type="dxa"/>
            <w:tcBorders>
              <w:right w:val="single" w:sz="4" w:space="0" w:color="auto"/>
            </w:tcBorders>
          </w:tcPr>
          <w:p w14:paraId="59E21493" w14:textId="28848871"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 xml:space="preserve">Gatavojot projektu iesniegumu radies jautājums par gatavības pakāpi jeb iesniedzamajiem dokumentiem. </w:t>
            </w:r>
          </w:p>
          <w:p w14:paraId="59C18A54" w14:textId="33C6FB04"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Pirmkārt - Nosakot cenas, tiktu veikta tirgus izpēte (ja tiktu iegādātas iekārtas/aprīkojums) un tāme pēc aktuālajām būvniecības izmaksām (ja tiktu veikti remontdarbi).</w:t>
            </w:r>
          </w:p>
          <w:p w14:paraId="113C3073" w14:textId="2EB49878"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 xml:space="preserve">Otrkārt - Vai, pamatojoties uz  MK Nr. 783 16.2. punkta apakšpunktiem, projekta iesniegšanas brīdī nepieciešama iepirkumu procedūras izsludināšana vienam vai abiem procesiem? Kā arī, ja ir jāveic, kāda veida procedūras? </w:t>
            </w:r>
          </w:p>
          <w:p w14:paraId="2F6F8349" w14:textId="6329DC67"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Attiecīgi, vai pie projekta pieteikuma, lai atbilstu, :</w:t>
            </w:r>
          </w:p>
          <w:p w14:paraId="47483764" w14:textId="39910063"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1) pietiek ar iesniegtu tirgus izpēti un koptāmi iekārtām un sastādītu tāmi būvniecībai?</w:t>
            </w:r>
          </w:p>
          <w:p w14:paraId="672B3153" w14:textId="5EF75202"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2) vai jau ir jāuzsāk iepirkuma procedūra, kas nozīmē, ka būvniecībai ir jāuzsāk iepirkums vai kāda veida cita procedūra?</w:t>
            </w:r>
          </w:p>
          <w:p w14:paraId="2C2E67D2" w14:textId="5B749EA0"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3) vai tas, vai ir/nav jāuzsāk iepirkumu procedūra mainās atkarībā no tā, vai remontdarbi tiek plānoti</w:t>
            </w:r>
          </w:p>
          <w:p w14:paraId="562E1690" w14:textId="3F2EC44F"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 ar projektēšanas darbiem /</w:t>
            </w:r>
          </w:p>
          <w:p w14:paraId="2C25338D" w14:textId="32576199"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 bez projektēšanas darbiem bet ar apliecinājuma karti /</w:t>
            </w:r>
          </w:p>
          <w:p w14:paraId="2AED9ADF" w14:textId="3B73CD61" w:rsidR="002E3A39" w:rsidRPr="002E3A39"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 xml:space="preserve">- ar būvvaldes izziņu ka būvatļauja, paskaidrojuma raksts vai apliecinājuma karte nav nepieciešama? </w:t>
            </w:r>
          </w:p>
          <w:p w14:paraId="60BDBAD2" w14:textId="785B1E6C" w:rsidR="00013CA7" w:rsidRPr="00FE1EE3" w:rsidRDefault="002E3A39" w:rsidP="002E3A39">
            <w:pPr>
              <w:spacing w:line="240" w:lineRule="auto"/>
              <w:jc w:val="both"/>
              <w:rPr>
                <w:rFonts w:ascii="Aptos" w:eastAsia="Times New Roman" w:hAnsi="Aptos" w:cs="Times New Roman"/>
                <w:lang w:eastAsia="lv-LV"/>
              </w:rPr>
            </w:pPr>
            <w:r w:rsidRPr="002E3A39">
              <w:rPr>
                <w:rFonts w:ascii="Aptos" w:eastAsia="Times New Roman" w:hAnsi="Aptos" w:cs="Times New Roman"/>
                <w:lang w:eastAsia="lv-LV"/>
              </w:rPr>
              <w:t>Attiecīgi, ja seko 16.2.2. punktam, ja ir būvvaldes izziņa un iesniegts aprīkojuma izmaksu aprēķins un būvdarbu tāme, iepirkuma procedūra nav jāuzsāk un 1) pietiek ar iesniegtu tirgus izpēti un koptāmi iekārtām un sastādītu tāmi būvniecībai?</w:t>
            </w:r>
          </w:p>
        </w:tc>
        <w:tc>
          <w:tcPr>
            <w:tcW w:w="7905" w:type="dxa"/>
            <w:tcBorders>
              <w:left w:val="single" w:sz="4" w:space="0" w:color="auto"/>
            </w:tcBorders>
          </w:tcPr>
          <w:p w14:paraId="2FE49D9E" w14:textId="3E811FE7" w:rsidR="002B67AF" w:rsidRPr="002B67AF" w:rsidRDefault="002B67AF" w:rsidP="002B67AF">
            <w:pPr>
              <w:spacing w:line="240" w:lineRule="auto"/>
              <w:jc w:val="both"/>
              <w:rPr>
                <w:rFonts w:ascii="Aptos" w:hAnsi="Aptos" w:cs="Times New Roman"/>
              </w:rPr>
            </w:pPr>
            <w:r w:rsidRPr="002B67AF">
              <w:rPr>
                <w:rFonts w:ascii="Aptos" w:hAnsi="Aptos" w:cs="Times New Roman"/>
              </w:rPr>
              <w:t>1. </w:t>
            </w:r>
            <w:hyperlink r:id="rId41" w:history="1">
              <w:r w:rsidR="001A073B" w:rsidRPr="00717D86">
                <w:rPr>
                  <w:rStyle w:val="Hyperlink"/>
                  <w:rFonts w:ascii="Aptos" w:hAnsi="Aptos" w:cs="Times New Roman"/>
                </w:rPr>
                <w:t>SAM 4215 MK noteikumu</w:t>
              </w:r>
            </w:hyperlink>
            <w:r w:rsidRPr="002B67AF">
              <w:rPr>
                <w:rFonts w:ascii="Aptos" w:hAnsi="Aptos" w:cs="Times New Roman"/>
              </w:rPr>
              <w:t> 16.2. punktā ir noteikta projektu iesniegumu gatavības pakāpe:</w:t>
            </w:r>
          </w:p>
          <w:p w14:paraId="707F745D" w14:textId="7738B990" w:rsidR="002B67AF" w:rsidRPr="002B67AF" w:rsidRDefault="001A073B" w:rsidP="002B67AF">
            <w:pPr>
              <w:numPr>
                <w:ilvl w:val="0"/>
                <w:numId w:val="16"/>
              </w:numPr>
              <w:spacing w:line="240" w:lineRule="auto"/>
              <w:jc w:val="both"/>
              <w:rPr>
                <w:rFonts w:ascii="Aptos" w:hAnsi="Aptos" w:cs="Times New Roman"/>
              </w:rPr>
            </w:pPr>
            <w:hyperlink r:id="rId42" w:history="1">
              <w:r w:rsidRPr="00717D86">
                <w:rPr>
                  <w:rStyle w:val="Hyperlink"/>
                  <w:rFonts w:ascii="Aptos" w:hAnsi="Aptos" w:cs="Times New Roman"/>
                </w:rPr>
                <w:t>SAM 4215 MK noteikumu</w:t>
              </w:r>
            </w:hyperlink>
            <w:r w:rsidR="002B67AF" w:rsidRPr="002B67AF">
              <w:rPr>
                <w:rFonts w:ascii="Aptos" w:hAnsi="Aptos" w:cs="Times New Roman"/>
              </w:rPr>
              <w:t>16.2.1. punktā ir noteikta projekta gatavības pakāpe, ja projekta ir plānoti būvdarbi un ir vai nav plānots iegādāties aprīkojumu. Ja projektā paredzat veikt tikai būvdarbus, tad jāizpildās 16.2.1. punkta pirmajai daļai - uzsākta projektēšanas vai apvienota projektēšanas un būvdarbu iepirkuma procedūra. Neparedzot aprīkojuma iegādi projektā, otrā daļa par iegādājamā aprīkojuma sarakstu un izmaksu aprēķinu nav attiecināma. Ja projekta iesniegumā būs informācija, ka no projekta attiecināmajām izmaksām ir paredzēts segt gan būvdarbu izmaksas, gan aprīkojuma iegādes izmaksas, tad jāizpilda abas šī kritērija prasības, tostarp jāiesniedz indikatīvs aprīkojuma saraksts un indikatīvs tā izmaksu aprēķins.</w:t>
            </w:r>
          </w:p>
          <w:p w14:paraId="649FF5F0" w14:textId="564370D7" w:rsidR="002B67AF" w:rsidRPr="002B67AF" w:rsidRDefault="001A073B" w:rsidP="002B67AF">
            <w:pPr>
              <w:numPr>
                <w:ilvl w:val="0"/>
                <w:numId w:val="16"/>
              </w:numPr>
              <w:spacing w:line="240" w:lineRule="auto"/>
              <w:jc w:val="both"/>
              <w:rPr>
                <w:rFonts w:ascii="Aptos" w:hAnsi="Aptos" w:cs="Times New Roman"/>
              </w:rPr>
            </w:pPr>
            <w:hyperlink r:id="rId43" w:history="1">
              <w:r w:rsidRPr="00717D86">
                <w:rPr>
                  <w:rStyle w:val="Hyperlink"/>
                  <w:rFonts w:ascii="Aptos" w:hAnsi="Aptos" w:cs="Times New Roman"/>
                </w:rPr>
                <w:t>SAM 4215 MK noteikumu</w:t>
              </w:r>
            </w:hyperlink>
            <w:r>
              <w:t xml:space="preserve"> </w:t>
            </w:r>
            <w:r w:rsidR="002B67AF" w:rsidRPr="002B67AF">
              <w:rPr>
                <w:rFonts w:ascii="Aptos" w:hAnsi="Aptos" w:cs="Times New Roman"/>
              </w:rPr>
              <w:t>16.2.2. punktā ir noteikta projekta gatavības pakāpe, ja projektā ir plānoti būvdarbi, bet nav nepieciešama būvatļauja un ir vai nav plānots iegādāties aprīkojumu. Nav noteikta prasība par iepirkuma procedūras izsludināšanu. Ja ir paredzēts aprīkojums - jāiesniedz indikatīvs aprīkojuma saraksts un indikatīvs tā izmaksu aprēķins;</w:t>
            </w:r>
          </w:p>
          <w:p w14:paraId="67AAF697" w14:textId="7CF3B7F1" w:rsidR="002B67AF" w:rsidRPr="002B67AF" w:rsidRDefault="001A073B" w:rsidP="002B67AF">
            <w:pPr>
              <w:numPr>
                <w:ilvl w:val="0"/>
                <w:numId w:val="16"/>
              </w:numPr>
              <w:spacing w:line="240" w:lineRule="auto"/>
              <w:jc w:val="both"/>
              <w:rPr>
                <w:rFonts w:ascii="Aptos" w:hAnsi="Aptos" w:cs="Times New Roman"/>
              </w:rPr>
            </w:pPr>
            <w:hyperlink r:id="rId44" w:history="1">
              <w:r w:rsidRPr="00717D86">
                <w:rPr>
                  <w:rStyle w:val="Hyperlink"/>
                  <w:rFonts w:ascii="Aptos" w:hAnsi="Aptos" w:cs="Times New Roman"/>
                </w:rPr>
                <w:t>SAM 4215 MK noteikumu</w:t>
              </w:r>
            </w:hyperlink>
            <w:r>
              <w:t xml:space="preserve"> </w:t>
            </w:r>
            <w:r w:rsidR="002B67AF" w:rsidRPr="002B67AF">
              <w:rPr>
                <w:rFonts w:ascii="Aptos" w:hAnsi="Aptos" w:cs="Times New Roman"/>
              </w:rPr>
              <w:t>16.2.2. punktā ir noteikta projekta gatavības pakāpe, ja projektā paredzat iegādāties aprīkojumu, būvdarbi netiek paredzēti. Tādā gadījumā ir jābūt izsludinātai iepirkuma procedūrai par projekta ietvaros iegādājamo aprīkojumu.</w:t>
            </w:r>
          </w:p>
          <w:p w14:paraId="64757A03" w14:textId="69A89DE2" w:rsidR="002B67AF" w:rsidRPr="002B67AF" w:rsidRDefault="002B67AF" w:rsidP="002B67AF">
            <w:pPr>
              <w:spacing w:line="240" w:lineRule="auto"/>
              <w:jc w:val="both"/>
              <w:rPr>
                <w:rFonts w:ascii="Aptos" w:hAnsi="Aptos" w:cs="Times New Roman"/>
              </w:rPr>
            </w:pPr>
            <w:r w:rsidRPr="002B67AF">
              <w:rPr>
                <w:rFonts w:ascii="Aptos" w:hAnsi="Aptos" w:cs="Times New Roman"/>
              </w:rPr>
              <w:t>Iepirkuma procedūru jāizvēlas atbilstoši </w:t>
            </w:r>
            <w:hyperlink r:id="rId45" w:tooltip="Original URL: https://likumi.lv/ta/id/287760-publisko-iepirkumu-likums. Click or tap if you trust this link." w:history="1">
              <w:r w:rsidRPr="002B67AF">
                <w:rPr>
                  <w:rStyle w:val="Hyperlink"/>
                  <w:rFonts w:ascii="Aptos" w:hAnsi="Aptos" w:cs="Times New Roman"/>
                </w:rPr>
                <w:t>Publisko iepirkumu likumā</w:t>
              </w:r>
            </w:hyperlink>
            <w:r w:rsidRPr="002B67AF">
              <w:rPr>
                <w:rFonts w:ascii="Aptos" w:hAnsi="Aptos" w:cs="Times New Roman"/>
              </w:rPr>
              <w:t> noteiktam, ievērojot līgumcenu sliekšņus. </w:t>
            </w:r>
          </w:p>
          <w:p w14:paraId="09D6B0B1" w14:textId="77777777" w:rsidR="002B67AF" w:rsidRPr="002B67AF" w:rsidRDefault="002B67AF" w:rsidP="002B67AF">
            <w:pPr>
              <w:spacing w:line="240" w:lineRule="auto"/>
              <w:jc w:val="both"/>
              <w:rPr>
                <w:rFonts w:ascii="Aptos" w:hAnsi="Aptos" w:cs="Times New Roman"/>
              </w:rPr>
            </w:pPr>
            <w:r w:rsidRPr="002B67AF">
              <w:rPr>
                <w:rFonts w:ascii="Aptos" w:hAnsi="Aptos" w:cs="Times New Roman"/>
              </w:rPr>
              <w:t>2. Lai pamatotu projekta iesniegumā plānotās būvdarbu izmaksas, ir jāiesniedz paredzēto būvdarbu izmaksu aprēķinus pamatojošie dokumenti, t.sk. indikatīva būvdarbu izmaksu aplēse (tāme) vai projekta budžetā iekļauto izmaksu aprēķina atšifrējums, kas pamato projekta budžetā iekļauto izmaksu apmēru. Tātad ir nepieciešams iesniegt izmaksu aplēsi par visiem projekta ietvaros paredzētajiem būvdarbiem, tā var nebūt sertificēta tāmētāja sagatavota paredzamā būvniecības tāme.</w:t>
            </w:r>
          </w:p>
          <w:p w14:paraId="5EEAD1C4" w14:textId="14C4336B" w:rsidR="00013CA7" w:rsidRPr="007C4085" w:rsidRDefault="002B67AF" w:rsidP="008D4A71">
            <w:pPr>
              <w:spacing w:line="240" w:lineRule="auto"/>
              <w:jc w:val="both"/>
              <w:rPr>
                <w:rFonts w:ascii="Aptos" w:hAnsi="Aptos" w:cs="Times New Roman"/>
              </w:rPr>
            </w:pPr>
            <w:r w:rsidRPr="002B67AF">
              <w:rPr>
                <w:rFonts w:ascii="Aptos" w:hAnsi="Aptos" w:cs="Times New Roman"/>
              </w:rPr>
              <w:t>Lai pamatotu projektā plānotos būvdarbus kopumā – ir iesniedzams projektēšanas uzdevums būvniecības ieceres dokumentu sagatavošanai vai iesniegta būvvaldes izziņa, kas apliecina, ka iepriekš minētie dokumenti nav nepieciešami, vai  iesniegta būvvaldes izziņa, kas liecina, ka projekta būvdarbiem būvatļauja, paskaidrojuma raksts vai apliecinājuma karte nav nepieciešama. Gadījumā, ja uz projekta iesniegšanas brīdi nav izstrādāts projektēšanas uzdevums par visām projekta ietvaros veicamajām būvniecības darbībām, šādā gadījumā var pievienot kopējo būvdarbu darbu apjoma sarakstu/ieceres aprakstu, tehnisko specifikāciju – prasību aprakstu utml.</w:t>
            </w:r>
          </w:p>
        </w:tc>
      </w:tr>
      <w:tr w:rsidR="00013CA7" w:rsidRPr="00FE1EE3" w14:paraId="694FE4EE" w14:textId="77777777" w:rsidTr="3D2AE4F9">
        <w:trPr>
          <w:trHeight w:val="321"/>
        </w:trPr>
        <w:tc>
          <w:tcPr>
            <w:tcW w:w="15377" w:type="dxa"/>
            <w:gridSpan w:val="3"/>
            <w:shd w:val="clear" w:color="auto" w:fill="D0CECE" w:themeFill="background2" w:themeFillShade="E6"/>
          </w:tcPr>
          <w:p w14:paraId="7A4FFAA7" w14:textId="429E4EE8"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2" w:name="_Toc206588381"/>
            <w:r w:rsidRPr="00FE1EE3">
              <w:rPr>
                <w:rFonts w:ascii="Aptos" w:hAnsi="Aptos" w:cs="Times New Roman"/>
                <w:sz w:val="22"/>
                <w:szCs w:val="22"/>
              </w:rPr>
              <w:t>Vērtēšana un lēmumu pieņemšana</w:t>
            </w:r>
            <w:bookmarkEnd w:id="12"/>
          </w:p>
        </w:tc>
      </w:tr>
      <w:tr w:rsidR="00013CA7" w:rsidRPr="00FE1EE3" w14:paraId="0CF6209B" w14:textId="77777777" w:rsidTr="3D2AE4F9">
        <w:trPr>
          <w:trHeight w:val="465"/>
        </w:trPr>
        <w:tc>
          <w:tcPr>
            <w:tcW w:w="1335" w:type="dxa"/>
          </w:tcPr>
          <w:p w14:paraId="3FCCC274" w14:textId="51557A94" w:rsidR="00013CA7" w:rsidRPr="00FE1EE3" w:rsidRDefault="00C97DC3" w:rsidP="00605778">
            <w:pPr>
              <w:pStyle w:val="PlainText"/>
              <w:jc w:val="center"/>
              <w:rPr>
                <w:rFonts w:ascii="Aptos" w:eastAsia="Times New Roman" w:hAnsi="Aptos" w:cs="Times New Roman"/>
                <w:lang w:val="lv-LV" w:eastAsia="lv-LV"/>
              </w:rPr>
            </w:pPr>
            <w:r w:rsidRPr="00FE1EE3">
              <w:rPr>
                <w:rFonts w:ascii="Aptos" w:eastAsia="Times New Roman" w:hAnsi="Aptos" w:cs="Times New Roman"/>
                <w:lang w:val="lv-LV" w:eastAsia="lv-LV"/>
              </w:rPr>
              <w:t>5.1.</w:t>
            </w:r>
          </w:p>
        </w:tc>
        <w:tc>
          <w:tcPr>
            <w:tcW w:w="6137" w:type="dxa"/>
            <w:tcBorders>
              <w:right w:val="single" w:sz="4" w:space="0" w:color="auto"/>
            </w:tcBorders>
          </w:tcPr>
          <w:p w14:paraId="390E7FDD" w14:textId="54CE783D" w:rsidR="00013CA7" w:rsidRPr="00FE1EE3" w:rsidRDefault="00013CA7" w:rsidP="008D4A71">
            <w:pPr>
              <w:pStyle w:val="PlainText"/>
              <w:rPr>
                <w:rFonts w:ascii="Aptos" w:eastAsia="Times New Roman" w:hAnsi="Aptos" w:cs="Times New Roman"/>
                <w:lang w:val="lv-LV" w:eastAsia="lv-LV"/>
              </w:rPr>
            </w:pPr>
          </w:p>
        </w:tc>
        <w:tc>
          <w:tcPr>
            <w:tcW w:w="7905" w:type="dxa"/>
            <w:tcBorders>
              <w:left w:val="single" w:sz="4" w:space="0" w:color="auto"/>
            </w:tcBorders>
          </w:tcPr>
          <w:p w14:paraId="7C4C0F5B" w14:textId="2513DBE6" w:rsidR="00013CA7" w:rsidRPr="00FE1EE3" w:rsidRDefault="00013CA7" w:rsidP="008D4A71">
            <w:pPr>
              <w:spacing w:line="240" w:lineRule="auto"/>
              <w:jc w:val="both"/>
              <w:rPr>
                <w:rFonts w:ascii="Aptos" w:hAnsi="Aptos" w:cs="Times New Roman"/>
                <w:color w:val="2F5496" w:themeColor="accent1" w:themeShade="BF"/>
              </w:rPr>
            </w:pPr>
          </w:p>
        </w:tc>
      </w:tr>
    </w:tbl>
    <w:p w14:paraId="02C9F9E3" w14:textId="524B8A91" w:rsidR="0001751C" w:rsidRPr="00FE1EE3" w:rsidRDefault="655DEAB1" w:rsidP="00C97DC3">
      <w:pPr>
        <w:spacing w:after="0" w:line="264" w:lineRule="auto"/>
        <w:jc w:val="both"/>
        <w:rPr>
          <w:rFonts w:ascii="Aptos" w:hAnsi="Aptos" w:cs="Times New Roman"/>
        </w:rPr>
      </w:pPr>
      <w:r w:rsidRPr="00FE1EE3">
        <w:rPr>
          <w:rFonts w:ascii="Aptos" w:eastAsia="Calibri" w:hAnsi="Aptos" w:cs="Times New Roman"/>
        </w:rPr>
        <w:t xml:space="preserve"> </w:t>
      </w:r>
    </w:p>
    <w:sectPr w:rsidR="0001751C" w:rsidRPr="00FE1EE3" w:rsidSect="008D4A71">
      <w:headerReference w:type="default" r:id="rId46"/>
      <w:footerReference w:type="default" r:id="rId47"/>
      <w:headerReference w:type="first" r:id="rId48"/>
      <w:pgSz w:w="16838" w:h="11906" w:orient="landscape"/>
      <w:pgMar w:top="720" w:right="720" w:bottom="63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5291" w14:textId="77777777" w:rsidR="00367FA0" w:rsidRDefault="00367FA0" w:rsidP="00F40189">
      <w:pPr>
        <w:spacing w:after="0" w:line="240" w:lineRule="auto"/>
      </w:pPr>
      <w:r>
        <w:separator/>
      </w:r>
    </w:p>
  </w:endnote>
  <w:endnote w:type="continuationSeparator" w:id="0">
    <w:p w14:paraId="00FE7D4D" w14:textId="77777777" w:rsidR="00367FA0" w:rsidRDefault="00367FA0"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12104"/>
      <w:docPartObj>
        <w:docPartGallery w:val="Page Numbers (Bottom of Page)"/>
        <w:docPartUnique/>
      </w:docPartObj>
    </w:sdtPr>
    <w:sdtEndPr>
      <w:rPr>
        <w:noProof/>
      </w:rPr>
    </w:sdtEndPr>
    <w:sdtContent>
      <w:p w14:paraId="6DAB780E" w14:textId="07BCAA0E" w:rsidR="00CF6ED3" w:rsidRDefault="00CF6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F58FF4" w14:textId="77777777" w:rsidR="005C282F" w:rsidRDefault="005C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CC2E" w14:textId="77777777" w:rsidR="00367FA0" w:rsidRDefault="00367FA0" w:rsidP="00F40189">
      <w:pPr>
        <w:spacing w:after="0" w:line="240" w:lineRule="auto"/>
      </w:pPr>
      <w:r>
        <w:separator/>
      </w:r>
    </w:p>
  </w:footnote>
  <w:footnote w:type="continuationSeparator" w:id="0">
    <w:p w14:paraId="45083590" w14:textId="77777777" w:rsidR="00367FA0" w:rsidRDefault="00367FA0" w:rsidP="00F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1825777939"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D9E"/>
    <w:multiLevelType w:val="hybridMultilevel"/>
    <w:tmpl w:val="EA241BA8"/>
    <w:lvl w:ilvl="0" w:tplc="DE04C4A2">
      <w:start w:val="1"/>
      <w:numFmt w:val="bullet"/>
      <w:lvlText w:val=""/>
      <w:lvlJc w:val="left"/>
      <w:pPr>
        <w:ind w:left="720" w:hanging="360"/>
      </w:pPr>
      <w:rPr>
        <w:rFonts w:ascii="Symbol" w:hAnsi="Symbol" w:hint="default"/>
      </w:rPr>
    </w:lvl>
    <w:lvl w:ilvl="1" w:tplc="3776317E" w:tentative="1">
      <w:start w:val="1"/>
      <w:numFmt w:val="bullet"/>
      <w:lvlText w:val="o"/>
      <w:lvlJc w:val="left"/>
      <w:pPr>
        <w:ind w:left="1440" w:hanging="360"/>
      </w:pPr>
      <w:rPr>
        <w:rFonts w:ascii="Courier New" w:hAnsi="Courier New" w:hint="default"/>
      </w:rPr>
    </w:lvl>
    <w:lvl w:ilvl="2" w:tplc="2398DFB8" w:tentative="1">
      <w:start w:val="1"/>
      <w:numFmt w:val="bullet"/>
      <w:lvlText w:val=""/>
      <w:lvlJc w:val="left"/>
      <w:pPr>
        <w:ind w:left="2160" w:hanging="360"/>
      </w:pPr>
      <w:rPr>
        <w:rFonts w:ascii="Wingdings" w:hAnsi="Wingdings" w:hint="default"/>
      </w:rPr>
    </w:lvl>
    <w:lvl w:ilvl="3" w:tplc="4664E00C" w:tentative="1">
      <w:start w:val="1"/>
      <w:numFmt w:val="bullet"/>
      <w:lvlText w:val=""/>
      <w:lvlJc w:val="left"/>
      <w:pPr>
        <w:ind w:left="2880" w:hanging="360"/>
      </w:pPr>
      <w:rPr>
        <w:rFonts w:ascii="Symbol" w:hAnsi="Symbol" w:hint="default"/>
      </w:rPr>
    </w:lvl>
    <w:lvl w:ilvl="4" w:tplc="E19A7808" w:tentative="1">
      <w:start w:val="1"/>
      <w:numFmt w:val="bullet"/>
      <w:lvlText w:val="o"/>
      <w:lvlJc w:val="left"/>
      <w:pPr>
        <w:ind w:left="3600" w:hanging="360"/>
      </w:pPr>
      <w:rPr>
        <w:rFonts w:ascii="Courier New" w:hAnsi="Courier New" w:hint="default"/>
      </w:rPr>
    </w:lvl>
    <w:lvl w:ilvl="5" w:tplc="687E280E" w:tentative="1">
      <w:start w:val="1"/>
      <w:numFmt w:val="bullet"/>
      <w:lvlText w:val=""/>
      <w:lvlJc w:val="left"/>
      <w:pPr>
        <w:ind w:left="4320" w:hanging="360"/>
      </w:pPr>
      <w:rPr>
        <w:rFonts w:ascii="Wingdings" w:hAnsi="Wingdings" w:hint="default"/>
      </w:rPr>
    </w:lvl>
    <w:lvl w:ilvl="6" w:tplc="2076B46E" w:tentative="1">
      <w:start w:val="1"/>
      <w:numFmt w:val="bullet"/>
      <w:lvlText w:val=""/>
      <w:lvlJc w:val="left"/>
      <w:pPr>
        <w:ind w:left="5040" w:hanging="360"/>
      </w:pPr>
      <w:rPr>
        <w:rFonts w:ascii="Symbol" w:hAnsi="Symbol" w:hint="default"/>
      </w:rPr>
    </w:lvl>
    <w:lvl w:ilvl="7" w:tplc="9754007C" w:tentative="1">
      <w:start w:val="1"/>
      <w:numFmt w:val="bullet"/>
      <w:lvlText w:val="o"/>
      <w:lvlJc w:val="left"/>
      <w:pPr>
        <w:ind w:left="5760" w:hanging="360"/>
      </w:pPr>
      <w:rPr>
        <w:rFonts w:ascii="Courier New" w:hAnsi="Courier New" w:hint="default"/>
      </w:rPr>
    </w:lvl>
    <w:lvl w:ilvl="8" w:tplc="E1CAADFE" w:tentative="1">
      <w:start w:val="1"/>
      <w:numFmt w:val="bullet"/>
      <w:lvlText w:val=""/>
      <w:lvlJc w:val="left"/>
      <w:pPr>
        <w:ind w:left="6480" w:hanging="360"/>
      </w:pPr>
      <w:rPr>
        <w:rFonts w:ascii="Wingdings" w:hAnsi="Wingdings" w:hint="default"/>
      </w:rPr>
    </w:lvl>
  </w:abstractNum>
  <w:abstractNum w:abstractNumId="1" w15:restartNumberingAfterBreak="0">
    <w:nsid w:val="0B281E4F"/>
    <w:multiLevelType w:val="multilevel"/>
    <w:tmpl w:val="C8C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F6400"/>
    <w:multiLevelType w:val="multilevel"/>
    <w:tmpl w:val="20AA6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16A24"/>
    <w:multiLevelType w:val="hybridMultilevel"/>
    <w:tmpl w:val="C1EC3688"/>
    <w:lvl w:ilvl="0" w:tplc="38162750">
      <w:start w:val="1"/>
      <w:numFmt w:val="decimal"/>
      <w:lvlText w:val="%1."/>
      <w:lvlJc w:val="left"/>
      <w:pPr>
        <w:ind w:left="720" w:hanging="360"/>
      </w:pPr>
    </w:lvl>
    <w:lvl w:ilvl="1" w:tplc="72D01B1C" w:tentative="1">
      <w:start w:val="1"/>
      <w:numFmt w:val="lowerLetter"/>
      <w:lvlText w:val="%2."/>
      <w:lvlJc w:val="left"/>
      <w:pPr>
        <w:ind w:left="1440" w:hanging="360"/>
      </w:pPr>
    </w:lvl>
    <w:lvl w:ilvl="2" w:tplc="72581DC0" w:tentative="1">
      <w:start w:val="1"/>
      <w:numFmt w:val="lowerRoman"/>
      <w:lvlText w:val="%3."/>
      <w:lvlJc w:val="right"/>
      <w:pPr>
        <w:ind w:left="2160" w:hanging="180"/>
      </w:pPr>
    </w:lvl>
    <w:lvl w:ilvl="3" w:tplc="DA5EDD94" w:tentative="1">
      <w:start w:val="1"/>
      <w:numFmt w:val="decimal"/>
      <w:lvlText w:val="%4."/>
      <w:lvlJc w:val="left"/>
      <w:pPr>
        <w:ind w:left="2880" w:hanging="360"/>
      </w:pPr>
    </w:lvl>
    <w:lvl w:ilvl="4" w:tplc="F78E95BA" w:tentative="1">
      <w:start w:val="1"/>
      <w:numFmt w:val="lowerLetter"/>
      <w:lvlText w:val="%5."/>
      <w:lvlJc w:val="left"/>
      <w:pPr>
        <w:ind w:left="3600" w:hanging="360"/>
      </w:pPr>
    </w:lvl>
    <w:lvl w:ilvl="5" w:tplc="83C252B6" w:tentative="1">
      <w:start w:val="1"/>
      <w:numFmt w:val="lowerRoman"/>
      <w:lvlText w:val="%6."/>
      <w:lvlJc w:val="right"/>
      <w:pPr>
        <w:ind w:left="4320" w:hanging="180"/>
      </w:pPr>
    </w:lvl>
    <w:lvl w:ilvl="6" w:tplc="7652B716" w:tentative="1">
      <w:start w:val="1"/>
      <w:numFmt w:val="decimal"/>
      <w:lvlText w:val="%7."/>
      <w:lvlJc w:val="left"/>
      <w:pPr>
        <w:ind w:left="5040" w:hanging="360"/>
      </w:pPr>
    </w:lvl>
    <w:lvl w:ilvl="7" w:tplc="68BC6DBE" w:tentative="1">
      <w:start w:val="1"/>
      <w:numFmt w:val="lowerLetter"/>
      <w:lvlText w:val="%8."/>
      <w:lvlJc w:val="left"/>
      <w:pPr>
        <w:ind w:left="5760" w:hanging="360"/>
      </w:pPr>
    </w:lvl>
    <w:lvl w:ilvl="8" w:tplc="882213EA" w:tentative="1">
      <w:start w:val="1"/>
      <w:numFmt w:val="lowerRoman"/>
      <w:lvlText w:val="%9."/>
      <w:lvlJc w:val="right"/>
      <w:pPr>
        <w:ind w:left="6480" w:hanging="180"/>
      </w:pPr>
    </w:lvl>
  </w:abstractNum>
  <w:abstractNum w:abstractNumId="4" w15:restartNumberingAfterBreak="0">
    <w:nsid w:val="1EDC143D"/>
    <w:multiLevelType w:val="multilevel"/>
    <w:tmpl w:val="5C86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EF1ABE"/>
    <w:multiLevelType w:val="multilevel"/>
    <w:tmpl w:val="5306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A6BC2"/>
    <w:multiLevelType w:val="hybridMultilevel"/>
    <w:tmpl w:val="3A4AA5CA"/>
    <w:lvl w:ilvl="0" w:tplc="4DFC4B8A">
      <w:start w:val="1"/>
      <w:numFmt w:val="decimal"/>
      <w:lvlText w:val="%1."/>
      <w:lvlJc w:val="left"/>
      <w:pPr>
        <w:ind w:left="720" w:hanging="360"/>
      </w:pPr>
      <w:rPr>
        <w:rFonts w:ascii="Aptos" w:hAnsi="Aptos" w:hint="default"/>
      </w:rPr>
    </w:lvl>
    <w:lvl w:ilvl="1" w:tplc="429486C2">
      <w:start w:val="1"/>
      <w:numFmt w:val="lowerLetter"/>
      <w:lvlText w:val="%2."/>
      <w:lvlJc w:val="left"/>
      <w:pPr>
        <w:ind w:left="1440" w:hanging="360"/>
      </w:pPr>
    </w:lvl>
    <w:lvl w:ilvl="2" w:tplc="26829FF0">
      <w:start w:val="1"/>
      <w:numFmt w:val="lowerRoman"/>
      <w:lvlText w:val="%3."/>
      <w:lvlJc w:val="right"/>
      <w:pPr>
        <w:ind w:left="2160" w:hanging="180"/>
      </w:pPr>
    </w:lvl>
    <w:lvl w:ilvl="3" w:tplc="51F215EE">
      <w:start w:val="1"/>
      <w:numFmt w:val="decimal"/>
      <w:lvlText w:val="%4."/>
      <w:lvlJc w:val="left"/>
      <w:pPr>
        <w:ind w:left="2880" w:hanging="360"/>
      </w:pPr>
    </w:lvl>
    <w:lvl w:ilvl="4" w:tplc="BA68A93A">
      <w:start w:val="1"/>
      <w:numFmt w:val="lowerLetter"/>
      <w:lvlText w:val="%5."/>
      <w:lvlJc w:val="left"/>
      <w:pPr>
        <w:ind w:left="3600" w:hanging="360"/>
      </w:pPr>
    </w:lvl>
    <w:lvl w:ilvl="5" w:tplc="BB7AE8F0">
      <w:start w:val="1"/>
      <w:numFmt w:val="lowerRoman"/>
      <w:lvlText w:val="%6."/>
      <w:lvlJc w:val="right"/>
      <w:pPr>
        <w:ind w:left="4320" w:hanging="180"/>
      </w:pPr>
    </w:lvl>
    <w:lvl w:ilvl="6" w:tplc="D1A66712">
      <w:start w:val="1"/>
      <w:numFmt w:val="decimal"/>
      <w:lvlText w:val="%7."/>
      <w:lvlJc w:val="left"/>
      <w:pPr>
        <w:ind w:left="5040" w:hanging="360"/>
      </w:pPr>
    </w:lvl>
    <w:lvl w:ilvl="7" w:tplc="A29815CE">
      <w:start w:val="1"/>
      <w:numFmt w:val="lowerLetter"/>
      <w:lvlText w:val="%8."/>
      <w:lvlJc w:val="left"/>
      <w:pPr>
        <w:ind w:left="5760" w:hanging="360"/>
      </w:pPr>
    </w:lvl>
    <w:lvl w:ilvl="8" w:tplc="D66C9FBA">
      <w:start w:val="1"/>
      <w:numFmt w:val="lowerRoman"/>
      <w:lvlText w:val="%9."/>
      <w:lvlJc w:val="right"/>
      <w:pPr>
        <w:ind w:left="6480" w:hanging="180"/>
      </w:pPr>
    </w:lvl>
  </w:abstractNum>
  <w:abstractNum w:abstractNumId="7" w15:restartNumberingAfterBreak="0">
    <w:nsid w:val="3AB316D5"/>
    <w:multiLevelType w:val="hybridMultilevel"/>
    <w:tmpl w:val="5ADC0DB4"/>
    <w:lvl w:ilvl="0" w:tplc="AAAAD0B0">
      <w:start w:val="1"/>
      <w:numFmt w:val="bullet"/>
      <w:lvlText w:val="-"/>
      <w:lvlJc w:val="left"/>
      <w:pPr>
        <w:ind w:left="1080" w:hanging="360"/>
      </w:pPr>
      <w:rPr>
        <w:rFonts w:ascii="Aptos" w:hAnsi="Aptos" w:hint="default"/>
      </w:rPr>
    </w:lvl>
    <w:lvl w:ilvl="1" w:tplc="9FA638FE" w:tentative="1">
      <w:start w:val="1"/>
      <w:numFmt w:val="bullet"/>
      <w:lvlText w:val="o"/>
      <w:lvlJc w:val="left"/>
      <w:pPr>
        <w:ind w:left="1800" w:hanging="360"/>
      </w:pPr>
      <w:rPr>
        <w:rFonts w:ascii="Courier New" w:hAnsi="Courier New" w:hint="default"/>
      </w:rPr>
    </w:lvl>
    <w:lvl w:ilvl="2" w:tplc="D77C34D0" w:tentative="1">
      <w:start w:val="1"/>
      <w:numFmt w:val="bullet"/>
      <w:lvlText w:val=""/>
      <w:lvlJc w:val="left"/>
      <w:pPr>
        <w:ind w:left="2520" w:hanging="360"/>
      </w:pPr>
      <w:rPr>
        <w:rFonts w:ascii="Wingdings" w:hAnsi="Wingdings" w:hint="default"/>
      </w:rPr>
    </w:lvl>
    <w:lvl w:ilvl="3" w:tplc="7AC8E9F4" w:tentative="1">
      <w:start w:val="1"/>
      <w:numFmt w:val="bullet"/>
      <w:lvlText w:val=""/>
      <w:lvlJc w:val="left"/>
      <w:pPr>
        <w:ind w:left="3240" w:hanging="360"/>
      </w:pPr>
      <w:rPr>
        <w:rFonts w:ascii="Symbol" w:hAnsi="Symbol" w:hint="default"/>
      </w:rPr>
    </w:lvl>
    <w:lvl w:ilvl="4" w:tplc="EE7A55D8" w:tentative="1">
      <w:start w:val="1"/>
      <w:numFmt w:val="bullet"/>
      <w:lvlText w:val="o"/>
      <w:lvlJc w:val="left"/>
      <w:pPr>
        <w:ind w:left="3960" w:hanging="360"/>
      </w:pPr>
      <w:rPr>
        <w:rFonts w:ascii="Courier New" w:hAnsi="Courier New" w:hint="default"/>
      </w:rPr>
    </w:lvl>
    <w:lvl w:ilvl="5" w:tplc="B7FE445A" w:tentative="1">
      <w:start w:val="1"/>
      <w:numFmt w:val="bullet"/>
      <w:lvlText w:val=""/>
      <w:lvlJc w:val="left"/>
      <w:pPr>
        <w:ind w:left="4680" w:hanging="360"/>
      </w:pPr>
      <w:rPr>
        <w:rFonts w:ascii="Wingdings" w:hAnsi="Wingdings" w:hint="default"/>
      </w:rPr>
    </w:lvl>
    <w:lvl w:ilvl="6" w:tplc="8D7A1BA0" w:tentative="1">
      <w:start w:val="1"/>
      <w:numFmt w:val="bullet"/>
      <w:lvlText w:val=""/>
      <w:lvlJc w:val="left"/>
      <w:pPr>
        <w:ind w:left="5400" w:hanging="360"/>
      </w:pPr>
      <w:rPr>
        <w:rFonts w:ascii="Symbol" w:hAnsi="Symbol" w:hint="default"/>
      </w:rPr>
    </w:lvl>
    <w:lvl w:ilvl="7" w:tplc="488EF046" w:tentative="1">
      <w:start w:val="1"/>
      <w:numFmt w:val="bullet"/>
      <w:lvlText w:val="o"/>
      <w:lvlJc w:val="left"/>
      <w:pPr>
        <w:ind w:left="6120" w:hanging="360"/>
      </w:pPr>
      <w:rPr>
        <w:rFonts w:ascii="Courier New" w:hAnsi="Courier New" w:hint="default"/>
      </w:rPr>
    </w:lvl>
    <w:lvl w:ilvl="8" w:tplc="560EF38A" w:tentative="1">
      <w:start w:val="1"/>
      <w:numFmt w:val="bullet"/>
      <w:lvlText w:val=""/>
      <w:lvlJc w:val="left"/>
      <w:pPr>
        <w:ind w:left="6840" w:hanging="360"/>
      </w:pPr>
      <w:rPr>
        <w:rFonts w:ascii="Wingdings" w:hAnsi="Wingdings" w:hint="default"/>
      </w:rPr>
    </w:lvl>
  </w:abstractNum>
  <w:abstractNum w:abstractNumId="8" w15:restartNumberingAfterBreak="0">
    <w:nsid w:val="3EA15E10"/>
    <w:multiLevelType w:val="hybridMultilevel"/>
    <w:tmpl w:val="82D25144"/>
    <w:lvl w:ilvl="0" w:tplc="9C109354">
      <w:start w:val="1"/>
      <w:numFmt w:val="decimal"/>
      <w:lvlText w:val="%1."/>
      <w:lvlJc w:val="left"/>
      <w:pPr>
        <w:ind w:left="720" w:hanging="360"/>
      </w:pPr>
      <w:rPr>
        <w:b/>
        <w:bCs/>
        <w:i w:val="0"/>
        <w:iCs w:val="0"/>
        <w:color w:val="auto"/>
      </w:rPr>
    </w:lvl>
    <w:lvl w:ilvl="1" w:tplc="73BC80AC" w:tentative="1">
      <w:start w:val="1"/>
      <w:numFmt w:val="lowerLetter"/>
      <w:lvlText w:val="%2."/>
      <w:lvlJc w:val="left"/>
      <w:pPr>
        <w:ind w:left="1440" w:hanging="360"/>
      </w:pPr>
    </w:lvl>
    <w:lvl w:ilvl="2" w:tplc="CBAC2DE4" w:tentative="1">
      <w:start w:val="1"/>
      <w:numFmt w:val="lowerRoman"/>
      <w:lvlText w:val="%3."/>
      <w:lvlJc w:val="right"/>
      <w:pPr>
        <w:ind w:left="2160" w:hanging="180"/>
      </w:pPr>
    </w:lvl>
    <w:lvl w:ilvl="3" w:tplc="135E84D4" w:tentative="1">
      <w:start w:val="1"/>
      <w:numFmt w:val="decimal"/>
      <w:lvlText w:val="%4."/>
      <w:lvlJc w:val="left"/>
      <w:pPr>
        <w:ind w:left="2880" w:hanging="360"/>
      </w:pPr>
    </w:lvl>
    <w:lvl w:ilvl="4" w:tplc="2574466A" w:tentative="1">
      <w:start w:val="1"/>
      <w:numFmt w:val="lowerLetter"/>
      <w:lvlText w:val="%5."/>
      <w:lvlJc w:val="left"/>
      <w:pPr>
        <w:ind w:left="3600" w:hanging="360"/>
      </w:pPr>
    </w:lvl>
    <w:lvl w:ilvl="5" w:tplc="C512F952" w:tentative="1">
      <w:start w:val="1"/>
      <w:numFmt w:val="lowerRoman"/>
      <w:lvlText w:val="%6."/>
      <w:lvlJc w:val="right"/>
      <w:pPr>
        <w:ind w:left="4320" w:hanging="180"/>
      </w:pPr>
    </w:lvl>
    <w:lvl w:ilvl="6" w:tplc="4424802A" w:tentative="1">
      <w:start w:val="1"/>
      <w:numFmt w:val="decimal"/>
      <w:lvlText w:val="%7."/>
      <w:lvlJc w:val="left"/>
      <w:pPr>
        <w:ind w:left="5040" w:hanging="360"/>
      </w:pPr>
    </w:lvl>
    <w:lvl w:ilvl="7" w:tplc="6BF29098" w:tentative="1">
      <w:start w:val="1"/>
      <w:numFmt w:val="lowerLetter"/>
      <w:lvlText w:val="%8."/>
      <w:lvlJc w:val="left"/>
      <w:pPr>
        <w:ind w:left="5760" w:hanging="360"/>
      </w:pPr>
    </w:lvl>
    <w:lvl w:ilvl="8" w:tplc="85964410" w:tentative="1">
      <w:start w:val="1"/>
      <w:numFmt w:val="lowerRoman"/>
      <w:lvlText w:val="%9."/>
      <w:lvlJc w:val="right"/>
      <w:pPr>
        <w:ind w:left="6480" w:hanging="180"/>
      </w:pPr>
    </w:lvl>
  </w:abstractNum>
  <w:abstractNum w:abstractNumId="9" w15:restartNumberingAfterBreak="0">
    <w:nsid w:val="4B5C47FB"/>
    <w:multiLevelType w:val="multilevel"/>
    <w:tmpl w:val="696239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323C40"/>
    <w:multiLevelType w:val="hybridMultilevel"/>
    <w:tmpl w:val="5F2E008A"/>
    <w:lvl w:ilvl="0" w:tplc="2292AF1A">
      <w:start w:val="1"/>
      <w:numFmt w:val="bullet"/>
      <w:lvlText w:val=""/>
      <w:lvlJc w:val="left"/>
      <w:pPr>
        <w:ind w:left="720" w:hanging="360"/>
      </w:pPr>
      <w:rPr>
        <w:rFonts w:ascii="Symbol" w:hAnsi="Symbol" w:hint="default"/>
      </w:rPr>
    </w:lvl>
    <w:lvl w:ilvl="1" w:tplc="05086864">
      <w:start w:val="1"/>
      <w:numFmt w:val="bullet"/>
      <w:lvlText w:val="o"/>
      <w:lvlJc w:val="left"/>
      <w:pPr>
        <w:ind w:left="1440" w:hanging="360"/>
      </w:pPr>
      <w:rPr>
        <w:rFonts w:ascii="Courier New" w:hAnsi="Courier New" w:hint="default"/>
      </w:rPr>
    </w:lvl>
    <w:lvl w:ilvl="2" w:tplc="1D886A76">
      <w:start w:val="1"/>
      <w:numFmt w:val="bullet"/>
      <w:lvlText w:val=""/>
      <w:lvlJc w:val="left"/>
      <w:pPr>
        <w:ind w:left="2160" w:hanging="360"/>
      </w:pPr>
      <w:rPr>
        <w:rFonts w:ascii="Wingdings" w:hAnsi="Wingdings" w:hint="default"/>
      </w:rPr>
    </w:lvl>
    <w:lvl w:ilvl="3" w:tplc="983A6A96">
      <w:start w:val="1"/>
      <w:numFmt w:val="bullet"/>
      <w:lvlText w:val=""/>
      <w:lvlJc w:val="left"/>
      <w:pPr>
        <w:ind w:left="2880" w:hanging="360"/>
      </w:pPr>
      <w:rPr>
        <w:rFonts w:ascii="Symbol" w:hAnsi="Symbol" w:hint="default"/>
      </w:rPr>
    </w:lvl>
    <w:lvl w:ilvl="4" w:tplc="76F034EA">
      <w:start w:val="1"/>
      <w:numFmt w:val="bullet"/>
      <w:lvlText w:val="o"/>
      <w:lvlJc w:val="left"/>
      <w:pPr>
        <w:ind w:left="3600" w:hanging="360"/>
      </w:pPr>
      <w:rPr>
        <w:rFonts w:ascii="Courier New" w:hAnsi="Courier New" w:hint="default"/>
      </w:rPr>
    </w:lvl>
    <w:lvl w:ilvl="5" w:tplc="680C3504">
      <w:start w:val="1"/>
      <w:numFmt w:val="bullet"/>
      <w:lvlText w:val=""/>
      <w:lvlJc w:val="left"/>
      <w:pPr>
        <w:ind w:left="4320" w:hanging="360"/>
      </w:pPr>
      <w:rPr>
        <w:rFonts w:ascii="Wingdings" w:hAnsi="Wingdings" w:hint="default"/>
      </w:rPr>
    </w:lvl>
    <w:lvl w:ilvl="6" w:tplc="29ACF0BE">
      <w:start w:val="1"/>
      <w:numFmt w:val="bullet"/>
      <w:lvlText w:val=""/>
      <w:lvlJc w:val="left"/>
      <w:pPr>
        <w:ind w:left="5040" w:hanging="360"/>
      </w:pPr>
      <w:rPr>
        <w:rFonts w:ascii="Symbol" w:hAnsi="Symbol" w:hint="default"/>
      </w:rPr>
    </w:lvl>
    <w:lvl w:ilvl="7" w:tplc="6AE41F5E">
      <w:start w:val="1"/>
      <w:numFmt w:val="bullet"/>
      <w:lvlText w:val="o"/>
      <w:lvlJc w:val="left"/>
      <w:pPr>
        <w:ind w:left="5760" w:hanging="360"/>
      </w:pPr>
      <w:rPr>
        <w:rFonts w:ascii="Courier New" w:hAnsi="Courier New" w:hint="default"/>
      </w:rPr>
    </w:lvl>
    <w:lvl w:ilvl="8" w:tplc="BB227CCE">
      <w:start w:val="1"/>
      <w:numFmt w:val="bullet"/>
      <w:lvlText w:val=""/>
      <w:lvlJc w:val="left"/>
      <w:pPr>
        <w:ind w:left="6480" w:hanging="360"/>
      </w:pPr>
      <w:rPr>
        <w:rFonts w:ascii="Wingdings" w:hAnsi="Wingdings" w:hint="default"/>
      </w:rPr>
    </w:lvl>
  </w:abstractNum>
  <w:abstractNum w:abstractNumId="11" w15:restartNumberingAfterBreak="0">
    <w:nsid w:val="56D741AC"/>
    <w:multiLevelType w:val="multilevel"/>
    <w:tmpl w:val="3CE6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230F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623957"/>
    <w:multiLevelType w:val="hybridMultilevel"/>
    <w:tmpl w:val="B2A84578"/>
    <w:lvl w:ilvl="0" w:tplc="035E7A24">
      <w:start w:val="1"/>
      <w:numFmt w:val="decimal"/>
      <w:lvlText w:val="%1."/>
      <w:lvlJc w:val="left"/>
      <w:pPr>
        <w:ind w:left="1080" w:hanging="360"/>
      </w:pPr>
      <w:rPr>
        <w:color w:val="000000"/>
      </w:rPr>
    </w:lvl>
    <w:lvl w:ilvl="1" w:tplc="1564E3AE">
      <w:start w:val="1"/>
      <w:numFmt w:val="lowerLetter"/>
      <w:lvlText w:val="%2."/>
      <w:lvlJc w:val="left"/>
      <w:pPr>
        <w:ind w:left="1800" w:hanging="360"/>
      </w:pPr>
    </w:lvl>
    <w:lvl w:ilvl="2" w:tplc="3514CFCC">
      <w:start w:val="1"/>
      <w:numFmt w:val="lowerRoman"/>
      <w:lvlText w:val="%3."/>
      <w:lvlJc w:val="right"/>
      <w:pPr>
        <w:ind w:left="2520" w:hanging="180"/>
      </w:pPr>
    </w:lvl>
    <w:lvl w:ilvl="3" w:tplc="8176183A">
      <w:start w:val="1"/>
      <w:numFmt w:val="decimal"/>
      <w:lvlText w:val="%4."/>
      <w:lvlJc w:val="left"/>
      <w:pPr>
        <w:ind w:left="3240" w:hanging="360"/>
      </w:pPr>
    </w:lvl>
    <w:lvl w:ilvl="4" w:tplc="DC1236BA">
      <w:start w:val="1"/>
      <w:numFmt w:val="lowerLetter"/>
      <w:lvlText w:val="%5."/>
      <w:lvlJc w:val="left"/>
      <w:pPr>
        <w:ind w:left="3960" w:hanging="360"/>
      </w:pPr>
    </w:lvl>
    <w:lvl w:ilvl="5" w:tplc="E55ED378">
      <w:start w:val="1"/>
      <w:numFmt w:val="lowerRoman"/>
      <w:lvlText w:val="%6."/>
      <w:lvlJc w:val="right"/>
      <w:pPr>
        <w:ind w:left="4680" w:hanging="180"/>
      </w:pPr>
    </w:lvl>
    <w:lvl w:ilvl="6" w:tplc="54C09BBA">
      <w:start w:val="1"/>
      <w:numFmt w:val="decimal"/>
      <w:lvlText w:val="%7."/>
      <w:lvlJc w:val="left"/>
      <w:pPr>
        <w:ind w:left="5400" w:hanging="360"/>
      </w:pPr>
    </w:lvl>
    <w:lvl w:ilvl="7" w:tplc="D08ABDE0">
      <w:start w:val="1"/>
      <w:numFmt w:val="lowerLetter"/>
      <w:lvlText w:val="%8."/>
      <w:lvlJc w:val="left"/>
      <w:pPr>
        <w:ind w:left="6120" w:hanging="360"/>
      </w:pPr>
    </w:lvl>
    <w:lvl w:ilvl="8" w:tplc="DB06ED30">
      <w:start w:val="1"/>
      <w:numFmt w:val="lowerRoman"/>
      <w:lvlText w:val="%9."/>
      <w:lvlJc w:val="right"/>
      <w:pPr>
        <w:ind w:left="6840" w:hanging="180"/>
      </w:pPr>
    </w:lvl>
  </w:abstractNum>
  <w:abstractNum w:abstractNumId="14" w15:restartNumberingAfterBreak="0">
    <w:nsid w:val="6588587E"/>
    <w:multiLevelType w:val="multilevel"/>
    <w:tmpl w:val="448A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09A3EF"/>
    <w:multiLevelType w:val="multilevel"/>
    <w:tmpl w:val="F220428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F8B01A2"/>
    <w:multiLevelType w:val="hybridMultilevel"/>
    <w:tmpl w:val="3E662B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57716715">
    <w:abstractNumId w:val="10"/>
  </w:num>
  <w:num w:numId="2" w16cid:durableId="415395579">
    <w:abstractNumId w:val="15"/>
  </w:num>
  <w:num w:numId="3" w16cid:durableId="1528981843">
    <w:abstractNumId w:val="8"/>
  </w:num>
  <w:num w:numId="4" w16cid:durableId="1301037479">
    <w:abstractNumId w:val="7"/>
  </w:num>
  <w:num w:numId="5" w16cid:durableId="124324187">
    <w:abstractNumId w:val="13"/>
  </w:num>
  <w:num w:numId="6" w16cid:durableId="2085295802">
    <w:abstractNumId w:val="6"/>
  </w:num>
  <w:num w:numId="7" w16cid:durableId="1738087001">
    <w:abstractNumId w:val="5"/>
  </w:num>
  <w:num w:numId="8" w16cid:durableId="120853320">
    <w:abstractNumId w:val="12"/>
  </w:num>
  <w:num w:numId="9" w16cid:durableId="744835976">
    <w:abstractNumId w:val="3"/>
  </w:num>
  <w:num w:numId="10" w16cid:durableId="2132548235">
    <w:abstractNumId w:val="0"/>
  </w:num>
  <w:num w:numId="11" w16cid:durableId="1385832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285776">
    <w:abstractNumId w:val="11"/>
  </w:num>
  <w:num w:numId="13" w16cid:durableId="196818964">
    <w:abstractNumId w:val="4"/>
  </w:num>
  <w:num w:numId="14" w16cid:durableId="1182860815">
    <w:abstractNumId w:val="14"/>
  </w:num>
  <w:num w:numId="15" w16cid:durableId="1666208202">
    <w:abstractNumId w:val="2"/>
  </w:num>
  <w:num w:numId="16" w16cid:durableId="1435052537">
    <w:abstractNumId w:val="9"/>
  </w:num>
  <w:num w:numId="17" w16cid:durableId="144356996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12AF"/>
    <w:rsid w:val="00005D97"/>
    <w:rsid w:val="0000701D"/>
    <w:rsid w:val="00010678"/>
    <w:rsid w:val="000107F8"/>
    <w:rsid w:val="000115F0"/>
    <w:rsid w:val="00013CA7"/>
    <w:rsid w:val="0001751C"/>
    <w:rsid w:val="00026A95"/>
    <w:rsid w:val="00032B2E"/>
    <w:rsid w:val="00033A24"/>
    <w:rsid w:val="000371B4"/>
    <w:rsid w:val="00041212"/>
    <w:rsid w:val="000529E2"/>
    <w:rsid w:val="00054588"/>
    <w:rsid w:val="000574EB"/>
    <w:rsid w:val="00057CAC"/>
    <w:rsid w:val="00060B93"/>
    <w:rsid w:val="00062EDE"/>
    <w:rsid w:val="0006532B"/>
    <w:rsid w:val="00067ACC"/>
    <w:rsid w:val="000726B0"/>
    <w:rsid w:val="00074E92"/>
    <w:rsid w:val="00075FB5"/>
    <w:rsid w:val="0009300D"/>
    <w:rsid w:val="000954FF"/>
    <w:rsid w:val="000A3B3D"/>
    <w:rsid w:val="000A3B69"/>
    <w:rsid w:val="000A3F70"/>
    <w:rsid w:val="000C5AF1"/>
    <w:rsid w:val="000C72D0"/>
    <w:rsid w:val="000D50B0"/>
    <w:rsid w:val="000D71D2"/>
    <w:rsid w:val="000E6FB5"/>
    <w:rsid w:val="000EB3B5"/>
    <w:rsid w:val="000F1688"/>
    <w:rsid w:val="000F2A0F"/>
    <w:rsid w:val="000F4F48"/>
    <w:rsid w:val="000F509C"/>
    <w:rsid w:val="00100F60"/>
    <w:rsid w:val="0010178E"/>
    <w:rsid w:val="00105B28"/>
    <w:rsid w:val="00107333"/>
    <w:rsid w:val="00107D81"/>
    <w:rsid w:val="00110142"/>
    <w:rsid w:val="00120BDD"/>
    <w:rsid w:val="00123E00"/>
    <w:rsid w:val="0012479A"/>
    <w:rsid w:val="00124CE6"/>
    <w:rsid w:val="00125FC3"/>
    <w:rsid w:val="00130A7F"/>
    <w:rsid w:val="00131821"/>
    <w:rsid w:val="00131A2D"/>
    <w:rsid w:val="00132F39"/>
    <w:rsid w:val="0013539D"/>
    <w:rsid w:val="00140E79"/>
    <w:rsid w:val="00146567"/>
    <w:rsid w:val="00146D29"/>
    <w:rsid w:val="001503D6"/>
    <w:rsid w:val="001543AA"/>
    <w:rsid w:val="001564FA"/>
    <w:rsid w:val="001565F5"/>
    <w:rsid w:val="00161858"/>
    <w:rsid w:val="00161ED8"/>
    <w:rsid w:val="00163098"/>
    <w:rsid w:val="00167D3C"/>
    <w:rsid w:val="0017036C"/>
    <w:rsid w:val="0017067D"/>
    <w:rsid w:val="001756DE"/>
    <w:rsid w:val="00182623"/>
    <w:rsid w:val="00183FA1"/>
    <w:rsid w:val="0018710B"/>
    <w:rsid w:val="00194E91"/>
    <w:rsid w:val="001956B3"/>
    <w:rsid w:val="00195ED9"/>
    <w:rsid w:val="0019717C"/>
    <w:rsid w:val="001A073B"/>
    <w:rsid w:val="001A0ED2"/>
    <w:rsid w:val="001A1EAB"/>
    <w:rsid w:val="001A27B5"/>
    <w:rsid w:val="001A586D"/>
    <w:rsid w:val="001B1470"/>
    <w:rsid w:val="001B2C3F"/>
    <w:rsid w:val="001C0D9D"/>
    <w:rsid w:val="001C3B54"/>
    <w:rsid w:val="001C4467"/>
    <w:rsid w:val="001D0387"/>
    <w:rsid w:val="001D1D9F"/>
    <w:rsid w:val="001D67B2"/>
    <w:rsid w:val="001D7BD7"/>
    <w:rsid w:val="001E2438"/>
    <w:rsid w:val="001E2D0F"/>
    <w:rsid w:val="001E5555"/>
    <w:rsid w:val="001E6289"/>
    <w:rsid w:val="001F0BDF"/>
    <w:rsid w:val="001F54D0"/>
    <w:rsid w:val="001F6A34"/>
    <w:rsid w:val="002064F3"/>
    <w:rsid w:val="00206A31"/>
    <w:rsid w:val="002119F6"/>
    <w:rsid w:val="00212437"/>
    <w:rsid w:val="00212B1D"/>
    <w:rsid w:val="00222F30"/>
    <w:rsid w:val="002251E3"/>
    <w:rsid w:val="00225BBF"/>
    <w:rsid w:val="00227A48"/>
    <w:rsid w:val="002365FF"/>
    <w:rsid w:val="00236D92"/>
    <w:rsid w:val="00241081"/>
    <w:rsid w:val="002436ED"/>
    <w:rsid w:val="00244634"/>
    <w:rsid w:val="002475FB"/>
    <w:rsid w:val="00247B9E"/>
    <w:rsid w:val="00251F34"/>
    <w:rsid w:val="00253D8F"/>
    <w:rsid w:val="00254DC7"/>
    <w:rsid w:val="0025509D"/>
    <w:rsid w:val="00261CDD"/>
    <w:rsid w:val="00262370"/>
    <w:rsid w:val="002630AA"/>
    <w:rsid w:val="00266A40"/>
    <w:rsid w:val="00270970"/>
    <w:rsid w:val="00272795"/>
    <w:rsid w:val="00275048"/>
    <w:rsid w:val="002804B1"/>
    <w:rsid w:val="00281F36"/>
    <w:rsid w:val="002875C3"/>
    <w:rsid w:val="002918FA"/>
    <w:rsid w:val="00293805"/>
    <w:rsid w:val="00296AC8"/>
    <w:rsid w:val="00296F9A"/>
    <w:rsid w:val="002A36AC"/>
    <w:rsid w:val="002A6EE6"/>
    <w:rsid w:val="002B1179"/>
    <w:rsid w:val="002B67AF"/>
    <w:rsid w:val="002C0A7B"/>
    <w:rsid w:val="002C4933"/>
    <w:rsid w:val="002C7CF5"/>
    <w:rsid w:val="002D3D12"/>
    <w:rsid w:val="002D72E6"/>
    <w:rsid w:val="002E3A39"/>
    <w:rsid w:val="002E6CBD"/>
    <w:rsid w:val="002F0032"/>
    <w:rsid w:val="002F1E98"/>
    <w:rsid w:val="002F4EFA"/>
    <w:rsid w:val="003023BF"/>
    <w:rsid w:val="00310A9B"/>
    <w:rsid w:val="0031170C"/>
    <w:rsid w:val="00314BCD"/>
    <w:rsid w:val="00316C8A"/>
    <w:rsid w:val="0032264F"/>
    <w:rsid w:val="00323223"/>
    <w:rsid w:val="0032698B"/>
    <w:rsid w:val="00326DEE"/>
    <w:rsid w:val="003306C9"/>
    <w:rsid w:val="003371E8"/>
    <w:rsid w:val="00344CCD"/>
    <w:rsid w:val="00344D84"/>
    <w:rsid w:val="00350AAD"/>
    <w:rsid w:val="00352177"/>
    <w:rsid w:val="00354029"/>
    <w:rsid w:val="00354574"/>
    <w:rsid w:val="00357124"/>
    <w:rsid w:val="00360913"/>
    <w:rsid w:val="00360C7C"/>
    <w:rsid w:val="00364120"/>
    <w:rsid w:val="003678C4"/>
    <w:rsid w:val="00367FA0"/>
    <w:rsid w:val="0037134A"/>
    <w:rsid w:val="0037694C"/>
    <w:rsid w:val="00380A85"/>
    <w:rsid w:val="00382672"/>
    <w:rsid w:val="0038395A"/>
    <w:rsid w:val="003932E0"/>
    <w:rsid w:val="0039385D"/>
    <w:rsid w:val="00396DA1"/>
    <w:rsid w:val="003A6AF1"/>
    <w:rsid w:val="003B2736"/>
    <w:rsid w:val="003B3BE0"/>
    <w:rsid w:val="003B7940"/>
    <w:rsid w:val="003D4CB2"/>
    <w:rsid w:val="003D7FE2"/>
    <w:rsid w:val="003E32BF"/>
    <w:rsid w:val="003E4414"/>
    <w:rsid w:val="00400BDC"/>
    <w:rsid w:val="00400F19"/>
    <w:rsid w:val="00401121"/>
    <w:rsid w:val="004014D1"/>
    <w:rsid w:val="0041008C"/>
    <w:rsid w:val="00412199"/>
    <w:rsid w:val="0041380A"/>
    <w:rsid w:val="00416508"/>
    <w:rsid w:val="00424666"/>
    <w:rsid w:val="004252E5"/>
    <w:rsid w:val="00425B17"/>
    <w:rsid w:val="00425EDF"/>
    <w:rsid w:val="0042635C"/>
    <w:rsid w:val="00426747"/>
    <w:rsid w:val="004300EA"/>
    <w:rsid w:val="004321CB"/>
    <w:rsid w:val="004336F3"/>
    <w:rsid w:val="004365FB"/>
    <w:rsid w:val="00441510"/>
    <w:rsid w:val="00454C37"/>
    <w:rsid w:val="0045615F"/>
    <w:rsid w:val="00456AA6"/>
    <w:rsid w:val="00456B96"/>
    <w:rsid w:val="00457733"/>
    <w:rsid w:val="00465653"/>
    <w:rsid w:val="0046573E"/>
    <w:rsid w:val="0046645F"/>
    <w:rsid w:val="004812DE"/>
    <w:rsid w:val="004819EA"/>
    <w:rsid w:val="004854FD"/>
    <w:rsid w:val="00491F7E"/>
    <w:rsid w:val="004945A9"/>
    <w:rsid w:val="004948CC"/>
    <w:rsid w:val="004A0585"/>
    <w:rsid w:val="004A19A2"/>
    <w:rsid w:val="004A2F16"/>
    <w:rsid w:val="004A76C7"/>
    <w:rsid w:val="004B1C45"/>
    <w:rsid w:val="004C22D3"/>
    <w:rsid w:val="004C397E"/>
    <w:rsid w:val="004C4B4A"/>
    <w:rsid w:val="004C685B"/>
    <w:rsid w:val="004C6E46"/>
    <w:rsid w:val="004D143E"/>
    <w:rsid w:val="004D14A5"/>
    <w:rsid w:val="004D200D"/>
    <w:rsid w:val="004D74B4"/>
    <w:rsid w:val="004E29B2"/>
    <w:rsid w:val="004F18A1"/>
    <w:rsid w:val="004F27B7"/>
    <w:rsid w:val="004F2B1C"/>
    <w:rsid w:val="004F7F2E"/>
    <w:rsid w:val="0050184A"/>
    <w:rsid w:val="00504201"/>
    <w:rsid w:val="00504B2E"/>
    <w:rsid w:val="00507331"/>
    <w:rsid w:val="00507349"/>
    <w:rsid w:val="005103EE"/>
    <w:rsid w:val="00510895"/>
    <w:rsid w:val="0051277A"/>
    <w:rsid w:val="00514821"/>
    <w:rsid w:val="00520EF7"/>
    <w:rsid w:val="00521A97"/>
    <w:rsid w:val="00526BAB"/>
    <w:rsid w:val="00531B33"/>
    <w:rsid w:val="005333C3"/>
    <w:rsid w:val="0053570B"/>
    <w:rsid w:val="00536818"/>
    <w:rsid w:val="0054086F"/>
    <w:rsid w:val="00540CD3"/>
    <w:rsid w:val="00544727"/>
    <w:rsid w:val="005448C1"/>
    <w:rsid w:val="00552A50"/>
    <w:rsid w:val="005554F2"/>
    <w:rsid w:val="00556F76"/>
    <w:rsid w:val="005577BD"/>
    <w:rsid w:val="00557DB9"/>
    <w:rsid w:val="005608DC"/>
    <w:rsid w:val="00561F2D"/>
    <w:rsid w:val="005622C2"/>
    <w:rsid w:val="00574D00"/>
    <w:rsid w:val="0057585E"/>
    <w:rsid w:val="00575A23"/>
    <w:rsid w:val="00580181"/>
    <w:rsid w:val="0058744E"/>
    <w:rsid w:val="00587C13"/>
    <w:rsid w:val="00593DA2"/>
    <w:rsid w:val="005952C1"/>
    <w:rsid w:val="00595AC1"/>
    <w:rsid w:val="00595D89"/>
    <w:rsid w:val="0059706A"/>
    <w:rsid w:val="005972B7"/>
    <w:rsid w:val="005A04E3"/>
    <w:rsid w:val="005A0E78"/>
    <w:rsid w:val="005A1C84"/>
    <w:rsid w:val="005A5695"/>
    <w:rsid w:val="005A5ABB"/>
    <w:rsid w:val="005A5BAC"/>
    <w:rsid w:val="005A6F21"/>
    <w:rsid w:val="005B42F8"/>
    <w:rsid w:val="005C282F"/>
    <w:rsid w:val="005C391D"/>
    <w:rsid w:val="005C7AD0"/>
    <w:rsid w:val="005D0DDC"/>
    <w:rsid w:val="005D16EA"/>
    <w:rsid w:val="005D1F71"/>
    <w:rsid w:val="005E4710"/>
    <w:rsid w:val="005E51C6"/>
    <w:rsid w:val="005E5966"/>
    <w:rsid w:val="005E7BDC"/>
    <w:rsid w:val="005F0AAF"/>
    <w:rsid w:val="005F204E"/>
    <w:rsid w:val="005F515B"/>
    <w:rsid w:val="005F5D21"/>
    <w:rsid w:val="0060157D"/>
    <w:rsid w:val="006016C7"/>
    <w:rsid w:val="00601735"/>
    <w:rsid w:val="00604C6E"/>
    <w:rsid w:val="00605778"/>
    <w:rsid w:val="00610E41"/>
    <w:rsid w:val="0061207D"/>
    <w:rsid w:val="0061325E"/>
    <w:rsid w:val="00615032"/>
    <w:rsid w:val="00620366"/>
    <w:rsid w:val="006208F7"/>
    <w:rsid w:val="00621313"/>
    <w:rsid w:val="0062520C"/>
    <w:rsid w:val="00625767"/>
    <w:rsid w:val="00625938"/>
    <w:rsid w:val="00625F57"/>
    <w:rsid w:val="00626C5D"/>
    <w:rsid w:val="006334AD"/>
    <w:rsid w:val="00636A2B"/>
    <w:rsid w:val="00640E97"/>
    <w:rsid w:val="0064266E"/>
    <w:rsid w:val="006443BE"/>
    <w:rsid w:val="00655D61"/>
    <w:rsid w:val="00664278"/>
    <w:rsid w:val="00665523"/>
    <w:rsid w:val="00665CF0"/>
    <w:rsid w:val="00666DF3"/>
    <w:rsid w:val="00667ED8"/>
    <w:rsid w:val="0067034B"/>
    <w:rsid w:val="006704A6"/>
    <w:rsid w:val="00675DF4"/>
    <w:rsid w:val="006848F9"/>
    <w:rsid w:val="00687FE8"/>
    <w:rsid w:val="006909A2"/>
    <w:rsid w:val="006952C7"/>
    <w:rsid w:val="00696F44"/>
    <w:rsid w:val="006A6D8A"/>
    <w:rsid w:val="006B00E6"/>
    <w:rsid w:val="006C0DA5"/>
    <w:rsid w:val="006C7209"/>
    <w:rsid w:val="006D0018"/>
    <w:rsid w:val="006D01D0"/>
    <w:rsid w:val="006D04CE"/>
    <w:rsid w:val="006D366C"/>
    <w:rsid w:val="006D48CF"/>
    <w:rsid w:val="006E2980"/>
    <w:rsid w:val="006E327E"/>
    <w:rsid w:val="006E7586"/>
    <w:rsid w:val="006F2425"/>
    <w:rsid w:val="006F6987"/>
    <w:rsid w:val="00707C35"/>
    <w:rsid w:val="00713CA0"/>
    <w:rsid w:val="007170A8"/>
    <w:rsid w:val="00717D86"/>
    <w:rsid w:val="00724894"/>
    <w:rsid w:val="007262D4"/>
    <w:rsid w:val="00732C04"/>
    <w:rsid w:val="00740044"/>
    <w:rsid w:val="00745D96"/>
    <w:rsid w:val="0075577B"/>
    <w:rsid w:val="00757CB2"/>
    <w:rsid w:val="00757E2C"/>
    <w:rsid w:val="00761D84"/>
    <w:rsid w:val="007640A5"/>
    <w:rsid w:val="00770BE8"/>
    <w:rsid w:val="00773DF3"/>
    <w:rsid w:val="00783076"/>
    <w:rsid w:val="00784076"/>
    <w:rsid w:val="00786E87"/>
    <w:rsid w:val="007A33C1"/>
    <w:rsid w:val="007A42E8"/>
    <w:rsid w:val="007B14AB"/>
    <w:rsid w:val="007B7F6B"/>
    <w:rsid w:val="007C0A05"/>
    <w:rsid w:val="007C3BD3"/>
    <w:rsid w:val="007C4085"/>
    <w:rsid w:val="007D2A99"/>
    <w:rsid w:val="007D5296"/>
    <w:rsid w:val="007D7A34"/>
    <w:rsid w:val="007D7C91"/>
    <w:rsid w:val="007E149F"/>
    <w:rsid w:val="007E14E4"/>
    <w:rsid w:val="007E280A"/>
    <w:rsid w:val="007E42EB"/>
    <w:rsid w:val="007F648C"/>
    <w:rsid w:val="008005C2"/>
    <w:rsid w:val="00801796"/>
    <w:rsid w:val="00803D9F"/>
    <w:rsid w:val="0080522F"/>
    <w:rsid w:val="00805C76"/>
    <w:rsid w:val="008111F1"/>
    <w:rsid w:val="00813CD5"/>
    <w:rsid w:val="00814A7E"/>
    <w:rsid w:val="0081554A"/>
    <w:rsid w:val="00815EAD"/>
    <w:rsid w:val="008207F2"/>
    <w:rsid w:val="008244A8"/>
    <w:rsid w:val="008252BC"/>
    <w:rsid w:val="008319AB"/>
    <w:rsid w:val="00836AE4"/>
    <w:rsid w:val="00841E7F"/>
    <w:rsid w:val="00843999"/>
    <w:rsid w:val="008475AA"/>
    <w:rsid w:val="00850D03"/>
    <w:rsid w:val="00852B47"/>
    <w:rsid w:val="0085344E"/>
    <w:rsid w:val="00857597"/>
    <w:rsid w:val="00871364"/>
    <w:rsid w:val="008723E4"/>
    <w:rsid w:val="00872D04"/>
    <w:rsid w:val="00875557"/>
    <w:rsid w:val="00877455"/>
    <w:rsid w:val="00880722"/>
    <w:rsid w:val="008814B4"/>
    <w:rsid w:val="008815D0"/>
    <w:rsid w:val="008960F1"/>
    <w:rsid w:val="00897574"/>
    <w:rsid w:val="008A72CC"/>
    <w:rsid w:val="008C1C76"/>
    <w:rsid w:val="008C1FF7"/>
    <w:rsid w:val="008C26A3"/>
    <w:rsid w:val="008C27D1"/>
    <w:rsid w:val="008C2953"/>
    <w:rsid w:val="008C6ECD"/>
    <w:rsid w:val="008D0496"/>
    <w:rsid w:val="008D2E82"/>
    <w:rsid w:val="008D4A71"/>
    <w:rsid w:val="008E4058"/>
    <w:rsid w:val="008E6510"/>
    <w:rsid w:val="00904840"/>
    <w:rsid w:val="00907926"/>
    <w:rsid w:val="00910698"/>
    <w:rsid w:val="00916F6B"/>
    <w:rsid w:val="00920F37"/>
    <w:rsid w:val="0092105D"/>
    <w:rsid w:val="0092765C"/>
    <w:rsid w:val="009336E2"/>
    <w:rsid w:val="009355E9"/>
    <w:rsid w:val="00935DAC"/>
    <w:rsid w:val="00946454"/>
    <w:rsid w:val="0094794A"/>
    <w:rsid w:val="00951E94"/>
    <w:rsid w:val="009538EC"/>
    <w:rsid w:val="00955103"/>
    <w:rsid w:val="00967EF4"/>
    <w:rsid w:val="00974C27"/>
    <w:rsid w:val="00983AF4"/>
    <w:rsid w:val="0098486A"/>
    <w:rsid w:val="009924E2"/>
    <w:rsid w:val="00993E5E"/>
    <w:rsid w:val="009A1340"/>
    <w:rsid w:val="009A2EED"/>
    <w:rsid w:val="009B04B9"/>
    <w:rsid w:val="009B5D6F"/>
    <w:rsid w:val="009B7CA3"/>
    <w:rsid w:val="009C0E6F"/>
    <w:rsid w:val="009E3365"/>
    <w:rsid w:val="009F0F19"/>
    <w:rsid w:val="009F1E47"/>
    <w:rsid w:val="009F5933"/>
    <w:rsid w:val="00A01075"/>
    <w:rsid w:val="00A10047"/>
    <w:rsid w:val="00A1036A"/>
    <w:rsid w:val="00A162E1"/>
    <w:rsid w:val="00A23B3F"/>
    <w:rsid w:val="00A23BA1"/>
    <w:rsid w:val="00A2515A"/>
    <w:rsid w:val="00A26958"/>
    <w:rsid w:val="00A30F2F"/>
    <w:rsid w:val="00A34E9F"/>
    <w:rsid w:val="00A41008"/>
    <w:rsid w:val="00A41C53"/>
    <w:rsid w:val="00A423A3"/>
    <w:rsid w:val="00A43FBD"/>
    <w:rsid w:val="00A5101F"/>
    <w:rsid w:val="00A54014"/>
    <w:rsid w:val="00A545F7"/>
    <w:rsid w:val="00A558E4"/>
    <w:rsid w:val="00A614B7"/>
    <w:rsid w:val="00A61502"/>
    <w:rsid w:val="00A64B38"/>
    <w:rsid w:val="00A839DA"/>
    <w:rsid w:val="00A84BB3"/>
    <w:rsid w:val="00A93A7C"/>
    <w:rsid w:val="00AA296D"/>
    <w:rsid w:val="00AA593C"/>
    <w:rsid w:val="00AB72B6"/>
    <w:rsid w:val="00AC0841"/>
    <w:rsid w:val="00AC11A5"/>
    <w:rsid w:val="00AC6ED4"/>
    <w:rsid w:val="00AD0122"/>
    <w:rsid w:val="00AD2F33"/>
    <w:rsid w:val="00AD7375"/>
    <w:rsid w:val="00AD7CCB"/>
    <w:rsid w:val="00AE0D4E"/>
    <w:rsid w:val="00AE0DCC"/>
    <w:rsid w:val="00AE747C"/>
    <w:rsid w:val="00AE7DDB"/>
    <w:rsid w:val="00AF22A6"/>
    <w:rsid w:val="00AF4DA7"/>
    <w:rsid w:val="00AF6B4C"/>
    <w:rsid w:val="00B079DD"/>
    <w:rsid w:val="00B11235"/>
    <w:rsid w:val="00B11B96"/>
    <w:rsid w:val="00B12457"/>
    <w:rsid w:val="00B129C3"/>
    <w:rsid w:val="00B14761"/>
    <w:rsid w:val="00B147C7"/>
    <w:rsid w:val="00B16EC5"/>
    <w:rsid w:val="00B2169F"/>
    <w:rsid w:val="00B27A8C"/>
    <w:rsid w:val="00B304CA"/>
    <w:rsid w:val="00B30560"/>
    <w:rsid w:val="00B36E65"/>
    <w:rsid w:val="00B50AEE"/>
    <w:rsid w:val="00B51163"/>
    <w:rsid w:val="00B536A9"/>
    <w:rsid w:val="00B56A16"/>
    <w:rsid w:val="00B609A7"/>
    <w:rsid w:val="00B61C3C"/>
    <w:rsid w:val="00B62076"/>
    <w:rsid w:val="00B626E4"/>
    <w:rsid w:val="00B63F76"/>
    <w:rsid w:val="00B70B61"/>
    <w:rsid w:val="00B70C8B"/>
    <w:rsid w:val="00B71D76"/>
    <w:rsid w:val="00B82B8A"/>
    <w:rsid w:val="00B943FF"/>
    <w:rsid w:val="00B96048"/>
    <w:rsid w:val="00B9647E"/>
    <w:rsid w:val="00B9678C"/>
    <w:rsid w:val="00B97B2C"/>
    <w:rsid w:val="00BA1189"/>
    <w:rsid w:val="00BA2EF6"/>
    <w:rsid w:val="00BB0198"/>
    <w:rsid w:val="00BB4DF3"/>
    <w:rsid w:val="00BB5CFF"/>
    <w:rsid w:val="00BB5E91"/>
    <w:rsid w:val="00BB7CD8"/>
    <w:rsid w:val="00BC4C98"/>
    <w:rsid w:val="00BD19AE"/>
    <w:rsid w:val="00BD6648"/>
    <w:rsid w:val="00BD7848"/>
    <w:rsid w:val="00BF0158"/>
    <w:rsid w:val="00BF11D5"/>
    <w:rsid w:val="00C00BA5"/>
    <w:rsid w:val="00C05FD1"/>
    <w:rsid w:val="00C069EE"/>
    <w:rsid w:val="00C11991"/>
    <w:rsid w:val="00C119EF"/>
    <w:rsid w:val="00C11E42"/>
    <w:rsid w:val="00C13B02"/>
    <w:rsid w:val="00C17006"/>
    <w:rsid w:val="00C20D06"/>
    <w:rsid w:val="00C240BE"/>
    <w:rsid w:val="00C2667A"/>
    <w:rsid w:val="00C268A0"/>
    <w:rsid w:val="00C274AA"/>
    <w:rsid w:val="00C3120C"/>
    <w:rsid w:val="00C415A9"/>
    <w:rsid w:val="00C41BDC"/>
    <w:rsid w:val="00C433EC"/>
    <w:rsid w:val="00C450AA"/>
    <w:rsid w:val="00C4545B"/>
    <w:rsid w:val="00C5068B"/>
    <w:rsid w:val="00C52269"/>
    <w:rsid w:val="00C54C35"/>
    <w:rsid w:val="00C60812"/>
    <w:rsid w:val="00C6510C"/>
    <w:rsid w:val="00C676C2"/>
    <w:rsid w:val="00C67AE6"/>
    <w:rsid w:val="00C74DDB"/>
    <w:rsid w:val="00C75981"/>
    <w:rsid w:val="00C80F83"/>
    <w:rsid w:val="00C8122D"/>
    <w:rsid w:val="00C85259"/>
    <w:rsid w:val="00C85F11"/>
    <w:rsid w:val="00C952C0"/>
    <w:rsid w:val="00C97DC3"/>
    <w:rsid w:val="00CA124D"/>
    <w:rsid w:val="00CB767C"/>
    <w:rsid w:val="00CE02B0"/>
    <w:rsid w:val="00CE0749"/>
    <w:rsid w:val="00CF0B1C"/>
    <w:rsid w:val="00CF1D0E"/>
    <w:rsid w:val="00CF36B8"/>
    <w:rsid w:val="00CF6ED3"/>
    <w:rsid w:val="00CFEEA0"/>
    <w:rsid w:val="00D01870"/>
    <w:rsid w:val="00D03974"/>
    <w:rsid w:val="00D041CE"/>
    <w:rsid w:val="00D04409"/>
    <w:rsid w:val="00D056F7"/>
    <w:rsid w:val="00D07846"/>
    <w:rsid w:val="00D07FC4"/>
    <w:rsid w:val="00D117EE"/>
    <w:rsid w:val="00D11FBF"/>
    <w:rsid w:val="00D13074"/>
    <w:rsid w:val="00D205CC"/>
    <w:rsid w:val="00D211D7"/>
    <w:rsid w:val="00D25EFA"/>
    <w:rsid w:val="00D2609F"/>
    <w:rsid w:val="00D32474"/>
    <w:rsid w:val="00D3568E"/>
    <w:rsid w:val="00D37B35"/>
    <w:rsid w:val="00D4015C"/>
    <w:rsid w:val="00D4125C"/>
    <w:rsid w:val="00D4718D"/>
    <w:rsid w:val="00D47631"/>
    <w:rsid w:val="00D51945"/>
    <w:rsid w:val="00D528C0"/>
    <w:rsid w:val="00D577A2"/>
    <w:rsid w:val="00D60599"/>
    <w:rsid w:val="00D61DBC"/>
    <w:rsid w:val="00D67140"/>
    <w:rsid w:val="00D67459"/>
    <w:rsid w:val="00D759DC"/>
    <w:rsid w:val="00DA788B"/>
    <w:rsid w:val="00DB1955"/>
    <w:rsid w:val="00DB60A9"/>
    <w:rsid w:val="00DB7D25"/>
    <w:rsid w:val="00DC1383"/>
    <w:rsid w:val="00DC1F21"/>
    <w:rsid w:val="00DC22AF"/>
    <w:rsid w:val="00DC32FF"/>
    <w:rsid w:val="00DC5581"/>
    <w:rsid w:val="00DC6EB5"/>
    <w:rsid w:val="00DD6999"/>
    <w:rsid w:val="00DD72C3"/>
    <w:rsid w:val="00DE0C2C"/>
    <w:rsid w:val="00DE126D"/>
    <w:rsid w:val="00DE161A"/>
    <w:rsid w:val="00DE47E4"/>
    <w:rsid w:val="00DE4DE4"/>
    <w:rsid w:val="00DE5A94"/>
    <w:rsid w:val="00DE71B3"/>
    <w:rsid w:val="00DF40E0"/>
    <w:rsid w:val="00DF643D"/>
    <w:rsid w:val="00E02533"/>
    <w:rsid w:val="00E02FE3"/>
    <w:rsid w:val="00E10ABE"/>
    <w:rsid w:val="00E17B2C"/>
    <w:rsid w:val="00E22BF2"/>
    <w:rsid w:val="00E23403"/>
    <w:rsid w:val="00E27F96"/>
    <w:rsid w:val="00E33383"/>
    <w:rsid w:val="00E34C0C"/>
    <w:rsid w:val="00E34E05"/>
    <w:rsid w:val="00E36E57"/>
    <w:rsid w:val="00E44F4E"/>
    <w:rsid w:val="00E5135B"/>
    <w:rsid w:val="00E60D6C"/>
    <w:rsid w:val="00E61A7F"/>
    <w:rsid w:val="00E6211C"/>
    <w:rsid w:val="00E66484"/>
    <w:rsid w:val="00E67B0A"/>
    <w:rsid w:val="00E73313"/>
    <w:rsid w:val="00E7505B"/>
    <w:rsid w:val="00E765A1"/>
    <w:rsid w:val="00E82DAB"/>
    <w:rsid w:val="00E839E5"/>
    <w:rsid w:val="00E846CC"/>
    <w:rsid w:val="00E84983"/>
    <w:rsid w:val="00E85085"/>
    <w:rsid w:val="00E90B35"/>
    <w:rsid w:val="00E934E4"/>
    <w:rsid w:val="00E93E5A"/>
    <w:rsid w:val="00E9462C"/>
    <w:rsid w:val="00E96B9B"/>
    <w:rsid w:val="00EA58CB"/>
    <w:rsid w:val="00EB4EB7"/>
    <w:rsid w:val="00EB581C"/>
    <w:rsid w:val="00EB68B6"/>
    <w:rsid w:val="00EB756E"/>
    <w:rsid w:val="00EC0059"/>
    <w:rsid w:val="00EC701B"/>
    <w:rsid w:val="00EC78AD"/>
    <w:rsid w:val="00ED08DE"/>
    <w:rsid w:val="00ED1E5A"/>
    <w:rsid w:val="00ED29F1"/>
    <w:rsid w:val="00ED6122"/>
    <w:rsid w:val="00ED660A"/>
    <w:rsid w:val="00EE1DE1"/>
    <w:rsid w:val="00EE3B54"/>
    <w:rsid w:val="00EE5937"/>
    <w:rsid w:val="00EF0333"/>
    <w:rsid w:val="00F01667"/>
    <w:rsid w:val="00F02137"/>
    <w:rsid w:val="00F04FE5"/>
    <w:rsid w:val="00F11C00"/>
    <w:rsid w:val="00F16431"/>
    <w:rsid w:val="00F179CB"/>
    <w:rsid w:val="00F239FE"/>
    <w:rsid w:val="00F27E44"/>
    <w:rsid w:val="00F33DF6"/>
    <w:rsid w:val="00F33EA6"/>
    <w:rsid w:val="00F34D11"/>
    <w:rsid w:val="00F40189"/>
    <w:rsid w:val="00F41301"/>
    <w:rsid w:val="00F447A5"/>
    <w:rsid w:val="00F504F1"/>
    <w:rsid w:val="00F522E4"/>
    <w:rsid w:val="00F60D6B"/>
    <w:rsid w:val="00F60DD8"/>
    <w:rsid w:val="00F74444"/>
    <w:rsid w:val="00F90260"/>
    <w:rsid w:val="00F95138"/>
    <w:rsid w:val="00F9724C"/>
    <w:rsid w:val="00FA6900"/>
    <w:rsid w:val="00FB1CC4"/>
    <w:rsid w:val="00FB3D36"/>
    <w:rsid w:val="00FB3EF4"/>
    <w:rsid w:val="00FB67D6"/>
    <w:rsid w:val="00FE00C4"/>
    <w:rsid w:val="00FE1EE3"/>
    <w:rsid w:val="00FE5738"/>
    <w:rsid w:val="00FE5CAF"/>
    <w:rsid w:val="00FF24EC"/>
    <w:rsid w:val="00FF2DEF"/>
    <w:rsid w:val="00FF43AB"/>
    <w:rsid w:val="00FF52CE"/>
    <w:rsid w:val="00FF6182"/>
    <w:rsid w:val="01915BB9"/>
    <w:rsid w:val="03066E79"/>
    <w:rsid w:val="055F3D0F"/>
    <w:rsid w:val="05B4D1E8"/>
    <w:rsid w:val="05F3EC22"/>
    <w:rsid w:val="067DF539"/>
    <w:rsid w:val="06AFE82F"/>
    <w:rsid w:val="07F6033D"/>
    <w:rsid w:val="0870BD54"/>
    <w:rsid w:val="08C28AE8"/>
    <w:rsid w:val="09329D54"/>
    <w:rsid w:val="0945AA7C"/>
    <w:rsid w:val="09B595FB"/>
    <w:rsid w:val="09D760AE"/>
    <w:rsid w:val="0A7C7971"/>
    <w:rsid w:val="0A86BEE2"/>
    <w:rsid w:val="0FEBD794"/>
    <w:rsid w:val="1003DB20"/>
    <w:rsid w:val="101725B7"/>
    <w:rsid w:val="105C6B85"/>
    <w:rsid w:val="107F9F6A"/>
    <w:rsid w:val="10F03CDB"/>
    <w:rsid w:val="123CF4CA"/>
    <w:rsid w:val="1323CB3A"/>
    <w:rsid w:val="167E834F"/>
    <w:rsid w:val="16A35694"/>
    <w:rsid w:val="16B3AC27"/>
    <w:rsid w:val="1717DF3F"/>
    <w:rsid w:val="175ECEF8"/>
    <w:rsid w:val="188CCEBD"/>
    <w:rsid w:val="18B44B09"/>
    <w:rsid w:val="19496F9C"/>
    <w:rsid w:val="1B0C7971"/>
    <w:rsid w:val="1C4224BC"/>
    <w:rsid w:val="1C6844E9"/>
    <w:rsid w:val="1CFBB2C9"/>
    <w:rsid w:val="1D310C7E"/>
    <w:rsid w:val="201518AD"/>
    <w:rsid w:val="21A02BDB"/>
    <w:rsid w:val="2268E416"/>
    <w:rsid w:val="22E1F325"/>
    <w:rsid w:val="22F5DB0D"/>
    <w:rsid w:val="26E2627C"/>
    <w:rsid w:val="27731A58"/>
    <w:rsid w:val="287785EA"/>
    <w:rsid w:val="295E51CA"/>
    <w:rsid w:val="2A5E950D"/>
    <w:rsid w:val="2B40FB34"/>
    <w:rsid w:val="2B760172"/>
    <w:rsid w:val="2B9712BB"/>
    <w:rsid w:val="2C9D9941"/>
    <w:rsid w:val="2F48F3FB"/>
    <w:rsid w:val="2F77F335"/>
    <w:rsid w:val="2FAFC843"/>
    <w:rsid w:val="3094BA49"/>
    <w:rsid w:val="310EF13B"/>
    <w:rsid w:val="311A7ED2"/>
    <w:rsid w:val="31784C06"/>
    <w:rsid w:val="3180AC59"/>
    <w:rsid w:val="31BB2E78"/>
    <w:rsid w:val="31CF4CD2"/>
    <w:rsid w:val="3311D32B"/>
    <w:rsid w:val="33BB2B89"/>
    <w:rsid w:val="33ED4EF0"/>
    <w:rsid w:val="34173464"/>
    <w:rsid w:val="357CDAC0"/>
    <w:rsid w:val="365EB4BA"/>
    <w:rsid w:val="375B6113"/>
    <w:rsid w:val="3789C056"/>
    <w:rsid w:val="38895ECF"/>
    <w:rsid w:val="3896180D"/>
    <w:rsid w:val="394841EA"/>
    <w:rsid w:val="39D9910C"/>
    <w:rsid w:val="3A116624"/>
    <w:rsid w:val="3A9D785A"/>
    <w:rsid w:val="3C7F6936"/>
    <w:rsid w:val="3D0C0BB0"/>
    <w:rsid w:val="3D2AE4F9"/>
    <w:rsid w:val="3DA7B5F1"/>
    <w:rsid w:val="3DC9F5A8"/>
    <w:rsid w:val="3EEE60BE"/>
    <w:rsid w:val="3F14EF79"/>
    <w:rsid w:val="403AF5F6"/>
    <w:rsid w:val="40AE68F4"/>
    <w:rsid w:val="40E61BF0"/>
    <w:rsid w:val="40E6E225"/>
    <w:rsid w:val="40FA5262"/>
    <w:rsid w:val="40FB4832"/>
    <w:rsid w:val="4102F396"/>
    <w:rsid w:val="442DB9A6"/>
    <w:rsid w:val="44CA44E4"/>
    <w:rsid w:val="4570616B"/>
    <w:rsid w:val="458E783D"/>
    <w:rsid w:val="45B2A497"/>
    <w:rsid w:val="47A43751"/>
    <w:rsid w:val="47F8CDD1"/>
    <w:rsid w:val="4824708C"/>
    <w:rsid w:val="49067B88"/>
    <w:rsid w:val="49DFB1F3"/>
    <w:rsid w:val="4AA37818"/>
    <w:rsid w:val="4B9F852E"/>
    <w:rsid w:val="4BEB533B"/>
    <w:rsid w:val="4C67DB96"/>
    <w:rsid w:val="4F2F0CA0"/>
    <w:rsid w:val="5133ECA2"/>
    <w:rsid w:val="5151025E"/>
    <w:rsid w:val="515959BD"/>
    <w:rsid w:val="5208389F"/>
    <w:rsid w:val="52A1D80F"/>
    <w:rsid w:val="54308DBA"/>
    <w:rsid w:val="547C781A"/>
    <w:rsid w:val="54F5D5B1"/>
    <w:rsid w:val="5506BA4D"/>
    <w:rsid w:val="55609054"/>
    <w:rsid w:val="5674D1A8"/>
    <w:rsid w:val="56F4D21F"/>
    <w:rsid w:val="579A04F3"/>
    <w:rsid w:val="58A008DC"/>
    <w:rsid w:val="599A0F6E"/>
    <w:rsid w:val="59A08D3B"/>
    <w:rsid w:val="59BA6C7A"/>
    <w:rsid w:val="5AE6169E"/>
    <w:rsid w:val="5AFBB137"/>
    <w:rsid w:val="5CCF5901"/>
    <w:rsid w:val="5E134776"/>
    <w:rsid w:val="5E440950"/>
    <w:rsid w:val="5E48EA28"/>
    <w:rsid w:val="5E55C85E"/>
    <w:rsid w:val="5FBAE0F1"/>
    <w:rsid w:val="602188E9"/>
    <w:rsid w:val="6068ED02"/>
    <w:rsid w:val="608DCFCC"/>
    <w:rsid w:val="6101AA8F"/>
    <w:rsid w:val="6232935A"/>
    <w:rsid w:val="64824B05"/>
    <w:rsid w:val="655DEAB1"/>
    <w:rsid w:val="65BAD0F0"/>
    <w:rsid w:val="66FB9ACF"/>
    <w:rsid w:val="6721CBD6"/>
    <w:rsid w:val="6749608A"/>
    <w:rsid w:val="67E5907F"/>
    <w:rsid w:val="6895A416"/>
    <w:rsid w:val="69B8E279"/>
    <w:rsid w:val="6AC02F0C"/>
    <w:rsid w:val="6AF5ACFD"/>
    <w:rsid w:val="6D437A82"/>
    <w:rsid w:val="6DF93250"/>
    <w:rsid w:val="6FB63E75"/>
    <w:rsid w:val="71DCD248"/>
    <w:rsid w:val="727AEEFB"/>
    <w:rsid w:val="7296F7E4"/>
    <w:rsid w:val="7298AAA0"/>
    <w:rsid w:val="73C2308F"/>
    <w:rsid w:val="75FBC7F5"/>
    <w:rsid w:val="76047399"/>
    <w:rsid w:val="768A06CA"/>
    <w:rsid w:val="76A9ACA5"/>
    <w:rsid w:val="774C9B71"/>
    <w:rsid w:val="775DDF66"/>
    <w:rsid w:val="7904B9FA"/>
    <w:rsid w:val="79CABD27"/>
    <w:rsid w:val="7A4E251A"/>
    <w:rsid w:val="7AABF2F7"/>
    <w:rsid w:val="7AC883D7"/>
    <w:rsid w:val="7B3B4291"/>
    <w:rsid w:val="7C045D44"/>
    <w:rsid w:val="7C86B846"/>
    <w:rsid w:val="7CF50C5C"/>
    <w:rsid w:val="7CFD26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4356F7F7-0A96-4628-93F0-FAED1F18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Mention">
    <w:name w:val="Mention"/>
    <w:basedOn w:val="DefaultParagraphFont"/>
    <w:uiPriority w:val="99"/>
    <w:unhideWhenUsed/>
    <w:rsid w:val="00C67AE6"/>
    <w:rPr>
      <w:color w:val="2B579A"/>
      <w:shd w:val="clear" w:color="auto" w:fill="E1DFDD"/>
    </w:rPr>
  </w:style>
  <w:style w:type="paragraph" w:customStyle="1" w:styleId="xmsonormal">
    <w:name w:val="x_msonormal"/>
    <w:basedOn w:val="Normal"/>
    <w:rsid w:val="005A1C84"/>
    <w:pPr>
      <w:spacing w:after="0" w:line="240" w:lineRule="auto"/>
    </w:pPr>
    <w:rPr>
      <w:rFonts w:ascii="Aptos" w:hAnsi="Aptos" w:cs="Aptos"/>
      <w:sz w:val="24"/>
      <w:szCs w:val="24"/>
      <w:lang w:val="en-US"/>
    </w:rPr>
  </w:style>
  <w:style w:type="character" w:styleId="FollowedHyperlink">
    <w:name w:val="FollowedHyperlink"/>
    <w:basedOn w:val="DefaultParagraphFont"/>
    <w:uiPriority w:val="99"/>
    <w:semiHidden/>
    <w:unhideWhenUsed/>
    <w:rsid w:val="00910698"/>
    <w:rPr>
      <w:color w:val="954F72" w:themeColor="followedHyperlink"/>
      <w:u w:val="single"/>
    </w:rPr>
  </w:style>
  <w:style w:type="character" w:customStyle="1" w:styleId="normaltextrun">
    <w:name w:val="normaltextrun"/>
    <w:basedOn w:val="DefaultParagraphFont"/>
    <w:rsid w:val="006848F9"/>
  </w:style>
  <w:style w:type="character" w:customStyle="1" w:styleId="eop">
    <w:name w:val="eop"/>
    <w:basedOn w:val="DefaultParagraphFont"/>
    <w:rsid w:val="006848F9"/>
  </w:style>
  <w:style w:type="character" w:styleId="UnresolvedMention">
    <w:name w:val="Unresolved Mention"/>
    <w:basedOn w:val="DefaultParagraphFont"/>
    <w:uiPriority w:val="99"/>
    <w:semiHidden/>
    <w:unhideWhenUsed/>
    <w:rsid w:val="00C952C0"/>
    <w:rPr>
      <w:color w:val="605E5C"/>
      <w:shd w:val="clear" w:color="auto" w:fill="E1DFDD"/>
    </w:rPr>
  </w:style>
  <w:style w:type="paragraph" w:styleId="Revision">
    <w:name w:val="Revision"/>
    <w:hidden/>
    <w:uiPriority w:val="99"/>
    <w:semiHidden/>
    <w:rsid w:val="00D205CC"/>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244">
      <w:bodyDiv w:val="1"/>
      <w:marLeft w:val="0"/>
      <w:marRight w:val="0"/>
      <w:marTop w:val="0"/>
      <w:marBottom w:val="0"/>
      <w:divBdr>
        <w:top w:val="none" w:sz="0" w:space="0" w:color="auto"/>
        <w:left w:val="none" w:sz="0" w:space="0" w:color="auto"/>
        <w:bottom w:val="none" w:sz="0" w:space="0" w:color="auto"/>
        <w:right w:val="none" w:sz="0" w:space="0" w:color="auto"/>
      </w:divBdr>
    </w:div>
    <w:div w:id="1209605115">
      <w:bodyDiv w:val="1"/>
      <w:marLeft w:val="0"/>
      <w:marRight w:val="0"/>
      <w:marTop w:val="0"/>
      <w:marBottom w:val="0"/>
      <w:divBdr>
        <w:top w:val="none" w:sz="0" w:space="0" w:color="auto"/>
        <w:left w:val="none" w:sz="0" w:space="0" w:color="auto"/>
        <w:bottom w:val="none" w:sz="0" w:space="0" w:color="auto"/>
        <w:right w:val="none" w:sz="0" w:space="0" w:color="auto"/>
      </w:divBdr>
    </w:div>
    <w:div w:id="1282416245">
      <w:bodyDiv w:val="1"/>
      <w:marLeft w:val="0"/>
      <w:marRight w:val="0"/>
      <w:marTop w:val="0"/>
      <w:marBottom w:val="0"/>
      <w:divBdr>
        <w:top w:val="none" w:sz="0" w:space="0" w:color="auto"/>
        <w:left w:val="none" w:sz="0" w:space="0" w:color="auto"/>
        <w:bottom w:val="none" w:sz="0" w:space="0" w:color="auto"/>
        <w:right w:val="none" w:sz="0" w:space="0" w:color="auto"/>
      </w:divBdr>
    </w:div>
    <w:div w:id="1289968779">
      <w:bodyDiv w:val="1"/>
      <w:marLeft w:val="0"/>
      <w:marRight w:val="0"/>
      <w:marTop w:val="0"/>
      <w:marBottom w:val="0"/>
      <w:divBdr>
        <w:top w:val="none" w:sz="0" w:space="0" w:color="auto"/>
        <w:left w:val="none" w:sz="0" w:space="0" w:color="auto"/>
        <w:bottom w:val="none" w:sz="0" w:space="0" w:color="auto"/>
        <w:right w:val="none" w:sz="0" w:space="0" w:color="auto"/>
      </w:divBdr>
    </w:div>
    <w:div w:id="1543441537">
      <w:bodyDiv w:val="1"/>
      <w:marLeft w:val="0"/>
      <w:marRight w:val="0"/>
      <w:marTop w:val="0"/>
      <w:marBottom w:val="0"/>
      <w:divBdr>
        <w:top w:val="none" w:sz="0" w:space="0" w:color="auto"/>
        <w:left w:val="none" w:sz="0" w:space="0" w:color="auto"/>
        <w:bottom w:val="none" w:sz="0" w:space="0" w:color="auto"/>
        <w:right w:val="none" w:sz="0" w:space="0" w:color="auto"/>
      </w:divBdr>
    </w:div>
    <w:div w:id="1664889752">
      <w:bodyDiv w:val="1"/>
      <w:marLeft w:val="0"/>
      <w:marRight w:val="0"/>
      <w:marTop w:val="0"/>
      <w:marBottom w:val="0"/>
      <w:divBdr>
        <w:top w:val="none" w:sz="0" w:space="0" w:color="auto"/>
        <w:left w:val="none" w:sz="0" w:space="0" w:color="auto"/>
        <w:bottom w:val="none" w:sz="0" w:space="0" w:color="auto"/>
        <w:right w:val="none" w:sz="0" w:space="0" w:color="auto"/>
      </w:divBdr>
    </w:div>
    <w:div w:id="1825775757">
      <w:bodyDiv w:val="1"/>
      <w:marLeft w:val="0"/>
      <w:marRight w:val="0"/>
      <w:marTop w:val="0"/>
      <w:marBottom w:val="0"/>
      <w:divBdr>
        <w:top w:val="none" w:sz="0" w:space="0" w:color="auto"/>
        <w:left w:val="none" w:sz="0" w:space="0" w:color="auto"/>
        <w:bottom w:val="none" w:sz="0" w:space="0" w:color="auto"/>
        <w:right w:val="none" w:sz="0" w:space="0" w:color="auto"/>
      </w:divBdr>
    </w:div>
    <w:div w:id="184905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4.safelinks.protection.outlook.com/?url=https%3A%2F%2Fwww.vestnesis.lv%2Fop%2F2025%2F244.59&amp;data=05%7C02%7Cdace.bobrovska%40cfla.gov.lv%7C8a0b2383d902434aa0c908de6eebbbde%7Cc2d02fb61e644741866ff8f5689ca39a%7C0%7C0%7C639070155911444838%7CUnknown%7CTWFpbGZsb3d8eyJFbXB0eU1hcGkiOnRydWUsIlYiOiIwLjAuMDAwMCIsIlAiOiJXaW4zMiIsIkFOIjoiTWFpbCIsIldUIjoyfQ%3D%3D%7C0%7C%7C%7C&amp;sdata=YZiKzLanrwgT5q4pXiZkJsokJWNpbGFBOcBL7Qy8y%2Fw%3D&amp;reserved=0" TargetMode="External"/><Relationship Id="rId18" Type="http://schemas.openxmlformats.org/officeDocument/2006/relationships/hyperlink" Target="https://www.vestnesis.lv/op/2025/244.59" TargetMode="External"/><Relationship Id="rId26" Type="http://schemas.openxmlformats.org/officeDocument/2006/relationships/hyperlink" Target="https://eur04.safelinks.protection.outlook.com/?url=https%3A%2F%2Fwww.lm.gov.lv%2Flv%2Flabas-prakses-ieteikumi-vides-pieklustamibas-nodrosinasanai-papildus-lbn-200-21-noteiktajam-2022&amp;data=05%7C02%7Ckristine.matule%40cfla.gov.lv%7Ca3505fad5bd74275f92208de837055d3%7Cc2d02fb61e644741866ff8f5689ca39a%7C0%7C0%7C639092715696198468%7CUnknown%7CTWFpbGZsb3d8eyJFbXB0eU1hcGkiOnRydWUsIlYiOiIwLjAuMDAwMCIsIlAiOiJXaW4zMiIsIkFOIjoiTWFpbCIsIldUIjoyfQ%3D%3D%7C0%7C%7C%7C&amp;sdata=SAojOaeq4ngKof3vUZtN9l%2BCjvnWMTg05699oX2fqgQ%3D&amp;reserved=0" TargetMode="External"/><Relationship Id="rId39" Type="http://schemas.openxmlformats.org/officeDocument/2006/relationships/hyperlink" Target="https://eur04.safelinks.protection.outlook.com/?url=https%3A%2F%2Fwww.vestnesis.lv%2Fop%2F2025%2F244.59&amp;data=05%7C02%7Cdace.bobrovska%40cfla.gov.lv%7C3e1e3c195b07490ae0b708de88c034a8%7Cc2d02fb61e644741866ff8f5689ca39a%7C0%7C0%7C639098556301028530%7CUnknown%7CTWFpbGZsb3d8eyJFbXB0eU1hcGkiOnRydWUsIlYiOiIwLjAuMDAwMCIsIlAiOiJXaW4zMiIsIkFOIjoiTWFpbCIsIldUIjoyfQ%3D%3D%7C0%7C%7C%7C&amp;sdata=OLDj8CbOYHNrU5T%2FodbQhgQDo5QDVSuohRcTFamW%2Fzs%3D&amp;reserved=0" TargetMode="External"/><Relationship Id="rId21" Type="http://schemas.openxmlformats.org/officeDocument/2006/relationships/hyperlink" Target="https://www.vestnesis.lv/op/2025/244.59" TargetMode="External"/><Relationship Id="rId34"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2" Type="http://schemas.openxmlformats.org/officeDocument/2006/relationships/hyperlink" Target="https://www.vestnesis.lv/op/2025/244.59"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ur04.safelinks.protection.outlook.com/?url=https%3A%2F%2Flikumi.lv%2Fta%2Fid%2F269069-visparigie-buvnoteikumi&amp;data=05%7C02%7Ckristine.matule%40cfla.gov.lv%7Cd80489b124a54022f23108de73a3e7f1%7Cc2d02fb61e644741866ff8f5689ca39a%7C0%7C0%7C639075345285846801%7CUnknown%7CTWFpbGZsb3d8eyJFbXB0eU1hcGkiOnRydWUsIlYiOiIwLjAuMDAwMCIsIlAiOiJXaW4zMiIsIkFOIjoiTWFpbCIsIldUIjoyfQ%3D%3D%7C0%7C%7C%7C&amp;sdata=UVrkRoCN0xgt1Acukj4oRS8Koorp%2BddjI11lG8jHoMk%3D&amp;reserved=0" TargetMode="External"/><Relationship Id="rId29" Type="http://schemas.openxmlformats.org/officeDocument/2006/relationships/hyperlink" Target="https://www.vestnesis.lv/op/2025/244.59" TargetMode="External"/><Relationship Id="rId11" Type="http://schemas.openxmlformats.org/officeDocument/2006/relationships/hyperlink" Target="https://www.vestnesis.lv/op/2025/244.59" TargetMode="External"/><Relationship Id="rId24" Type="http://schemas.openxmlformats.org/officeDocument/2006/relationships/hyperlink" Target="https://www.vestnesis.lv/op/2025/244.59" TargetMode="External"/><Relationship Id="rId32"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37"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0"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5" Type="http://schemas.openxmlformats.org/officeDocument/2006/relationships/hyperlink" Target="https://eur04.safelinks.protection.outlook.com/?url=https%3A%2F%2Flikumi.lv%2Fta%2Fid%2F287760-publisko-iepirkumu-likums&amp;data=05%7C02%7Ckristine.matule%40cfla.gov.lv%7C6b6d72a9b20c459c6dd808de7a9bd1e6%7Cc2d02fb61e644741866ff8f5689ca39a%7C0%7C0%7C639083006883116302%7CUnknown%7CTWFpbGZsb3d8eyJFbXB0eU1hcGkiOnRydWUsIlYiOiIwLjAuMDAwMCIsIlAiOiJXaW4zMiIsIkFOIjoiTWFpbCIsIldUIjoyfQ%3D%3D%7C0%7C%7C%7C&amp;sdata=oLL8cfEsBE68oTuimRZKbwnIz0AJWGi23erpYcI2RkM%3D&amp;reserved=0" TargetMode="External"/><Relationship Id="rId5" Type="http://schemas.openxmlformats.org/officeDocument/2006/relationships/styles" Target="styles.xml"/><Relationship Id="rId15" Type="http://schemas.openxmlformats.org/officeDocument/2006/relationships/hyperlink" Target="https://www.vestnesis.lv/op/2025/244.59" TargetMode="External"/><Relationship Id="rId23" Type="http://schemas.openxmlformats.org/officeDocument/2006/relationships/hyperlink" Target="https://www.vestnesis.lv/op/2025/244.59" TargetMode="External"/><Relationship Id="rId28" Type="http://schemas.openxmlformats.org/officeDocument/2006/relationships/hyperlink" Target="https://www.vestnesis.lv/op/2025/244.59" TargetMode="External"/><Relationship Id="rId36"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9" Type="http://schemas.openxmlformats.org/officeDocument/2006/relationships/fontTable" Target="fontTable.xml"/><Relationship Id="rId10" Type="http://schemas.openxmlformats.org/officeDocument/2006/relationships/hyperlink" Target="https://projekti.cfla.gov.lv" TargetMode="External"/><Relationship Id="rId19" Type="http://schemas.openxmlformats.org/officeDocument/2006/relationships/hyperlink" Target="https://www.vestnesis.lv/op/2025/244.59" TargetMode="External"/><Relationship Id="rId31"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4" Type="http://schemas.openxmlformats.org/officeDocument/2006/relationships/hyperlink" Target="https://www.vestnesis.lv/op/2025/244.5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4.safelinks.protection.outlook.com/?url=https%3A%2F%2Fwww.vestnesis.lv%2Fop%2F2025%2F244.59&amp;data=05%7C02%7Cdace.bobrovska%40cfla.gov.lv%7C8a0b2383d902434aa0c908de6eebbbde%7Cc2d02fb61e644741866ff8f5689ca39a%7C0%7C0%7C639070155911462227%7CUnknown%7CTWFpbGZsb3d8eyJFbXB0eU1hcGkiOnRydWUsIlYiOiIwLjAuMDAwMCIsIlAiOiJXaW4zMiIsIkFOIjoiTWFpbCIsIldUIjoyfQ%3D%3D%7C0%7C%7C%7C&amp;sdata=4Xdx1s5cKDNDqDQvb6x3GdDNKtuLiEMKfv0a9KAcDzo%3D&amp;reserved=0" TargetMode="External"/><Relationship Id="rId22" Type="http://schemas.openxmlformats.org/officeDocument/2006/relationships/hyperlink" Target="https://www.vestnesis.lv/op/2025/244.59" TargetMode="External"/><Relationship Id="rId27" Type="http://schemas.openxmlformats.org/officeDocument/2006/relationships/hyperlink" Target="https://eur04.safelinks.protection.outlook.com/?url=https%3A%2F%2Fwww.lm.gov.lv%2Flv%2Fvides-pieklustamibas-pasnovertejums&amp;data=05%7C02%7Ckristine.matule%40cfla.gov.lv%7Ca3505fad5bd74275f92208de837055d3%7Cc2d02fb61e644741866ff8f5689ca39a%7C0%7C0%7C639092715696255658%7CUnknown%7CTWFpbGZsb3d8eyJFbXB0eU1hcGkiOnRydWUsIlYiOiIwLjAuMDAwMCIsIlAiOiJXaW4zMiIsIkFOIjoiTWFpbCIsIldUIjoyfQ%3D%3D%7C0%7C%7C%7C&amp;sdata=043g57SDyOqHFaCMlqWolRPjIGmrWPceYtMG6OtMg%2FQ%3D&amp;reserved=0" TargetMode="External"/><Relationship Id="rId30"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35"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3" Type="http://schemas.openxmlformats.org/officeDocument/2006/relationships/hyperlink" Target="https://www.vestnesis.lv/op/2025/244.59" TargetMode="External"/><Relationship Id="rId48" Type="http://schemas.openxmlformats.org/officeDocument/2006/relationships/header" Target="header2.xml"/><Relationship Id="rId8" Type="http://schemas.openxmlformats.org/officeDocument/2006/relationships/footnotes" Target="footnot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cfla.gov.lv/lv/4-2-1-5-k-2" TargetMode="External"/><Relationship Id="rId17" Type="http://schemas.openxmlformats.org/officeDocument/2006/relationships/hyperlink" Target="https://www.vestnesis.lv/op/2025/244.59" TargetMode="External"/><Relationship Id="rId25" Type="http://schemas.openxmlformats.org/officeDocument/2006/relationships/hyperlink" Target="https://eur04.safelinks.protection.outlook.com/?url=https%3A%2F%2Fwww.lm.gov.lv%2Flv%2Fhorizontalais-princips-vienlidziba-ieklausana-nediskriminacija-un-pamattiesibu-ieverosana&amp;data=05%7C02%7Ckristine.matule%40cfla.gov.lv%7Ca3505fad5bd74275f92208de837055d3%7Cc2d02fb61e644741866ff8f5689ca39a%7C0%7C0%7C639092715696141808%7CUnknown%7CTWFpbGZsb3d8eyJFbXB0eU1hcGkiOnRydWUsIlYiOiIwLjAuMDAwMCIsIlAiOiJXaW4zMiIsIkFOIjoiTWFpbCIsIldUIjoyfQ%3D%3D%7C0%7C%7C%7C&amp;sdata=EEbgl6ZZUZWL0PxjVOEjyLOv%2B1FylZ0Jmotk8q2vpc4%3D&amp;reserved=0" TargetMode="External"/><Relationship Id="rId33"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38" Type="http://schemas.openxmlformats.org/officeDocument/2006/relationships/hyperlink" Target="https://eur04.safelinks.protection.outlook.com/?url=https%3A%2F%2Fwww.vestnesis.lv%2Fop%2F2025%2F244.59&amp;data=05%7C02%7Cdace.bobrovska%40cfla.gov.lv%7C5df5a4c7560841f03a2e08de67b0750a%7Cc2d02fb61e644741866ff8f5689ca39a%7C0%7C0%7C639062204745912687%7CUnknown%7CTWFpbGZsb3d8eyJFbXB0eU1hcGkiOnRydWUsIlYiOiIwLjAuMDAwMCIsIlAiOiJXaW4zMiIsIkFOIjoiTWFpbCIsIldUIjoyfQ%3D%3D%7C0%7C%7C%7C&amp;sdata=DkDKk0623J3iou8%2Fqzh%2BsmYCLa%2FT9QDEke4yaYmE14g%3D&amp;reserved=0" TargetMode="External"/><Relationship Id="rId46" Type="http://schemas.openxmlformats.org/officeDocument/2006/relationships/header" Target="header1.xml"/><Relationship Id="rId20" Type="http://schemas.openxmlformats.org/officeDocument/2006/relationships/hyperlink" Target="https://www.vestnesis.lv/op/2025/244.59" TargetMode="External"/><Relationship Id="rId41" Type="http://schemas.openxmlformats.org/officeDocument/2006/relationships/hyperlink" Target="https://www.vestnesis.lv/op/2025/244.59"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69E1B-5D8F-4BFA-95C8-F3168765F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5458</Words>
  <Characters>31111</Characters>
  <Application>Microsoft Office Word</Application>
  <DocSecurity>4</DocSecurity>
  <Lines>259</Lines>
  <Paragraphs>72</Paragraphs>
  <ScaleCrop>false</ScaleCrop>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Matule</cp:lastModifiedBy>
  <cp:revision>468</cp:revision>
  <dcterms:created xsi:type="dcterms:W3CDTF">2025-07-24T18:55:00Z</dcterms:created>
  <dcterms:modified xsi:type="dcterms:W3CDTF">2026-03-24T08:42:00Z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