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502" w:rsidR="00501522" w:rsidP="3005BFF4" w:rsidRDefault="00EC6834" w14:paraId="501AA1D7" w14:textId="4326B310">
      <w:pPr>
        <w:pStyle w:val="ListParagraph"/>
        <w:tabs>
          <w:tab w:val="left" w:pos="709"/>
        </w:tabs>
        <w:spacing w:before="120"/>
        <w:ind w:left="1145"/>
        <w:jc w:val="center"/>
        <w:rPr>
          <w:rFonts w:ascii="Aptos" w:hAnsi="Aptos"/>
          <w:b w:val="0"/>
          <w:bCs w:val="0"/>
          <w:sz w:val="22"/>
          <w:szCs w:val="22"/>
        </w:rPr>
      </w:pPr>
      <w:r w:rsidRPr="3005BFF4" w:rsidR="00EC6834">
        <w:rPr>
          <w:rFonts w:ascii="Aptos" w:hAnsi="Aptos"/>
          <w:b w:val="0"/>
          <w:bCs w:val="0"/>
          <w:sz w:val="24"/>
          <w:szCs w:val="24"/>
        </w:rPr>
        <w:t>Atzinum</w:t>
      </w:r>
      <w:r w:rsidRPr="3005BFF4" w:rsidR="00120502">
        <w:rPr>
          <w:rFonts w:ascii="Aptos" w:hAnsi="Aptos"/>
          <w:b w:val="0"/>
          <w:bCs w:val="0"/>
          <w:sz w:val="24"/>
          <w:szCs w:val="24"/>
        </w:rPr>
        <w:t>s</w:t>
      </w:r>
    </w:p>
    <w:p w:rsidR="00EA1F32" w:rsidP="00C43F43" w:rsidRDefault="00EA1F32" w14:paraId="4C988492" w14:textId="77777777">
      <w:pPr>
        <w:tabs>
          <w:tab w:val="left" w:pos="709"/>
        </w:tabs>
        <w:spacing w:before="120"/>
        <w:ind w:left="-142" w:firstLine="567"/>
        <w:jc w:val="both"/>
        <w:rPr>
          <w:rFonts w:ascii="Aptos" w:hAnsi="Aptos"/>
          <w:i/>
          <w:iCs/>
        </w:rPr>
      </w:pPr>
    </w:p>
    <w:p w:rsidRPr="00BA5145" w:rsidR="00686514" w:rsidP="00FD1552" w:rsidRDefault="00BE0A6C" w14:paraId="788167CD" w14:textId="78ED0DE6">
      <w:pPr>
        <w:spacing w:before="120"/>
        <w:ind w:firstLine="720"/>
        <w:jc w:val="both"/>
        <w:rPr>
          <w:rFonts w:ascii="Aptos" w:hAnsi="Aptos"/>
        </w:rPr>
      </w:pPr>
      <w:r w:rsidRPr="00BA5145" w:rsidR="00BE0A6C">
        <w:rPr>
          <w:rFonts w:ascii="Aptos" w:hAnsi="Aptos"/>
        </w:rPr>
        <w:t xml:space="preserve">Finansējuma saņēmējs </w:t>
      </w:r>
      <w:r w:rsidRPr="00BA5145" w:rsidR="6E042B56">
        <w:rPr>
          <w:rFonts w:ascii="Aptos" w:hAnsi="Aptos"/>
        </w:rPr>
        <w:t>P</w:t>
      </w:r>
      <w:r w:rsidRPr="00BA5145" w:rsidR="00BE0A6C">
        <w:rPr>
          <w:rFonts w:ascii="Aptos" w:hAnsi="Aptos"/>
        </w:rPr>
        <w:t>rojekt</w:t>
      </w:r>
      <w:r w:rsidRPr="00BA5145" w:rsidR="00074087">
        <w:rPr>
          <w:rFonts w:ascii="Aptos" w:hAnsi="Aptos"/>
        </w:rPr>
        <w:t>a</w:t>
      </w:r>
      <w:r w:rsidRPr="00BA5145" w:rsidR="00BE0A6C">
        <w:rPr>
          <w:rFonts w:ascii="Aptos" w:hAnsi="Aptos"/>
        </w:rPr>
        <w:t xml:space="preserve"> ietvaros Iepirkumu uzraudzības biroja (turpmāk - IUB) tīmekļvietnē un Elektronisko iepirkumu sistēmā (turpmāk</w:t>
      </w:r>
      <w:r w:rsidRPr="00BA5145" w:rsidR="00130087">
        <w:rPr>
          <w:rFonts w:ascii="Aptos" w:hAnsi="Aptos"/>
        </w:rPr>
        <w:t xml:space="preserve"> </w:t>
      </w:r>
      <w:r w:rsidRPr="00BA5145" w:rsidR="00BE0A6C">
        <w:rPr>
          <w:rFonts w:ascii="Aptos" w:hAnsi="Aptos"/>
        </w:rPr>
        <w:t xml:space="preserve">- EIS) </w:t>
      </w:r>
      <w:r w:rsidRPr="00BA5145" w:rsidR="003C7CC2">
        <w:rPr>
          <w:rFonts w:ascii="Aptos" w:hAnsi="Aptos"/>
        </w:rPr>
        <w:t xml:space="preserve">Publisko iepirkumu likuma (turpmāk – PIL) 9.panta noteiktajā kārtībā </w:t>
      </w:r>
      <w:r w:rsidRPr="00BA5145" w:rsidR="00BE0A6C">
        <w:rPr>
          <w:rFonts w:ascii="Aptos" w:hAnsi="Aptos"/>
        </w:rPr>
        <w:t xml:space="preserve">izsludināja </w:t>
      </w:r>
      <w:r w:rsidRPr="00BA5145" w:rsidR="003C7CC2">
        <w:rPr>
          <w:rFonts w:ascii="Aptos" w:hAnsi="Aptos"/>
        </w:rPr>
        <w:t xml:space="preserve">iepirkumu (turpmāk – Iepirkums). </w:t>
      </w:r>
      <w:r w:rsidRPr="00BA5145" w:rsidR="004C2F24">
        <w:rPr>
          <w:rFonts w:ascii="Aptos" w:hAnsi="Aptos"/>
        </w:rPr>
        <w:t>Iepirkum</w:t>
      </w:r>
      <w:r w:rsidRPr="00BA5145" w:rsidR="003C7CC2">
        <w:rPr>
          <w:rFonts w:ascii="Aptos" w:hAnsi="Aptos"/>
        </w:rPr>
        <w:t>ā piedāvājumus iesniedza divi pretendenti, p</w:t>
      </w:r>
      <w:r w:rsidRPr="00BA5145" w:rsidR="000A234A">
        <w:rPr>
          <w:rFonts w:ascii="Aptos" w:hAnsi="Aptos"/>
        </w:rPr>
        <w:t>ar prasībām atbilstoš</w:t>
      </w:r>
      <w:r w:rsidRPr="00BA5145" w:rsidR="007E42DB">
        <w:rPr>
          <w:rFonts w:ascii="Aptos" w:hAnsi="Aptos"/>
        </w:rPr>
        <w:t xml:space="preserve">iem </w:t>
      </w:r>
      <w:r w:rsidRPr="00BA5145" w:rsidR="000A234A">
        <w:rPr>
          <w:rFonts w:ascii="Aptos" w:hAnsi="Aptos"/>
        </w:rPr>
        <w:t xml:space="preserve">tika atzīti </w:t>
      </w:r>
      <w:r w:rsidRPr="00BA5145" w:rsidR="003C7CC2">
        <w:rPr>
          <w:rFonts w:ascii="Aptos" w:hAnsi="Aptos"/>
        </w:rPr>
        <w:t>abu pretendentu</w:t>
      </w:r>
      <w:r w:rsidRPr="00BA5145" w:rsidR="000A234A">
        <w:rPr>
          <w:rFonts w:ascii="Aptos" w:hAnsi="Aptos"/>
        </w:rPr>
        <w:t xml:space="preserve"> piedāvājumi</w:t>
      </w:r>
      <w:r w:rsidRPr="00BA5145" w:rsidR="000A234A">
        <w:rPr>
          <w:rFonts w:ascii="Aptos" w:hAnsi="Aptos"/>
          <w:shd w:val="clear" w:color="auto" w:fill="FFFFFF"/>
        </w:rPr>
        <w:t xml:space="preserve">. </w:t>
      </w:r>
      <w:r w:rsidRPr="00BA5145" w:rsidR="000A234A">
        <w:rPr>
          <w:rFonts w:ascii="Aptos" w:hAnsi="Aptos"/>
        </w:rPr>
        <w:t xml:space="preserve">Iepirkuma rezultātā Finansējuma saņēmējs un </w:t>
      </w:r>
      <w:r w:rsidRPr="00BA5145" w:rsidR="003C7CC2">
        <w:rPr>
          <w:rFonts w:ascii="Aptos" w:hAnsi="Aptos"/>
        </w:rPr>
        <w:t>SIA</w:t>
      </w:r>
      <w:r w:rsidRPr="00BA5145" w:rsidR="55E4221E">
        <w:rPr>
          <w:rFonts w:ascii="Aptos" w:hAnsi="Aptos"/>
        </w:rPr>
        <w:t xml:space="preserve"> </w:t>
      </w:r>
      <w:r w:rsidR="007C44C1">
        <w:rPr>
          <w:rFonts w:ascii="Aptos" w:hAnsi="Aptos"/>
        </w:rPr>
        <w:t xml:space="preserve">(..) </w:t>
      </w:r>
      <w:r w:rsidRPr="00BA5145" w:rsidR="003C7CC2">
        <w:rPr>
          <w:rFonts w:ascii="Aptos" w:hAnsi="Aptos"/>
        </w:rPr>
        <w:t>noslēdza līgumu (turpmāk – Līgums</w:t>
      </w:r>
      <w:r w:rsidR="00A5733D">
        <w:rPr>
          <w:rFonts w:ascii="Aptos" w:hAnsi="Aptos"/>
        </w:rPr>
        <w:t>)</w:t>
      </w:r>
      <w:r w:rsidRPr="00BA5145" w:rsidR="00686514">
        <w:rPr>
          <w:rFonts w:ascii="Aptos" w:hAnsi="Aptos"/>
        </w:rPr>
        <w:t xml:space="preserve">. </w:t>
      </w:r>
    </w:p>
    <w:p w:rsidRPr="00BA5145" w:rsidR="00BE0A6C" w:rsidP="00FD1552" w:rsidRDefault="00BE0A6C" w14:paraId="6FDA304D" w14:textId="56E235D4">
      <w:pPr>
        <w:spacing w:before="120"/>
        <w:ind w:firstLine="720"/>
        <w:jc w:val="both"/>
        <w:rPr>
          <w:rFonts w:ascii="Aptos" w:hAnsi="Aptos"/>
        </w:rPr>
      </w:pPr>
      <w:r w:rsidRPr="00BA5145">
        <w:rPr>
          <w:rFonts w:ascii="Aptos" w:hAnsi="Aptos"/>
        </w:rPr>
        <w:t xml:space="preserve">Veicot </w:t>
      </w:r>
      <w:r w:rsidRPr="00BA5145" w:rsidR="00485063">
        <w:rPr>
          <w:rFonts w:ascii="Aptos" w:hAnsi="Aptos"/>
        </w:rPr>
        <w:t>I</w:t>
      </w:r>
      <w:r w:rsidRPr="00BA5145">
        <w:rPr>
          <w:rFonts w:ascii="Aptos" w:hAnsi="Aptos"/>
        </w:rPr>
        <w:t xml:space="preserve">epirkuma pārbaudi, Centrālā finanšu un līgumu aģentūra (turpmāk – Aģentūra), </w:t>
      </w:r>
      <w:bookmarkStart w:name="_Hlk140652867" w:id="0"/>
      <w:r w:rsidRPr="00BA5145">
        <w:rPr>
          <w:rFonts w:ascii="Aptos" w:hAnsi="Aptos"/>
        </w:rPr>
        <w:t>konstatēja turpmāk minēto</w:t>
      </w:r>
      <w:bookmarkEnd w:id="0"/>
      <w:r w:rsidRPr="00BA5145">
        <w:rPr>
          <w:rFonts w:ascii="Aptos" w:hAnsi="Aptos"/>
        </w:rPr>
        <w:t>.</w:t>
      </w:r>
    </w:p>
    <w:p w:rsidRPr="00BA5145" w:rsidR="003929BD" w:rsidP="00524817" w:rsidRDefault="003929BD" w14:paraId="4F92542E" w14:textId="146103EF">
      <w:pPr>
        <w:pStyle w:val="PlainText"/>
        <w:numPr>
          <w:ilvl w:val="0"/>
          <w:numId w:val="15"/>
        </w:numPr>
        <w:spacing w:before="120"/>
        <w:ind w:left="0" w:firstLine="720"/>
        <w:jc w:val="both"/>
        <w:rPr>
          <w:rFonts w:ascii="Aptos" w:hAnsi="Aptos" w:cs="Times New Roman"/>
          <w:sz w:val="24"/>
          <w:szCs w:val="24"/>
        </w:rPr>
      </w:pPr>
      <w:r w:rsidRPr="00BA5145">
        <w:rPr>
          <w:rFonts w:ascii="Aptos" w:hAnsi="Aptos" w:cs="Times New Roman"/>
          <w:sz w:val="24"/>
          <w:szCs w:val="24"/>
        </w:rPr>
        <w:t xml:space="preserve">Iepirkuma nolikuma </w:t>
      </w:r>
      <w:r w:rsidRPr="00BA5145" w:rsidR="00686514">
        <w:rPr>
          <w:rFonts w:ascii="Aptos" w:hAnsi="Aptos" w:cs="Times New Roman"/>
          <w:sz w:val="24"/>
          <w:szCs w:val="24"/>
        </w:rPr>
        <w:t xml:space="preserve">1.2.2. </w:t>
      </w:r>
      <w:r w:rsidRPr="00BA5145">
        <w:rPr>
          <w:rFonts w:ascii="Aptos" w:hAnsi="Aptos" w:cs="Times New Roman"/>
          <w:sz w:val="24"/>
          <w:szCs w:val="24"/>
        </w:rPr>
        <w:t>apakšpunktā noteikts, ka</w:t>
      </w:r>
      <w:r w:rsidRPr="00BA5145" w:rsidR="00B3617B">
        <w:rPr>
          <w:rFonts w:ascii="Aptos" w:hAnsi="Aptos" w:cs="Times New Roman"/>
          <w:sz w:val="24"/>
          <w:szCs w:val="24"/>
        </w:rPr>
        <w:t>:</w:t>
      </w:r>
      <w:r w:rsidRPr="00BA5145">
        <w:rPr>
          <w:rFonts w:ascii="Aptos" w:hAnsi="Aptos" w:cs="Times New Roman"/>
          <w:sz w:val="24"/>
          <w:szCs w:val="24"/>
        </w:rPr>
        <w:t xml:space="preserve"> “</w:t>
      </w:r>
      <w:r w:rsidRPr="00BA5145" w:rsidR="00686514">
        <w:rPr>
          <w:rFonts w:ascii="Aptos" w:hAnsi="Aptos" w:cs="Times New Roman"/>
          <w:i/>
          <w:iCs/>
          <w:sz w:val="24"/>
          <w:szCs w:val="24"/>
        </w:rPr>
        <w:t>Pretendents Iepirkuma priekšmeta ietvaros veic projektēšanas darbus un būvdarbus ar iebūvējamo mēbeļu un tehnikas piegādi, uzstādīšanu un montāžu objektā, saskaņā ar “Tehnisko specifikāciju/Darba uzdevumu” (1.Pielikums) un Finanšu pielikumu (3.Pielikums) un finanšu pielikuma pielikumu (tāme) (3.1.pielikums)</w:t>
      </w:r>
      <w:r w:rsidRPr="00BA5145">
        <w:rPr>
          <w:rFonts w:ascii="Aptos" w:hAnsi="Aptos" w:cs="Times New Roman"/>
          <w:sz w:val="24"/>
          <w:szCs w:val="24"/>
        </w:rPr>
        <w:t>”.</w:t>
      </w:r>
    </w:p>
    <w:p w:rsidRPr="00BA5145" w:rsidR="00B3617B" w:rsidP="00FD1552" w:rsidRDefault="00B3617B" w14:paraId="196313F2" w14:textId="0CC5EAA2">
      <w:pPr>
        <w:pStyle w:val="PlainText"/>
        <w:spacing w:before="120"/>
        <w:ind w:firstLine="720"/>
        <w:jc w:val="both"/>
        <w:rPr>
          <w:rFonts w:ascii="Aptos" w:hAnsi="Aptos" w:cs="Times New Roman"/>
          <w:sz w:val="24"/>
          <w:szCs w:val="24"/>
        </w:rPr>
      </w:pPr>
      <w:r w:rsidRPr="00BA5145">
        <w:rPr>
          <w:rFonts w:ascii="Aptos" w:hAnsi="Aptos" w:cs="Times New Roman"/>
          <w:sz w:val="24"/>
          <w:szCs w:val="24"/>
        </w:rPr>
        <w:t>Iepirkuma nolikuma 4.1.3.1. apakšpunktā noteikts, k</w:t>
      </w:r>
      <w:r w:rsidRPr="00BA5145" w:rsidR="00544C40">
        <w:rPr>
          <w:rFonts w:ascii="Aptos" w:hAnsi="Aptos" w:cs="Times New Roman"/>
          <w:sz w:val="24"/>
          <w:szCs w:val="24"/>
        </w:rPr>
        <w:t>a</w:t>
      </w:r>
      <w:r w:rsidRPr="00BA5145">
        <w:rPr>
          <w:rFonts w:ascii="Aptos" w:hAnsi="Aptos" w:cs="Times New Roman"/>
          <w:sz w:val="24"/>
          <w:szCs w:val="24"/>
        </w:rPr>
        <w:t xml:space="preserve">: </w:t>
      </w:r>
      <w:r w:rsidRPr="00BA5145">
        <w:rPr>
          <w:rFonts w:ascii="Aptos" w:hAnsi="Aptos" w:cs="Times New Roman"/>
          <w:i/>
          <w:iCs/>
          <w:sz w:val="24"/>
          <w:szCs w:val="24"/>
        </w:rPr>
        <w:t>“[..] Iepirkuma komisija vērtē vai pretendentu finanšu piedāvājumi atbilst Nolikumā noteiktajām prasībām un veidlapām. [..] Ja finanšu piedāvājums neatbilst Nolikumā noteiktajām prasībām un veidlapai, iepirkuma komisija izslēdz pretendentu no turpmākas dalības iepirkumā un tā piedāvājumu tālāk nevērtē”.</w:t>
      </w:r>
    </w:p>
    <w:p w:rsidRPr="00BA5145" w:rsidR="00686514" w:rsidP="00FD1552" w:rsidRDefault="00686514" w14:paraId="5D40FFD0" w14:textId="15131D10">
      <w:pPr>
        <w:widowControl w:val="0"/>
        <w:spacing w:before="120"/>
        <w:ind w:firstLine="720"/>
        <w:jc w:val="both"/>
        <w:rPr>
          <w:rFonts w:ascii="Aptos" w:hAnsi="Aptos"/>
          <w:bCs/>
          <w:lang w:eastAsia="en-US"/>
        </w:rPr>
      </w:pPr>
      <w:r w:rsidRPr="00BA5145">
        <w:rPr>
          <w:rFonts w:ascii="Aptos" w:hAnsi="Aptos"/>
          <w:bCs/>
          <w:lang w:eastAsia="en-US"/>
        </w:rPr>
        <w:t xml:space="preserve">No iesniegtās piedāvājumu vērtēšanas dokumentācijas secināms, ka </w:t>
      </w:r>
      <w:r w:rsidRPr="00BA5145" w:rsidR="00100A49">
        <w:rPr>
          <w:rFonts w:ascii="Aptos" w:hAnsi="Aptos"/>
          <w:bCs/>
          <w:lang w:eastAsia="en-US"/>
        </w:rPr>
        <w:t>I</w:t>
      </w:r>
      <w:r w:rsidRPr="00BA5145">
        <w:rPr>
          <w:rFonts w:ascii="Aptos" w:hAnsi="Aptos"/>
          <w:bCs/>
          <w:lang w:eastAsia="en-US"/>
        </w:rPr>
        <w:t xml:space="preserve">epirkumu komisija ir nolēmusi pieprasīt iesniegt pretendentam </w:t>
      </w:r>
      <w:r w:rsidRPr="00BA5145" w:rsidR="00B1281F">
        <w:rPr>
          <w:rFonts w:ascii="Aptos" w:hAnsi="Aptos"/>
        </w:rPr>
        <w:t>SIA</w:t>
      </w:r>
      <w:r w:rsidR="00B1281F">
        <w:rPr>
          <w:rFonts w:ascii="Aptos" w:hAnsi="Aptos"/>
        </w:rPr>
        <w:t xml:space="preserve">(..) </w:t>
      </w:r>
      <w:r w:rsidRPr="00BA5145">
        <w:rPr>
          <w:rFonts w:ascii="Aptos" w:hAnsi="Aptos"/>
          <w:bCs/>
          <w:lang w:eastAsia="en-US"/>
        </w:rPr>
        <w:t xml:space="preserve">finanšu piedāvājuma pielikumus (tāmes), kuras netika iesniegtas kopā ar piedāvājumu EIS e-konkursu apakšsistēmā. </w:t>
      </w:r>
      <w:r w:rsidRPr="00BA5145" w:rsidR="000A50AA">
        <w:rPr>
          <w:rFonts w:ascii="Aptos" w:hAnsi="Aptos"/>
          <w:bCs/>
          <w:lang w:eastAsia="en-US"/>
        </w:rPr>
        <w:t xml:space="preserve">Saskaņā ar </w:t>
      </w:r>
      <w:r w:rsidRPr="00BA5145">
        <w:rPr>
          <w:rFonts w:ascii="Aptos" w:hAnsi="Aptos"/>
          <w:bCs/>
          <w:lang w:eastAsia="en-US"/>
        </w:rPr>
        <w:t xml:space="preserve">PIL 41. panta sestajā daļā </w:t>
      </w:r>
      <w:r w:rsidRPr="00BA5145" w:rsidR="000A50AA">
        <w:rPr>
          <w:rFonts w:ascii="Aptos" w:hAnsi="Aptos"/>
          <w:bCs/>
          <w:lang w:eastAsia="en-US"/>
        </w:rPr>
        <w:t>noteikto</w:t>
      </w:r>
      <w:r w:rsidRPr="00BA5145">
        <w:rPr>
          <w:rFonts w:ascii="Aptos" w:hAnsi="Aptos"/>
          <w:bCs/>
          <w:lang w:eastAsia="en-US"/>
        </w:rPr>
        <w:t xml:space="preserve">: </w:t>
      </w:r>
      <w:r w:rsidRPr="00BA5145">
        <w:rPr>
          <w:rFonts w:ascii="Aptos" w:hAnsi="Aptos"/>
          <w:bCs/>
          <w:i/>
          <w:iCs/>
          <w:lang w:eastAsia="en-US"/>
        </w:rPr>
        <w:t xml:space="preserve">“Ja pasūtītājs konstatē, ka pieteikumā vai piedāvājumā ietvertā vai kandidāta vai pretendenta iesniegtā informācija vai dokuments ir neskaidrs vai nepilnīgs, tas pieprasa, lai kandidāts vai pretendents, vai kompetenta institūcija izskaidro vai papildina minēto informāciju vai dokumentu vai iesniedz trūkstošo dokumentu, nodrošinot vienlīdzīgu attieksmi pret visiem kandidātiem un pretendentiem.” </w:t>
      </w:r>
      <w:r w:rsidRPr="00BA5145">
        <w:rPr>
          <w:rFonts w:ascii="Aptos" w:hAnsi="Aptos"/>
          <w:bCs/>
          <w:lang w:eastAsia="en-US"/>
        </w:rPr>
        <w:t>Atbilstoši Senāta spriedumā lietā Nr. SKA-176/2021 ietvertajai atziņai</w:t>
      </w:r>
      <w:r w:rsidRPr="00BA5145" w:rsidR="004E2915">
        <w:rPr>
          <w:rFonts w:ascii="Aptos" w:hAnsi="Aptos"/>
          <w:bCs/>
          <w:lang w:eastAsia="en-US"/>
        </w:rPr>
        <w:t>,</w:t>
      </w:r>
      <w:r w:rsidRPr="00BA5145" w:rsidR="4E1CAF58">
        <w:rPr>
          <w:rFonts w:ascii="Aptos" w:hAnsi="Aptos"/>
          <w:lang w:eastAsia="en-US"/>
        </w:rPr>
        <w:t xml:space="preserve"> </w:t>
      </w:r>
      <w:r w:rsidRPr="00BA5145">
        <w:rPr>
          <w:rFonts w:ascii="Aptos" w:hAnsi="Aptos"/>
          <w:bCs/>
          <w:lang w:eastAsia="en-US"/>
        </w:rPr>
        <w:t xml:space="preserve"> informāciju par kandidāta vai pretendenta atbilstību izvirzītajām kvalifikācijas prasībām var papildināt, savukārt tehniskajā un finanšu piedāvājumā ietverto informāciju nevar papildināt. Ņemot vērā to, ka pretendents </w:t>
      </w:r>
      <w:r w:rsidRPr="00BA5145" w:rsidR="0081594E">
        <w:rPr>
          <w:rFonts w:ascii="Aptos" w:hAnsi="Aptos"/>
        </w:rPr>
        <w:t>SIA</w:t>
      </w:r>
      <w:r w:rsidR="0081594E">
        <w:rPr>
          <w:rFonts w:ascii="Aptos" w:hAnsi="Aptos"/>
        </w:rPr>
        <w:t xml:space="preserve">(..) </w:t>
      </w:r>
      <w:r w:rsidRPr="00BA5145">
        <w:rPr>
          <w:rFonts w:ascii="Aptos" w:hAnsi="Aptos"/>
          <w:bCs/>
          <w:lang w:eastAsia="en-US"/>
        </w:rPr>
        <w:t>savā sākotnējā piedāvājumā nebija iekļāvis finanšu piedāvājuma pielikumus (tāmes), Aģentūra lūdza Finansējuma saņēmēju sniegt skaidrojumu par minēto.</w:t>
      </w:r>
    </w:p>
    <w:p w:rsidRPr="00BA5145" w:rsidR="005F33B1" w:rsidP="00FD1552" w:rsidRDefault="005F33B1" w14:paraId="164778D5" w14:textId="5EDBA6C1">
      <w:pPr>
        <w:widowControl w:val="0"/>
        <w:spacing w:before="120"/>
        <w:ind w:firstLine="720"/>
        <w:jc w:val="both"/>
        <w:rPr>
          <w:rFonts w:ascii="Aptos" w:hAnsi="Aptos"/>
          <w:bCs/>
          <w:i/>
          <w:iCs/>
          <w:lang w:eastAsia="en-US"/>
        </w:rPr>
      </w:pPr>
      <w:r w:rsidRPr="00BA5145">
        <w:rPr>
          <w:rFonts w:ascii="Aptos" w:hAnsi="Aptos"/>
          <w:bCs/>
          <w:lang w:eastAsia="en-US"/>
        </w:rPr>
        <w:t xml:space="preserve">Finansējuma saņēmējs savā skaidrojumā </w:t>
      </w:r>
      <w:r w:rsidRPr="00BA5145" w:rsidR="004E2915">
        <w:rPr>
          <w:rFonts w:ascii="Aptos" w:hAnsi="Aptos"/>
          <w:bCs/>
          <w:lang w:eastAsia="en-US"/>
        </w:rPr>
        <w:t>norāda</w:t>
      </w:r>
      <w:r w:rsidRPr="00BA5145">
        <w:rPr>
          <w:rFonts w:ascii="Aptos" w:hAnsi="Aptos"/>
          <w:bCs/>
          <w:lang w:eastAsia="en-US"/>
        </w:rPr>
        <w:t>: “</w:t>
      </w:r>
      <w:r w:rsidRPr="00BA5145">
        <w:rPr>
          <w:rFonts w:ascii="Aptos" w:hAnsi="Aptos"/>
          <w:bCs/>
          <w:i/>
          <w:iCs/>
          <w:lang w:eastAsia="en-US"/>
        </w:rPr>
        <w:t xml:space="preserve">Šāda </w:t>
      </w:r>
      <w:r w:rsidRPr="00BA5145" w:rsidR="009F3B89">
        <w:rPr>
          <w:rFonts w:ascii="Aptos" w:hAnsi="Aptos"/>
          <w:bCs/>
          <w:i/>
          <w:iCs/>
          <w:lang w:eastAsia="en-US"/>
        </w:rPr>
        <w:t>I</w:t>
      </w:r>
      <w:r w:rsidRPr="00BA5145">
        <w:rPr>
          <w:rFonts w:ascii="Aptos" w:hAnsi="Aptos"/>
          <w:bCs/>
          <w:i/>
          <w:iCs/>
          <w:lang w:eastAsia="en-US"/>
        </w:rPr>
        <w:t xml:space="preserve">epirkumu komisijas rīcība nav pretrunā ar PIL 41. panta sestajā daļā ietvertajiem piedāvājumu vērtēšanas principiem, jo PIL 41.panta sestās daļas regulējums ir attiecināms uz piedāvājumā ietverto pretendenta iesniegto informāciju vai dokumentu. Pasūtītāja tiesības pieprasīt, lai tiek izskaidrota tehniskajā un finanšu piedāvājumā iekļautā informācija regulē PIL 41. panta astotā daļa. Ņemot vērā, ka pretendents tika iesniedzis Finanšu piedāvājumu, kurā ir norādīts Finanšu piedāvājuma (tāmju) kopsavilkums un ir norādīta piedāvātā līgumcena, Pasūtītāja </w:t>
      </w:r>
      <w:r w:rsidRPr="00BA5145" w:rsidR="009F3B89">
        <w:rPr>
          <w:rFonts w:ascii="Aptos" w:hAnsi="Aptos"/>
          <w:bCs/>
          <w:i/>
          <w:iCs/>
          <w:lang w:eastAsia="en-US"/>
        </w:rPr>
        <w:t>I</w:t>
      </w:r>
      <w:r w:rsidRPr="00BA5145">
        <w:rPr>
          <w:rFonts w:ascii="Aptos" w:hAnsi="Aptos"/>
          <w:bCs/>
          <w:i/>
          <w:iCs/>
          <w:lang w:eastAsia="en-US"/>
        </w:rPr>
        <w:t xml:space="preserve">epirkuma komisija nolēma lūgt pretendentu izskaidrot jau piedāvājumā esošu informāciju – iesniegt detalizētu Finanšu piedāvājuma atšifrējumu (tāmes). Attiecīgi izlemjamais jautājums ir tas, vai šajā gadījumā Finanšu piedāvājuma iesniegšana (tāmes) pēc piedāvājumu iesniegšanas termiņa beigām ir uzskatāma par piedāvājuma grozījumu. Pretendents piedāvāto līgumcenu ir norādījis Finanšu piedāvājumā, kā arī EIS e-konkursu apakšsistēmas finanšu piedāvājuma ievadlaukā. Tādējādi Pasūtītāja ieskatā </w:t>
      </w:r>
      <w:r w:rsidR="007F6FC6">
        <w:rPr>
          <w:rFonts w:ascii="Aptos" w:hAnsi="Aptos"/>
          <w:bCs/>
          <w:i/>
          <w:iCs/>
          <w:lang w:eastAsia="en-US"/>
        </w:rPr>
        <w:t>SIA</w:t>
      </w:r>
      <w:r w:rsidR="00655B86">
        <w:rPr>
          <w:rFonts w:ascii="Aptos" w:hAnsi="Aptos"/>
          <w:bCs/>
          <w:i/>
          <w:iCs/>
          <w:lang w:eastAsia="en-US"/>
        </w:rPr>
        <w:t>(..)</w:t>
      </w:r>
      <w:r w:rsidRPr="00BA5145">
        <w:rPr>
          <w:rFonts w:ascii="Aptos" w:hAnsi="Aptos"/>
          <w:bCs/>
          <w:i/>
          <w:iCs/>
          <w:lang w:eastAsia="en-US"/>
        </w:rPr>
        <w:t xml:space="preserve"> pēc Pasūtītāja lūguma iesniegtā papildus informācija nav uzskatāma par piedāvājuma </w:t>
      </w:r>
      <w:r w:rsidRPr="00BA5145">
        <w:rPr>
          <w:rFonts w:ascii="Aptos" w:hAnsi="Aptos"/>
          <w:bCs/>
          <w:i/>
          <w:iCs/>
          <w:lang w:eastAsia="en-US"/>
        </w:rPr>
        <w:lastRenderedPageBreak/>
        <w:t xml:space="preserve">grozījumu, jo nesniedz tādu saturisku informāciju, kas izmaina iesniegto piedāvājumu. Ar papildu sniegto informāciju piedāvājums netiek grozīts, bet gan esošajā situācijā tas tikai izskaidro pretendenta </w:t>
      </w:r>
      <w:r w:rsidR="00AF70EC">
        <w:rPr>
          <w:rFonts w:ascii="Aptos" w:hAnsi="Aptos"/>
          <w:bCs/>
          <w:i/>
          <w:iCs/>
          <w:lang w:eastAsia="en-US"/>
        </w:rPr>
        <w:t>SIA(..)</w:t>
      </w:r>
      <w:r w:rsidRPr="00BA5145">
        <w:rPr>
          <w:rFonts w:ascii="Aptos" w:hAnsi="Aptos"/>
          <w:bCs/>
          <w:i/>
          <w:iCs/>
          <w:lang w:eastAsia="en-US"/>
        </w:rPr>
        <w:t xml:space="preserve"> līgumcenu, kas no iesniegtā piedāvājuma jau izriet.”</w:t>
      </w:r>
    </w:p>
    <w:p w:rsidRPr="00BA5145" w:rsidR="00E2710A" w:rsidP="00FD1552" w:rsidRDefault="000D0EF2" w14:paraId="1EEDD59C" w14:textId="2FC82C4D">
      <w:pPr>
        <w:widowControl w:val="0"/>
        <w:spacing w:before="120"/>
        <w:ind w:firstLine="720"/>
        <w:jc w:val="both"/>
        <w:rPr>
          <w:rFonts w:ascii="Aptos" w:hAnsi="Aptos"/>
          <w:bCs/>
          <w:lang w:eastAsia="en-US"/>
        </w:rPr>
      </w:pPr>
      <w:r w:rsidRPr="00BA5145">
        <w:rPr>
          <w:rFonts w:ascii="Aptos" w:hAnsi="Aptos"/>
          <w:bCs/>
          <w:lang w:eastAsia="en-US"/>
        </w:rPr>
        <w:t>Izvērtējot Finansējuma saņēmēja</w:t>
      </w:r>
      <w:r w:rsidRPr="00BA5145" w:rsidR="003F64C3">
        <w:rPr>
          <w:rFonts w:ascii="Aptos" w:hAnsi="Aptos"/>
          <w:bCs/>
          <w:lang w:eastAsia="en-US"/>
        </w:rPr>
        <w:t xml:space="preserve"> skaidrojumu, Aģentūra norāda, ka saskaņā ar  PIL 41. panta </w:t>
      </w:r>
      <w:r w:rsidRPr="00BA5145" w:rsidR="00A764AE">
        <w:rPr>
          <w:rFonts w:ascii="Aptos" w:hAnsi="Aptos"/>
          <w:bCs/>
          <w:lang w:eastAsia="en-US"/>
        </w:rPr>
        <w:t xml:space="preserve">astoto daļu, piedāvājuma vērtēšanas gaitā pasūtītājs ir tiesīgs pieprasīt, lai tiek izskaidrota tehniskajā un finanšu piedāvājumā iekļautā informācija. </w:t>
      </w:r>
      <w:r w:rsidRPr="00BA5145" w:rsidR="00167732">
        <w:rPr>
          <w:rFonts w:ascii="Aptos" w:hAnsi="Aptos"/>
          <w:bCs/>
          <w:lang w:eastAsia="en-US"/>
        </w:rPr>
        <w:t>Minētā norma kopsakarā ar iepriekš norādītajām Senāta atziņām nozīmē, ka finanšu piedāvājumā iekļautā informācija nevar tikt papildināta, bet gan tikai izskaidrota</w:t>
      </w:r>
      <w:r w:rsidRPr="00BA5145" w:rsidR="006C0FFB">
        <w:rPr>
          <w:rFonts w:ascii="Aptos" w:hAnsi="Aptos"/>
          <w:bCs/>
          <w:lang w:eastAsia="en-US"/>
        </w:rPr>
        <w:t>, tātad ir būtiski nošķirt, vai pretendents papildina (precizē) piedāvājumā norādīto informāciju vai iesniedz pilnīgi jaunu informāciju.</w:t>
      </w:r>
    </w:p>
    <w:p w:rsidRPr="00BA5145" w:rsidR="00423D01" w:rsidP="00FD1552" w:rsidRDefault="006B18B9" w14:paraId="2BFAA059" w14:textId="500864D4">
      <w:pPr>
        <w:spacing w:before="120"/>
        <w:ind w:firstLine="567"/>
        <w:jc w:val="both"/>
        <w:rPr>
          <w:rFonts w:ascii="Aptos" w:hAnsi="Aptos"/>
          <w:bCs/>
          <w:lang w:eastAsia="en-US"/>
        </w:rPr>
      </w:pPr>
      <w:r w:rsidRPr="00BA5145">
        <w:rPr>
          <w:rFonts w:ascii="Aptos" w:hAnsi="Aptos"/>
          <w:bCs/>
          <w:lang w:eastAsia="en-US"/>
        </w:rPr>
        <w:t>Aģentūra nepiekrīt Finansējuma saņēmēja paustajam viedoklim</w:t>
      </w:r>
      <w:r w:rsidRPr="00BA5145" w:rsidR="00F37480">
        <w:rPr>
          <w:rFonts w:ascii="Aptos" w:hAnsi="Aptos"/>
          <w:bCs/>
          <w:lang w:eastAsia="en-US"/>
        </w:rPr>
        <w:t xml:space="preserve">, ka papildus iesniegtā informācija (finanšu piedāvājuma pielikumi - tāmes) uzskatāma par </w:t>
      </w:r>
      <w:r w:rsidRPr="00BA5145" w:rsidR="00CB08CA">
        <w:rPr>
          <w:rFonts w:ascii="Aptos" w:hAnsi="Aptos"/>
          <w:bCs/>
          <w:lang w:eastAsia="en-US"/>
        </w:rPr>
        <w:t>tādu informāciju, kas tikai izskaidro pretendenta līgumcenu</w:t>
      </w:r>
      <w:r w:rsidRPr="00BA5145" w:rsidR="00B72EF8">
        <w:rPr>
          <w:rFonts w:ascii="Aptos" w:hAnsi="Aptos"/>
          <w:bCs/>
          <w:lang w:eastAsia="en-US"/>
        </w:rPr>
        <w:t>. Aģentūras vērtējumā</w:t>
      </w:r>
      <w:r w:rsidRPr="00BA5145" w:rsidR="00CB08CA">
        <w:rPr>
          <w:rFonts w:ascii="Aptos" w:hAnsi="Aptos"/>
          <w:bCs/>
          <w:lang w:eastAsia="en-US"/>
        </w:rPr>
        <w:t xml:space="preserve"> no Iepirkuma nolikuma redakcijas </w:t>
      </w:r>
      <w:r w:rsidRPr="00BA5145" w:rsidR="00937559">
        <w:rPr>
          <w:rFonts w:ascii="Aptos" w:hAnsi="Aptos"/>
          <w:bCs/>
          <w:lang w:eastAsia="en-US"/>
        </w:rPr>
        <w:t xml:space="preserve">ir </w:t>
      </w:r>
      <w:r w:rsidRPr="00BA5145" w:rsidR="00CB08CA">
        <w:rPr>
          <w:rFonts w:ascii="Aptos" w:hAnsi="Aptos"/>
          <w:bCs/>
          <w:lang w:eastAsia="en-US"/>
        </w:rPr>
        <w:t xml:space="preserve">skaidri </w:t>
      </w:r>
      <w:r w:rsidRPr="00BA5145" w:rsidR="00B72EF8">
        <w:rPr>
          <w:rFonts w:ascii="Aptos" w:hAnsi="Aptos"/>
          <w:bCs/>
          <w:lang w:eastAsia="en-US"/>
        </w:rPr>
        <w:t xml:space="preserve">secināms pretendenta pienākums iesniegt finanšu piedāvājumu atbilstoši </w:t>
      </w:r>
      <w:r w:rsidRPr="00BA5145" w:rsidR="001B5305">
        <w:rPr>
          <w:rFonts w:ascii="Aptos" w:hAnsi="Aptos"/>
          <w:bCs/>
          <w:lang w:eastAsia="en-US"/>
        </w:rPr>
        <w:t>n</w:t>
      </w:r>
      <w:r w:rsidRPr="00BA5145" w:rsidR="00B72EF8">
        <w:rPr>
          <w:rFonts w:ascii="Aptos" w:hAnsi="Aptos"/>
          <w:bCs/>
          <w:lang w:eastAsia="en-US"/>
        </w:rPr>
        <w:t>olikumā noteiktajām prasībām un v</w:t>
      </w:r>
      <w:r w:rsidRPr="00BA5145" w:rsidR="002A6889">
        <w:rPr>
          <w:rFonts w:ascii="Aptos" w:hAnsi="Aptos"/>
          <w:bCs/>
          <w:lang w:eastAsia="en-US"/>
        </w:rPr>
        <w:t>ei</w:t>
      </w:r>
      <w:r w:rsidRPr="00BA5145" w:rsidR="00B72EF8">
        <w:rPr>
          <w:rFonts w:ascii="Aptos" w:hAnsi="Aptos"/>
          <w:bCs/>
          <w:lang w:eastAsia="en-US"/>
        </w:rPr>
        <w:t xml:space="preserve">dlapām, un, gadījumā, ja </w:t>
      </w:r>
      <w:r w:rsidRPr="00BA5145" w:rsidR="001B5305">
        <w:rPr>
          <w:rFonts w:ascii="Aptos" w:hAnsi="Aptos"/>
          <w:bCs/>
          <w:lang w:eastAsia="en-US"/>
        </w:rPr>
        <w:t xml:space="preserve">pretendents nenodrošina minētās dokumentācijas iesniegšanu, </w:t>
      </w:r>
      <w:r w:rsidRPr="00BA5145" w:rsidR="463687FB">
        <w:rPr>
          <w:rFonts w:ascii="Aptos" w:hAnsi="Aptos"/>
          <w:lang w:eastAsia="en-US"/>
        </w:rPr>
        <w:t>I</w:t>
      </w:r>
      <w:r w:rsidRPr="00BA5145" w:rsidR="001B5305">
        <w:rPr>
          <w:rFonts w:ascii="Aptos" w:hAnsi="Aptos"/>
          <w:lang w:eastAsia="en-US"/>
        </w:rPr>
        <w:t>epirkum</w:t>
      </w:r>
      <w:r w:rsidRPr="00BA5145" w:rsidR="712E7C4F">
        <w:rPr>
          <w:rFonts w:ascii="Aptos" w:hAnsi="Aptos"/>
          <w:lang w:eastAsia="en-US"/>
        </w:rPr>
        <w:t>a</w:t>
      </w:r>
      <w:r w:rsidRPr="00BA5145" w:rsidR="001B5305">
        <w:rPr>
          <w:rFonts w:ascii="Aptos" w:hAnsi="Aptos"/>
          <w:bCs/>
          <w:lang w:eastAsia="en-US"/>
        </w:rPr>
        <w:t xml:space="preserve"> komisija izslēdz pretendentu no turpmākās dalības Iepirkumā </w:t>
      </w:r>
      <w:r w:rsidRPr="00BA5145" w:rsidR="00423D01">
        <w:rPr>
          <w:rFonts w:ascii="Aptos" w:hAnsi="Aptos"/>
          <w:bCs/>
          <w:lang w:eastAsia="en-US"/>
        </w:rPr>
        <w:t xml:space="preserve">saskaņā ar </w:t>
      </w:r>
      <w:r w:rsidRPr="00BA5145" w:rsidR="001B5305">
        <w:rPr>
          <w:rFonts w:ascii="Aptos" w:hAnsi="Aptos"/>
          <w:bCs/>
          <w:lang w:eastAsia="en-US"/>
        </w:rPr>
        <w:t xml:space="preserve">Iepirkuma nolikuma 4.1.3.1. apakšpunktā </w:t>
      </w:r>
      <w:r w:rsidRPr="00BA5145" w:rsidR="7A181E1D">
        <w:rPr>
          <w:rFonts w:ascii="Aptos" w:hAnsi="Aptos"/>
          <w:lang w:eastAsia="en-US"/>
        </w:rPr>
        <w:t>noteikto</w:t>
      </w:r>
      <w:r w:rsidRPr="00BA5145" w:rsidR="001B5305">
        <w:rPr>
          <w:rFonts w:ascii="Aptos" w:hAnsi="Aptos"/>
          <w:bCs/>
          <w:lang w:eastAsia="en-US"/>
        </w:rPr>
        <w:t>.</w:t>
      </w:r>
      <w:r w:rsidRPr="00BA5145" w:rsidR="00E61AB0">
        <w:rPr>
          <w:rFonts w:ascii="Aptos" w:hAnsi="Aptos"/>
          <w:bCs/>
          <w:lang w:eastAsia="en-US"/>
        </w:rPr>
        <w:t xml:space="preserve"> </w:t>
      </w:r>
    </w:p>
    <w:p w:rsidRPr="00BA5145" w:rsidR="00D1456C" w:rsidP="00FD1552" w:rsidRDefault="00FC586D" w14:paraId="16E67CA3" w14:textId="39A27DD4">
      <w:pPr>
        <w:spacing w:before="120"/>
        <w:ind w:firstLine="567"/>
        <w:jc w:val="both"/>
        <w:rPr>
          <w:rFonts w:ascii="Aptos" w:hAnsi="Aptos" w:eastAsia="Calibri"/>
        </w:rPr>
      </w:pPr>
      <w:r w:rsidRPr="00BA5145">
        <w:rPr>
          <w:rFonts w:ascii="Aptos" w:hAnsi="Aptos" w:eastAsia="Calibri"/>
        </w:rPr>
        <w:t>Par iepriekš minēto atkāpi</w:t>
      </w:r>
      <w:r w:rsidRPr="00BA5145" w:rsidR="009C6480">
        <w:rPr>
          <w:rFonts w:ascii="Aptos" w:hAnsi="Aptos" w:eastAsia="Calibri"/>
        </w:rPr>
        <w:t xml:space="preserve"> </w:t>
      </w:r>
      <w:r w:rsidRPr="00BA5145" w:rsidR="009C7987">
        <w:rPr>
          <w:rFonts w:ascii="Aptos" w:hAnsi="Aptos" w:eastAsia="Calibri"/>
        </w:rPr>
        <w:t xml:space="preserve">Aģentūra ir </w:t>
      </w:r>
      <w:r w:rsidRPr="00BA5145" w:rsidR="009C6480">
        <w:rPr>
          <w:rFonts w:ascii="Aptos" w:hAnsi="Aptos" w:eastAsia="Calibri"/>
        </w:rPr>
        <w:t>konsultējusies ar</w:t>
      </w:r>
      <w:r w:rsidRPr="00BA5145" w:rsidR="009C7987">
        <w:rPr>
          <w:rFonts w:ascii="Aptos" w:hAnsi="Aptos" w:eastAsia="Calibri"/>
        </w:rPr>
        <w:t xml:space="preserve"> </w:t>
      </w:r>
      <w:r w:rsidRPr="00BA5145">
        <w:rPr>
          <w:rFonts w:ascii="Aptos" w:hAnsi="Aptos" w:eastAsia="Calibri"/>
        </w:rPr>
        <w:t>IUB</w:t>
      </w:r>
      <w:r w:rsidRPr="00BA5145" w:rsidR="34E4CF3E">
        <w:rPr>
          <w:rFonts w:ascii="Aptos" w:hAnsi="Aptos" w:eastAsia="Calibri"/>
        </w:rPr>
        <w:t>, kas</w:t>
      </w:r>
      <w:r w:rsidRPr="00BA5145" w:rsidR="005C45C9">
        <w:rPr>
          <w:rFonts w:ascii="Aptos" w:hAnsi="Aptos" w:eastAsia="Calibri"/>
        </w:rPr>
        <w:t xml:space="preserve"> </w:t>
      </w:r>
      <w:r w:rsidRPr="00BA5145" w:rsidR="005D2E80">
        <w:rPr>
          <w:rFonts w:ascii="Aptos" w:hAnsi="Aptos" w:eastAsia="Calibri"/>
        </w:rPr>
        <w:t xml:space="preserve"> savā skaidrojumā norāda, ka:</w:t>
      </w:r>
      <w:r w:rsidRPr="00BA5145" w:rsidR="009C7987">
        <w:rPr>
          <w:rFonts w:ascii="Aptos" w:hAnsi="Aptos" w:eastAsia="Calibri"/>
        </w:rPr>
        <w:t xml:space="preserve"> </w:t>
      </w:r>
      <w:r w:rsidRPr="00BA5145" w:rsidR="00100A49">
        <w:rPr>
          <w:rFonts w:ascii="Aptos" w:hAnsi="Aptos" w:eastAsia="Calibri"/>
        </w:rPr>
        <w:t>“</w:t>
      </w:r>
      <w:r w:rsidRPr="00BA5145" w:rsidR="00100A49">
        <w:rPr>
          <w:rFonts w:ascii="Aptos" w:hAnsi="Aptos" w:eastAsia="Calibri"/>
          <w:i/>
          <w:iCs/>
        </w:rPr>
        <w:t>IUB</w:t>
      </w:r>
      <w:r w:rsidRPr="00BA5145" w:rsidR="00100A49">
        <w:rPr>
          <w:rFonts w:ascii="Aptos" w:hAnsi="Aptos" w:eastAsia="Calibri"/>
        </w:rPr>
        <w:t xml:space="preserve"> </w:t>
      </w:r>
      <w:r w:rsidRPr="00BA5145" w:rsidR="0051314D">
        <w:rPr>
          <w:rFonts w:ascii="Aptos" w:hAnsi="Aptos" w:eastAsia="Calibri"/>
          <w:i/>
          <w:iCs/>
        </w:rPr>
        <w:t>nepiekrīt Finansējuma saņēmēja apgalvojumam, ka tāmes iesniegšana varētu tikt uzskatīta par piedāvājumā jau esošā finanšu piedāvājuma kopsavilkuma izskaidrošanu</w:t>
      </w:r>
      <w:r w:rsidRPr="00BA5145" w:rsidR="009C7987">
        <w:rPr>
          <w:rFonts w:ascii="Aptos" w:hAnsi="Aptos" w:eastAsia="Calibri"/>
          <w:i/>
          <w:iCs/>
        </w:rPr>
        <w:t>.</w:t>
      </w:r>
      <w:r w:rsidRPr="00BA5145" w:rsidR="00FF4A63">
        <w:rPr>
          <w:rFonts w:ascii="Aptos" w:hAnsi="Aptos"/>
        </w:rPr>
        <w:t xml:space="preserve"> </w:t>
      </w:r>
      <w:r w:rsidRPr="00BA5145" w:rsidR="00FF4A63">
        <w:rPr>
          <w:rFonts w:ascii="Aptos" w:hAnsi="Aptos" w:eastAsia="Calibri"/>
          <w:i/>
          <w:iCs/>
        </w:rPr>
        <w:t>Ja no Iepirkuma nolikuma viennozīmīgi izriet pretendenta pienākums iesniegt tādu finanšu piedāvājumu, kurā jāizceno katra pozīcija, bet pretendents iesniedza tikai vispārīgu finanšu piedāvājuma apkopojumu, Finansējuma saņēmējam vispār nebija pamats vērsties pie pretendenta ar lūgumu sniegt skaidrojumu. Pieļaujot šādu piedāvājuma papildināšanu, Finansējuma saņēmējs ir pārkāpis vienlīdzīgas attieksmes principu, jo faktiski ir pieļāvis pretendentam iesniegt pilnu finanšu piedāvājumu pēc piedāvājumu iesniegšanas termiņa beigām. Turklāt nav pamatoti norādīt, ka šāds papildinājums ir pieļaujams, jo Finansējuma saņēmējs nav atsevišķi plānojis vērtēt katru izcenoto pozīciju, jo tāds pienākums tam varēja rasties aizdomu par nepamatoti lēta piedāvājumu gadījumā, kā arī izvērtējot, vai piedāvājumā nav aritmētisku kļūdu</w:t>
      </w:r>
      <w:r w:rsidRPr="00BA5145" w:rsidR="004744D5">
        <w:rPr>
          <w:rFonts w:ascii="Aptos" w:hAnsi="Aptos" w:eastAsia="Calibri"/>
        </w:rPr>
        <w:t>”.</w:t>
      </w:r>
    </w:p>
    <w:p w:rsidRPr="00BA5145" w:rsidR="00D47096" w:rsidP="00807615" w:rsidRDefault="004744D5" w14:paraId="760F2405" w14:textId="24048C4C">
      <w:pPr>
        <w:spacing w:before="120"/>
        <w:ind w:firstLine="567"/>
        <w:jc w:val="both"/>
        <w:rPr>
          <w:rFonts w:ascii="Aptos" w:hAnsi="Aptos" w:eastAsia="Calibri"/>
        </w:rPr>
      </w:pPr>
      <w:r w:rsidRPr="00BA5145">
        <w:rPr>
          <w:rFonts w:ascii="Aptos" w:hAnsi="Aptos" w:eastAsia="Calibri"/>
        </w:rPr>
        <w:t xml:space="preserve">Ņemot vērā </w:t>
      </w:r>
      <w:r w:rsidRPr="00BA5145" w:rsidR="00807615">
        <w:rPr>
          <w:rFonts w:ascii="Aptos" w:hAnsi="Aptos" w:eastAsia="Calibri"/>
        </w:rPr>
        <w:t>iepriekš minēto, Aģentūra vērš uzmanību</w:t>
      </w:r>
      <w:r w:rsidRPr="00BA5145" w:rsidR="002F5DEB">
        <w:rPr>
          <w:rFonts w:ascii="Aptos" w:hAnsi="Aptos" w:eastAsia="Calibri"/>
        </w:rPr>
        <w:t xml:space="preserve"> </w:t>
      </w:r>
      <w:r w:rsidRPr="00BA5145" w:rsidR="7A5EB2E2">
        <w:rPr>
          <w:rFonts w:ascii="Aptos" w:hAnsi="Aptos" w:eastAsia="Calibri"/>
        </w:rPr>
        <w:t xml:space="preserve">uz </w:t>
      </w:r>
      <w:r w:rsidRPr="00BA5145" w:rsidR="002F5DEB">
        <w:rPr>
          <w:rFonts w:ascii="Aptos" w:hAnsi="Aptos" w:eastAsia="Calibri"/>
        </w:rPr>
        <w:t>PIL</w:t>
      </w:r>
      <w:r w:rsidRPr="00BA5145" w:rsidR="00D47096">
        <w:rPr>
          <w:rFonts w:ascii="Aptos" w:hAnsi="Aptos" w:eastAsia="Calibri"/>
        </w:rPr>
        <w:t xml:space="preserve"> 25.panta </w:t>
      </w:r>
      <w:r w:rsidRPr="00BA5145" w:rsidR="002F5DEB">
        <w:rPr>
          <w:rFonts w:ascii="Aptos" w:hAnsi="Aptos" w:eastAsia="Calibri"/>
        </w:rPr>
        <w:t>piektajā daļā noteikt</w:t>
      </w:r>
      <w:r w:rsidRPr="00BA5145" w:rsidR="2B6A4699">
        <w:rPr>
          <w:rFonts w:ascii="Aptos" w:hAnsi="Aptos" w:eastAsia="Calibri"/>
        </w:rPr>
        <w:t>o</w:t>
      </w:r>
      <w:r w:rsidRPr="00BA5145" w:rsidR="00807615">
        <w:rPr>
          <w:rFonts w:ascii="Aptos" w:hAnsi="Aptos" w:eastAsia="Calibri"/>
        </w:rPr>
        <w:t>:</w:t>
      </w:r>
      <w:r w:rsidRPr="00BA5145" w:rsidR="00D47096">
        <w:rPr>
          <w:rFonts w:ascii="Aptos" w:hAnsi="Aptos" w:eastAsia="Calibri"/>
        </w:rPr>
        <w:t xml:space="preserve"> “</w:t>
      </w:r>
      <w:r w:rsidRPr="00BA5145" w:rsidR="00D47096">
        <w:rPr>
          <w:rFonts w:ascii="Aptos" w:hAnsi="Aptos"/>
          <w:i/>
          <w:iCs/>
          <w:shd w:val="clear" w:color="auto" w:fill="FFFFFF"/>
        </w:rPr>
        <w:t>Iepirkuma komisija atlasa kandidātus un vērtē pretendentus un to iesniegtos piedāvājumus saskaņā ar šo likumu, iepirkuma procedūras dokumentiem, šā likuma </w:t>
      </w:r>
      <w:hyperlink w:history="1" w:anchor="p9" r:id="rId11">
        <w:r w:rsidRPr="00BA5145" w:rsidR="00D47096">
          <w:rPr>
            <w:rFonts w:ascii="Aptos" w:hAnsi="Aptos"/>
            <w:i/>
            <w:iCs/>
            <w:shd w:val="clear" w:color="auto" w:fill="FFFFFF"/>
          </w:rPr>
          <w:t>9. </w:t>
        </w:r>
      </w:hyperlink>
      <w:r w:rsidRPr="00BA5145" w:rsidR="00D47096">
        <w:rPr>
          <w:rFonts w:ascii="Aptos" w:hAnsi="Aptos"/>
          <w:i/>
          <w:iCs/>
          <w:shd w:val="clear" w:color="auto" w:fill="FFFFFF"/>
        </w:rPr>
        <w:t>un </w:t>
      </w:r>
      <w:hyperlink w:history="1" w:anchor="p10" r:id="rId12">
        <w:r w:rsidRPr="00BA5145" w:rsidR="00D47096">
          <w:rPr>
            <w:rFonts w:ascii="Aptos" w:hAnsi="Aptos"/>
            <w:i/>
            <w:iCs/>
            <w:shd w:val="clear" w:color="auto" w:fill="FFFFFF"/>
          </w:rPr>
          <w:t>10. pantā</w:t>
        </w:r>
      </w:hyperlink>
      <w:r w:rsidRPr="00BA5145" w:rsidR="00D47096">
        <w:rPr>
          <w:rFonts w:ascii="Aptos" w:hAnsi="Aptos"/>
          <w:i/>
          <w:iCs/>
          <w:shd w:val="clear" w:color="auto" w:fill="FFFFFF"/>
        </w:rPr>
        <w:t> minēto iepirkumu dokumentiem, kā arī citiem normatīvajiem aktiem</w:t>
      </w:r>
      <w:r w:rsidRPr="00BA5145" w:rsidR="00D47096">
        <w:rPr>
          <w:rFonts w:ascii="Aptos" w:hAnsi="Aptos" w:eastAsia="Calibri"/>
        </w:rPr>
        <w:t xml:space="preserve">”. </w:t>
      </w:r>
    </w:p>
    <w:p w:rsidRPr="00BA5145" w:rsidR="00D47096" w:rsidP="00FD1552" w:rsidRDefault="00807615" w14:paraId="3DE5BD3E" w14:textId="7C8F7D88">
      <w:pPr>
        <w:spacing w:before="120"/>
        <w:ind w:firstLine="567"/>
        <w:jc w:val="both"/>
        <w:rPr>
          <w:rFonts w:ascii="Aptos" w:hAnsi="Aptos" w:eastAsia="Calibri"/>
        </w:rPr>
      </w:pPr>
      <w:r w:rsidRPr="00BA5145">
        <w:rPr>
          <w:rFonts w:ascii="Aptos" w:hAnsi="Aptos" w:eastAsia="Calibri"/>
        </w:rPr>
        <w:t xml:space="preserve">Papildus </w:t>
      </w:r>
      <w:r w:rsidRPr="00BA5145" w:rsidR="00D47096">
        <w:rPr>
          <w:rFonts w:ascii="Aptos" w:hAnsi="Aptos" w:eastAsia="Calibri"/>
        </w:rPr>
        <w:t xml:space="preserve">PIL 41. panta pirmā daļa </w:t>
      </w:r>
      <w:r w:rsidRPr="00BA5145" w:rsidR="000A0D8D">
        <w:rPr>
          <w:rFonts w:ascii="Aptos" w:hAnsi="Aptos" w:eastAsia="Calibri"/>
        </w:rPr>
        <w:t>paredz</w:t>
      </w:r>
      <w:r w:rsidRPr="00BA5145" w:rsidR="00D47096">
        <w:rPr>
          <w:rFonts w:ascii="Aptos" w:hAnsi="Aptos" w:eastAsia="Calibri"/>
        </w:rPr>
        <w:t>, ka: “</w:t>
      </w:r>
      <w:r w:rsidRPr="00BA5145" w:rsidR="00D47096">
        <w:rPr>
          <w:rFonts w:ascii="Aptos" w:hAnsi="Aptos" w:eastAsia="Calibri"/>
          <w:i/>
        </w:rPr>
        <w:t>Pasūtītājs atlasa kandidātus un pretendentus saskaņā ar šā likuma 44., 45., 46., 47. un 48. pantā noteiktajām kvalifikācijas prasībām, pārbauda piedāvājumu atbilstību iepirkuma procedūras dokumentos noteiktajām prasībām un izvēlas piedāvājumu vai piedāvājumus saskaņā ar noteiktajiem piedāvājuma izvērtēšanas kritērijiem</w:t>
      </w:r>
      <w:r w:rsidRPr="00BA5145" w:rsidR="00D47096">
        <w:rPr>
          <w:rFonts w:ascii="Aptos" w:hAnsi="Aptos" w:eastAsia="Calibri"/>
        </w:rPr>
        <w:t xml:space="preserve">”. </w:t>
      </w:r>
    </w:p>
    <w:p w:rsidRPr="00BA5145" w:rsidR="0085319D" w:rsidP="00FD1552" w:rsidRDefault="0085319D" w14:paraId="0CC01362" w14:textId="5D8713AD">
      <w:pPr>
        <w:spacing w:before="120"/>
        <w:ind w:firstLine="567"/>
        <w:jc w:val="both"/>
        <w:rPr>
          <w:rFonts w:ascii="Aptos" w:hAnsi="Aptos" w:eastAsia="Calibri"/>
        </w:rPr>
      </w:pPr>
      <w:r w:rsidRPr="00BA5145">
        <w:rPr>
          <w:rFonts w:ascii="Aptos" w:hAnsi="Aptos" w:eastAsia="Calibri"/>
        </w:rPr>
        <w:t>Augstākā tiesa ir uzsvērusi</w:t>
      </w:r>
      <w:r w:rsidRPr="00BA5145" w:rsidR="00A33D31">
        <w:rPr>
          <w:rFonts w:ascii="Aptos" w:hAnsi="Aptos" w:eastAsia="Calibri"/>
        </w:rPr>
        <w:t>:</w:t>
      </w:r>
      <w:r w:rsidRPr="00BA5145">
        <w:rPr>
          <w:rFonts w:ascii="Aptos" w:hAnsi="Aptos" w:eastAsia="Calibri"/>
        </w:rPr>
        <w:t xml:space="preserve"> “</w:t>
      </w:r>
      <w:r w:rsidRPr="00BA5145" w:rsidR="00A33D31">
        <w:rPr>
          <w:rFonts w:ascii="Aptos" w:hAnsi="Aptos" w:eastAsia="Calibri"/>
          <w:i/>
        </w:rPr>
        <w:t>I</w:t>
      </w:r>
      <w:r w:rsidRPr="00BA5145">
        <w:rPr>
          <w:rFonts w:ascii="Aptos" w:hAnsi="Aptos" w:eastAsia="Calibri"/>
          <w:i/>
        </w:rPr>
        <w:t xml:space="preserve">epirkuma nolikums ir tiesību akts, uz kuru tiek balstīta turpmākā iepirkuma procedūra un kurš līdztekus normatīvajam regulējumam (un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w:t>
      </w:r>
      <w:r w:rsidRPr="00BA5145">
        <w:rPr>
          <w:rFonts w:ascii="Aptos" w:hAnsi="Aptos" w:eastAsia="Calibri"/>
          <w:i/>
        </w:rPr>
        <w:lastRenderedPageBreak/>
        <w:t>piešķiršanu”.</w:t>
      </w:r>
      <w:r w:rsidRPr="00BA5145">
        <w:rPr>
          <w:rFonts w:ascii="Aptos" w:hAnsi="Aptos" w:eastAsia="Calibri"/>
          <w:i/>
          <w:vertAlign w:val="superscript"/>
        </w:rPr>
        <w:footnoteReference w:id="1"/>
      </w:r>
      <w:r w:rsidRPr="00BA5145">
        <w:rPr>
          <w:rFonts w:ascii="Aptos" w:hAnsi="Aptos" w:eastAsia="Calibri"/>
          <w:i/>
        </w:rPr>
        <w:t xml:space="preserve"> </w:t>
      </w:r>
      <w:r w:rsidRPr="00BA5145">
        <w:rPr>
          <w:rFonts w:ascii="Aptos" w:hAnsi="Aptos" w:eastAsia="Calibri"/>
          <w:iCs/>
        </w:rPr>
        <w:t>Tāpat Augstākā tiesa ir secinājusi, ka</w:t>
      </w:r>
      <w:r w:rsidRPr="00BA5145" w:rsidR="006A3F33">
        <w:rPr>
          <w:rFonts w:ascii="Aptos" w:hAnsi="Aptos" w:eastAsia="Calibri"/>
          <w:iCs/>
        </w:rPr>
        <w:t>:</w:t>
      </w:r>
      <w:r w:rsidRPr="00BA5145">
        <w:rPr>
          <w:rFonts w:ascii="Aptos" w:hAnsi="Aptos" w:eastAsia="Calibri"/>
          <w:iCs/>
        </w:rPr>
        <w:t xml:space="preserve"> </w:t>
      </w:r>
      <w:r w:rsidRPr="00BA5145">
        <w:rPr>
          <w:rFonts w:ascii="Aptos" w:hAnsi="Aptos" w:eastAsia="Calibri"/>
          <w:i/>
        </w:rPr>
        <w:t>“</w:t>
      </w:r>
      <w:r w:rsidRPr="00BA5145" w:rsidR="006A3F33">
        <w:rPr>
          <w:rFonts w:ascii="Aptos" w:hAnsi="Aptos" w:eastAsia="Calibri"/>
          <w:i/>
        </w:rPr>
        <w:t>N</w:t>
      </w:r>
      <w:r w:rsidRPr="00BA5145">
        <w:rPr>
          <w:rFonts w:ascii="Aptos" w:hAnsi="Aptos" w:eastAsia="Calibri"/>
          <w:i/>
        </w:rPr>
        <w:t>olikumam neatbilstoša piedāvājuma atzīšana par atbilstošu tam ir pretēja PIL mērķim nodrošināt taisnīgu un vienlīdzīgu attieksmi pret piegādātājiem</w:t>
      </w:r>
      <w:r w:rsidRPr="00BA5145">
        <w:rPr>
          <w:rFonts w:ascii="Aptos" w:hAnsi="Aptos" w:eastAsia="Calibri"/>
        </w:rPr>
        <w:t>”.</w:t>
      </w:r>
      <w:r w:rsidRPr="00BA5145">
        <w:rPr>
          <w:rFonts w:ascii="Aptos" w:hAnsi="Aptos" w:eastAsia="Calibri"/>
          <w:vertAlign w:val="superscript"/>
        </w:rPr>
        <w:footnoteReference w:id="2"/>
      </w:r>
      <w:r w:rsidRPr="00BA5145" w:rsidR="005118F4">
        <w:rPr>
          <w:rFonts w:ascii="Aptos" w:hAnsi="Aptos" w:eastAsia="Calibri"/>
        </w:rPr>
        <w:t xml:space="preserve"> </w:t>
      </w:r>
      <w:r w:rsidRPr="00BA5145" w:rsidR="001150A8">
        <w:rPr>
          <w:rFonts w:ascii="Aptos" w:hAnsi="Aptos" w:eastAsia="Calibri"/>
        </w:rPr>
        <w:t xml:space="preserve">No minētā izriet, ka </w:t>
      </w:r>
      <w:r w:rsidRPr="00BA5145" w:rsidR="003E78CE">
        <w:rPr>
          <w:rFonts w:ascii="Aptos" w:hAnsi="Aptos" w:eastAsia="Calibri"/>
        </w:rPr>
        <w:t>Finansējuma saņēmējs</w:t>
      </w:r>
      <w:r w:rsidRPr="00BA5145" w:rsidR="00EA0E20">
        <w:rPr>
          <w:rFonts w:ascii="Aptos" w:hAnsi="Aptos" w:eastAsia="Calibri"/>
        </w:rPr>
        <w:t xml:space="preserve"> par uzvarētāju Iepirkumā atzinis pretendentu, </w:t>
      </w:r>
      <w:r w:rsidRPr="00BA5145" w:rsidR="003A349C">
        <w:rPr>
          <w:rFonts w:ascii="Aptos" w:hAnsi="Aptos" w:eastAsia="Calibri"/>
        </w:rPr>
        <w:t xml:space="preserve">kura </w:t>
      </w:r>
      <w:r w:rsidRPr="00BA5145" w:rsidR="002A475F">
        <w:rPr>
          <w:rFonts w:ascii="Aptos" w:hAnsi="Aptos" w:eastAsia="Calibri"/>
        </w:rPr>
        <w:t>iesniegtais piedāvājums nav bijis atbilstošs Iepirkuma nolikumā izvirzītajām prasībām</w:t>
      </w:r>
      <w:r w:rsidRPr="00BA5145" w:rsidR="00F90A77">
        <w:rPr>
          <w:rFonts w:ascii="Aptos" w:hAnsi="Aptos" w:eastAsia="Calibri"/>
        </w:rPr>
        <w:t xml:space="preserve"> un atbilstība Iepirkuma nolikumam ir nodrošināta</w:t>
      </w:r>
      <w:r w:rsidRPr="00BA5145" w:rsidR="00BA1FC6">
        <w:rPr>
          <w:rFonts w:ascii="Aptos" w:hAnsi="Aptos" w:eastAsia="Calibri"/>
        </w:rPr>
        <w:t>, papildinot piedāvājumu ar sākotnēji neiesniegtu informāciju</w:t>
      </w:r>
      <w:r w:rsidRPr="00BA5145" w:rsidR="00F00F56">
        <w:rPr>
          <w:rFonts w:ascii="Aptos" w:hAnsi="Aptos" w:eastAsia="Calibri"/>
        </w:rPr>
        <w:t xml:space="preserve">, kas, savukārt, uzskatāma par </w:t>
      </w:r>
      <w:r w:rsidRPr="00BA5145" w:rsidR="0042356B">
        <w:rPr>
          <w:rFonts w:ascii="Aptos" w:hAnsi="Aptos" w:eastAsia="Calibri"/>
        </w:rPr>
        <w:t xml:space="preserve">neatļautu piedāvājuma papildināšanu un </w:t>
      </w:r>
      <w:r w:rsidRPr="00BA5145" w:rsidR="00640070">
        <w:rPr>
          <w:rFonts w:ascii="Aptos" w:hAnsi="Aptos" w:eastAsia="Calibri"/>
        </w:rPr>
        <w:t xml:space="preserve">vienlīdzīgas attieksmes principa pārkāpumu. </w:t>
      </w:r>
      <w:r w:rsidRPr="00BA5145" w:rsidR="00BA1FC6">
        <w:rPr>
          <w:rFonts w:ascii="Aptos" w:hAnsi="Aptos" w:eastAsia="Calibri"/>
        </w:rPr>
        <w:t xml:space="preserve"> </w:t>
      </w:r>
    </w:p>
    <w:p w:rsidRPr="00BA5145" w:rsidR="009663D9" w:rsidP="00FD1552" w:rsidRDefault="009663D9" w14:paraId="4AD6CE97" w14:textId="1587733C">
      <w:pPr>
        <w:spacing w:before="120"/>
        <w:ind w:firstLine="567"/>
        <w:contextualSpacing/>
        <w:jc w:val="both"/>
        <w:rPr>
          <w:rFonts w:ascii="Aptos" w:hAnsi="Aptos"/>
          <w:highlight w:val="magenta"/>
          <w:lang w:eastAsia="en-US"/>
        </w:rPr>
      </w:pPr>
      <w:r w:rsidRPr="00BA5145">
        <w:rPr>
          <w:rFonts w:ascii="Aptos" w:hAnsi="Aptos"/>
        </w:rPr>
        <w:t xml:space="preserve">Pamatojoties uz iepriekš minēto, konstatējams PIL 25.panta piektās daļas, 41.panta pirmās </w:t>
      </w:r>
      <w:r w:rsidRPr="00BA5145" w:rsidR="1983BB21">
        <w:rPr>
          <w:rFonts w:ascii="Aptos" w:hAnsi="Aptos"/>
        </w:rPr>
        <w:t>un</w:t>
      </w:r>
      <w:r w:rsidRPr="00BA5145" w:rsidR="00061F43">
        <w:rPr>
          <w:rFonts w:ascii="Aptos" w:hAnsi="Aptos"/>
        </w:rPr>
        <w:t xml:space="preserve"> astotās daļas, </w:t>
      </w:r>
      <w:r w:rsidRPr="00BA5145">
        <w:rPr>
          <w:rFonts w:ascii="Aptos" w:hAnsi="Aptos"/>
        </w:rPr>
        <w:t xml:space="preserve">kā arī PIL 2.panta 2.punktā noteiktā principa par piegādātāju brīvu konkurenci, kā arī vienlīdzīgu un taisnīgu attieksmi pret tiem pārkāpums, jo Finansējuma saņēmējs par Iepirkuma uzvarētāju ir atzinis </w:t>
      </w:r>
      <w:bookmarkStart w:name="_Hlk120190194" w:id="1"/>
      <w:r w:rsidRPr="00BA5145">
        <w:rPr>
          <w:rFonts w:ascii="Aptos" w:hAnsi="Aptos"/>
        </w:rPr>
        <w:t>Iepirkuma dokumentācijas prasībām neatbilstošu pretendenta piedāvājumu</w:t>
      </w:r>
      <w:bookmarkEnd w:id="1"/>
      <w:r w:rsidRPr="00BA5145">
        <w:rPr>
          <w:rFonts w:ascii="Aptos" w:hAnsi="Aptos"/>
        </w:rPr>
        <w:t xml:space="preserve">, kurš atbilstoši Iepirkuma nolikuma prasībām bija jānoraida. Pamatojoties uz minēto, </w:t>
      </w:r>
      <w:r w:rsidRPr="00BA5145">
        <w:rPr>
          <w:rFonts w:ascii="Aptos" w:hAnsi="Aptos"/>
          <w:b/>
        </w:rPr>
        <w:t>ir konstatējama neatbilstība.</w:t>
      </w:r>
    </w:p>
    <w:p w:rsidRPr="00BA5145" w:rsidR="009663D9" w:rsidP="00FD1552" w:rsidRDefault="009663D9" w14:paraId="2DC04AC7" w14:textId="2B3243E0">
      <w:pPr>
        <w:spacing w:before="120"/>
        <w:ind w:firstLine="720"/>
        <w:jc w:val="both"/>
        <w:rPr>
          <w:rFonts w:ascii="Aptos" w:hAnsi="Aptos"/>
        </w:rPr>
      </w:pPr>
      <w:r w:rsidRPr="00BA5145">
        <w:rPr>
          <w:rFonts w:ascii="Aptos" w:hAnsi="Aptos"/>
        </w:rPr>
        <w:t xml:space="preserve">Saskaņā ar Ministru kabineta </w:t>
      </w:r>
      <w:r w:rsidRPr="00BA5145" w:rsidR="00C04C80">
        <w:rPr>
          <w:rFonts w:ascii="Aptos" w:hAnsi="Aptos"/>
        </w:rPr>
        <w:t>19.12</w:t>
      </w:r>
      <w:r w:rsidRPr="00BA5145">
        <w:rPr>
          <w:rFonts w:ascii="Aptos" w:hAnsi="Aptos"/>
        </w:rPr>
        <w:t>.20</w:t>
      </w:r>
      <w:r w:rsidRPr="00BA5145" w:rsidR="00C04C80">
        <w:rPr>
          <w:rFonts w:ascii="Aptos" w:hAnsi="Aptos"/>
        </w:rPr>
        <w:t>23</w:t>
      </w:r>
      <w:r w:rsidRPr="00BA5145">
        <w:rPr>
          <w:rFonts w:ascii="Aptos" w:hAnsi="Aptos"/>
        </w:rPr>
        <w:t>. noteikumu Nr.</w:t>
      </w:r>
      <w:r w:rsidRPr="00BA5145" w:rsidR="00C04C80">
        <w:rPr>
          <w:rFonts w:ascii="Aptos" w:hAnsi="Aptos"/>
        </w:rPr>
        <w:t>802</w:t>
      </w:r>
      <w:r w:rsidRPr="00BA5145">
        <w:rPr>
          <w:rFonts w:ascii="Aptos" w:hAnsi="Aptos"/>
        </w:rPr>
        <w:t xml:space="preserve"> “</w:t>
      </w:r>
      <w:r w:rsidRPr="00BA5145" w:rsidR="00C04C80">
        <w:rPr>
          <w:rFonts w:ascii="Aptos" w:hAnsi="Aptos"/>
        </w:rPr>
        <w:t>Neatbilstību konstatēšanas un neatbilstoši veikto izdevumu atgūšanas kārtība Eiropas Savienības fondu īstenošanā  2021.–2027. gada plānošanas periodā</w:t>
      </w:r>
      <w:r w:rsidRPr="00BA5145">
        <w:rPr>
          <w:rFonts w:ascii="Aptos" w:hAnsi="Aptos"/>
        </w:rPr>
        <w:t>” (turpmāk – MK noteikumi Nr.</w:t>
      </w:r>
      <w:r w:rsidRPr="00BA5145" w:rsidR="00C04C80">
        <w:rPr>
          <w:rFonts w:ascii="Aptos" w:hAnsi="Aptos"/>
        </w:rPr>
        <w:t>802</w:t>
      </w:r>
      <w:r w:rsidRPr="00BA5145">
        <w:rPr>
          <w:rFonts w:ascii="Aptos" w:hAnsi="Aptos"/>
        </w:rPr>
        <w:t xml:space="preserve">) 2.1.apakšpunktu neatbilstība ir </w:t>
      </w:r>
      <w:r w:rsidRPr="00BA5145" w:rsidR="00C04C80">
        <w:rPr>
          <w:rFonts w:ascii="Aptos" w:hAnsi="Aptos"/>
        </w:rPr>
        <w:t>jebkurš Latvijas Republikas vai Eiropas Savienības tiesību akta pārkāpums, kas atbilst Eiropas Parlamenta un Padomes 24.06.2021.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2. panta 31. punktam</w:t>
      </w:r>
      <w:r w:rsidRPr="00BA5145">
        <w:rPr>
          <w:rFonts w:ascii="Aptos" w:hAnsi="Aptos"/>
        </w:rPr>
        <w:t xml:space="preserve">, proti, tiesību akta pārkāpums, </w:t>
      </w:r>
      <w:r w:rsidRPr="00BA5145" w:rsidR="003121EE">
        <w:rPr>
          <w:rFonts w:ascii="Aptos" w:hAnsi="Aptos"/>
        </w:rPr>
        <w:t>kas noticis ekonomikas dalībnieka darbības vai bezdarbības dēļ un kas ietekmē vai varētu ietekmēt Savienības budžetu, prasot no minētā budžeta segt nepamatotus izdevumus</w:t>
      </w:r>
      <w:r w:rsidRPr="00BA5145">
        <w:rPr>
          <w:rFonts w:ascii="Aptos" w:hAnsi="Aptos"/>
        </w:rPr>
        <w:t xml:space="preserve">. </w:t>
      </w:r>
      <w:r w:rsidRPr="00BA5145" w:rsidR="009C0535">
        <w:rPr>
          <w:rFonts w:ascii="Aptos" w:hAnsi="Aptos"/>
        </w:rPr>
        <w:t xml:space="preserve"> Saskaņā ar MK noteikumu Nr.802 8.punktu Sadarbības iestāde finanšu korekciju piemēro saskaņā ar vadošās iestādes izstrādātajām vadlīnijām par finanšu korekciju piemērošanu 2021.–2027.gada plānošanas periodam.</w:t>
      </w:r>
    </w:p>
    <w:p w:rsidRPr="00BA5145" w:rsidR="009663D9" w:rsidP="00FD1552" w:rsidRDefault="009663D9" w14:paraId="4501788D" w14:textId="00B13B6F">
      <w:pPr>
        <w:spacing w:before="120"/>
        <w:ind w:firstLine="567"/>
        <w:contextualSpacing/>
        <w:jc w:val="both"/>
        <w:rPr>
          <w:rFonts w:ascii="Aptos" w:hAnsi="Aptos"/>
          <w:b/>
        </w:rPr>
      </w:pPr>
      <w:r w:rsidRPr="00BA5145">
        <w:rPr>
          <w:rFonts w:ascii="Aptos" w:hAnsi="Aptos"/>
        </w:rPr>
        <w:t xml:space="preserve">Konstatētā neatbilstība atbilst Finanšu ministrijas </w:t>
      </w:r>
      <w:bookmarkStart w:name="_Hlk120190276" w:id="2"/>
      <w:r w:rsidRPr="00BA5145">
        <w:rPr>
          <w:rFonts w:ascii="Aptos" w:hAnsi="Aptos"/>
        </w:rPr>
        <w:t>2</w:t>
      </w:r>
      <w:r w:rsidRPr="00BA5145" w:rsidR="003121EE">
        <w:rPr>
          <w:rFonts w:ascii="Aptos" w:hAnsi="Aptos"/>
        </w:rPr>
        <w:t>7</w:t>
      </w:r>
      <w:r w:rsidRPr="00BA5145">
        <w:rPr>
          <w:rFonts w:ascii="Aptos" w:hAnsi="Aptos"/>
        </w:rPr>
        <w:t>.03.202</w:t>
      </w:r>
      <w:bookmarkEnd w:id="2"/>
      <w:r w:rsidRPr="00BA5145" w:rsidR="003121EE">
        <w:rPr>
          <w:rFonts w:ascii="Aptos" w:hAnsi="Aptos"/>
        </w:rPr>
        <w:t>5</w:t>
      </w:r>
      <w:r w:rsidRPr="00BA5145">
        <w:rPr>
          <w:rFonts w:ascii="Aptos" w:hAnsi="Aptos"/>
        </w:rPr>
        <w:t>. vadlīniju Nr.</w:t>
      </w:r>
      <w:r w:rsidRPr="00BA5145" w:rsidR="003121EE">
        <w:rPr>
          <w:rFonts w:ascii="Aptos" w:hAnsi="Aptos"/>
        </w:rPr>
        <w:t>1</w:t>
      </w:r>
      <w:r w:rsidRPr="00BA5145">
        <w:rPr>
          <w:rFonts w:ascii="Aptos" w:hAnsi="Aptos"/>
        </w:rPr>
        <w:t>.7 „</w:t>
      </w:r>
      <w:r w:rsidRPr="00BA5145" w:rsidR="003121EE">
        <w:rPr>
          <w:rFonts w:ascii="Aptos" w:hAnsi="Aptos"/>
        </w:rPr>
        <w:t>Vadlīnijas par finanšu korekciju piemērošanu, ziņošanu par Eiropas Savienības fondu īstenošanā konstatētajām neatbilstībām, neatbilstoši veikto izdevumu ieturēšanu un atgūšanu Eiropas Savienības fondu 2021.-2027.gada plānošanas periodā</w:t>
      </w:r>
      <w:r w:rsidRPr="00BA5145">
        <w:rPr>
          <w:rFonts w:ascii="Aptos" w:hAnsi="Aptos"/>
        </w:rPr>
        <w:t>”</w:t>
      </w:r>
      <w:r w:rsidRPr="00BA5145" w:rsidR="0087739E">
        <w:rPr>
          <w:rFonts w:ascii="Aptos" w:hAnsi="Aptos"/>
        </w:rPr>
        <w:t xml:space="preserve"> (turpmāk – Vadlīnijas)</w:t>
      </w:r>
      <w:r w:rsidRPr="00BA5145">
        <w:rPr>
          <w:rFonts w:ascii="Aptos" w:hAnsi="Aptos"/>
        </w:rPr>
        <w:t xml:space="preserve"> </w:t>
      </w:r>
      <w:bookmarkStart w:name="_Hlk120190298" w:id="3"/>
      <w:r w:rsidRPr="00BA5145" w:rsidR="003121EE">
        <w:rPr>
          <w:rFonts w:ascii="Aptos" w:hAnsi="Aptos"/>
          <w:b/>
        </w:rPr>
        <w:t>1</w:t>
      </w:r>
      <w:r w:rsidRPr="00BA5145">
        <w:rPr>
          <w:rFonts w:ascii="Aptos" w:hAnsi="Aptos"/>
          <w:b/>
        </w:rPr>
        <w:t>.pielikuma 2</w:t>
      </w:r>
      <w:r w:rsidRPr="00BA5145" w:rsidR="003121EE">
        <w:rPr>
          <w:rFonts w:ascii="Aptos" w:hAnsi="Aptos"/>
          <w:b/>
        </w:rPr>
        <w:t>0</w:t>
      </w:r>
      <w:r w:rsidRPr="00BA5145">
        <w:rPr>
          <w:rFonts w:ascii="Aptos" w:hAnsi="Aptos"/>
          <w:b/>
        </w:rPr>
        <w:t>.punktam “</w:t>
      </w:r>
      <w:r w:rsidRPr="00BA5145" w:rsidR="003121EE">
        <w:rPr>
          <w:rFonts w:ascii="Aptos" w:hAnsi="Aptos"/>
          <w:b/>
        </w:rPr>
        <w:t>Atlases kritēriju (vai tehnisko specifikāciju) grozīšana pēc</w:t>
      </w:r>
      <w:r w:rsidRPr="00BA5145" w:rsidR="00A630ED">
        <w:rPr>
          <w:rFonts w:ascii="Aptos" w:hAnsi="Aptos"/>
          <w:b/>
        </w:rPr>
        <w:t xml:space="preserve"> </w:t>
      </w:r>
      <w:r w:rsidRPr="00BA5145" w:rsidR="003121EE">
        <w:rPr>
          <w:rFonts w:ascii="Aptos" w:hAnsi="Aptos"/>
          <w:b/>
        </w:rPr>
        <w:t>piedāvājumu atvēršanas vai arī to</w:t>
      </w:r>
      <w:r w:rsidRPr="00BA5145" w:rsidR="00A630ED">
        <w:rPr>
          <w:rFonts w:ascii="Aptos" w:hAnsi="Aptos"/>
          <w:b/>
        </w:rPr>
        <w:t xml:space="preserve"> </w:t>
      </w:r>
      <w:r w:rsidRPr="00BA5145" w:rsidR="003121EE">
        <w:rPr>
          <w:rFonts w:ascii="Aptos" w:hAnsi="Aptos"/>
          <w:b/>
        </w:rPr>
        <w:t>nepareiza piemērošana</w:t>
      </w:r>
      <w:r w:rsidRPr="00BA5145">
        <w:rPr>
          <w:rFonts w:ascii="Aptos" w:hAnsi="Aptos"/>
          <w:b/>
        </w:rPr>
        <w:t>”</w:t>
      </w:r>
      <w:bookmarkEnd w:id="3"/>
      <w:r w:rsidRPr="00BA5145">
        <w:rPr>
          <w:rFonts w:ascii="Aptos" w:hAnsi="Aptos"/>
          <w:b/>
        </w:rPr>
        <w:t xml:space="preserve">, </w:t>
      </w:r>
      <w:r w:rsidRPr="00BA5145">
        <w:rPr>
          <w:rFonts w:ascii="Aptos" w:hAnsi="Aptos"/>
        </w:rPr>
        <w:t>kas</w:t>
      </w:r>
      <w:r w:rsidRPr="00BA5145">
        <w:rPr>
          <w:rFonts w:ascii="Aptos" w:hAnsi="Aptos"/>
          <w:b/>
        </w:rPr>
        <w:t xml:space="preserve"> </w:t>
      </w:r>
      <w:r w:rsidRPr="00BA5145">
        <w:rPr>
          <w:rFonts w:ascii="Aptos" w:hAnsi="Aptos"/>
        </w:rPr>
        <w:t>paredz</w:t>
      </w:r>
      <w:r w:rsidRPr="00BA5145">
        <w:rPr>
          <w:rFonts w:ascii="Aptos" w:hAnsi="Aptos"/>
          <w:b/>
        </w:rPr>
        <w:t xml:space="preserve"> </w:t>
      </w:r>
      <w:r w:rsidRPr="00BA5145">
        <w:rPr>
          <w:rFonts w:ascii="Aptos" w:hAnsi="Aptos"/>
        </w:rPr>
        <w:t>finanšu korekcijas piemērošanu 25% apmērā.</w:t>
      </w:r>
      <w:r w:rsidRPr="00BA5145">
        <w:rPr>
          <w:rFonts w:ascii="Aptos" w:hAnsi="Aptos"/>
          <w:b/>
        </w:rPr>
        <w:t xml:space="preserve"> </w:t>
      </w:r>
    </w:p>
    <w:p w:rsidRPr="00BA5145" w:rsidR="009663D9" w:rsidP="00FD1552" w:rsidRDefault="009663D9" w14:paraId="647AA544" w14:textId="6430DC78">
      <w:pPr>
        <w:spacing w:before="120"/>
        <w:ind w:firstLine="567"/>
        <w:contextualSpacing/>
        <w:jc w:val="both"/>
        <w:rPr>
          <w:rFonts w:ascii="Aptos" w:hAnsi="Aptos"/>
        </w:rPr>
      </w:pPr>
      <w:r w:rsidRPr="00BA5145">
        <w:rPr>
          <w:rFonts w:ascii="Aptos" w:hAnsi="Aptos"/>
        </w:rPr>
        <w:t xml:space="preserve">Ņemot vērā iepriekš minēto, </w:t>
      </w:r>
      <w:r w:rsidRPr="00BA5145">
        <w:rPr>
          <w:rFonts w:ascii="Aptos" w:hAnsi="Aptos" w:eastAsia="PMingLiU"/>
          <w:lang w:eastAsia="zh-TW"/>
        </w:rPr>
        <w:t xml:space="preserve">par konstatēto neatbilstību ir </w:t>
      </w:r>
      <w:r w:rsidRPr="00BA5145">
        <w:rPr>
          <w:rFonts w:ascii="Aptos" w:hAnsi="Aptos" w:eastAsia="PMingLiU"/>
          <w:b/>
          <w:lang w:eastAsia="zh-TW"/>
        </w:rPr>
        <w:t>piemērojama finanšu korekcija 25% apmērā</w:t>
      </w:r>
      <w:r w:rsidRPr="00BA5145">
        <w:rPr>
          <w:rFonts w:ascii="Aptos" w:hAnsi="Aptos" w:eastAsia="PMingLiU"/>
          <w:lang w:eastAsia="zh-TW"/>
        </w:rPr>
        <w:t xml:space="preserve"> no Līguma vērtības (uz projektu attiecināmās daļas).</w:t>
      </w:r>
    </w:p>
    <w:p w:rsidRPr="00BA5145" w:rsidR="00D47096" w:rsidP="00E61AB0" w:rsidRDefault="00D47096" w14:paraId="7A95F551" w14:textId="77777777">
      <w:pPr>
        <w:spacing w:before="120"/>
        <w:contextualSpacing/>
        <w:jc w:val="both"/>
        <w:rPr>
          <w:rFonts w:ascii="Aptos" w:hAnsi="Aptos" w:eastAsia="Calibri"/>
          <w:noProof/>
        </w:rPr>
      </w:pPr>
    </w:p>
    <w:p w:rsidRPr="00BA5145" w:rsidR="00524817" w:rsidP="00524817" w:rsidRDefault="00524817" w14:paraId="0A1CD3E4" w14:textId="2473AA61">
      <w:pPr>
        <w:pStyle w:val="PlainText"/>
        <w:numPr>
          <w:ilvl w:val="0"/>
          <w:numId w:val="15"/>
        </w:numPr>
        <w:spacing w:before="120"/>
        <w:ind w:left="0" w:firstLine="426"/>
        <w:jc w:val="both"/>
        <w:rPr>
          <w:rFonts w:ascii="Aptos" w:hAnsi="Aptos" w:cs="Times New Roman"/>
          <w:sz w:val="24"/>
          <w:szCs w:val="24"/>
        </w:rPr>
      </w:pPr>
      <w:r w:rsidRPr="00BA5145">
        <w:rPr>
          <w:rFonts w:ascii="Aptos" w:hAnsi="Aptos" w:cs="Times New Roman"/>
          <w:sz w:val="24"/>
          <w:szCs w:val="24"/>
        </w:rPr>
        <w:t>Iepirkuma nolikuma 9.5. apakšpunktā noteikts, ka: “</w:t>
      </w:r>
      <w:r w:rsidRPr="00BA5145">
        <w:rPr>
          <w:rFonts w:ascii="Aptos" w:hAnsi="Aptos" w:cs="Times New Roman"/>
          <w:i/>
          <w:iCs/>
          <w:sz w:val="24"/>
          <w:szCs w:val="24"/>
        </w:rPr>
        <w:t xml:space="preserve">Izpildītājam par saviem līdzekļiem 10 (desmit) darba dienu laikā pēc Līguma noslēgšanas, ir pienākums iesniegt Saistību izpildes nodrošinājumu – bankas garantiju, apdrošināšanas polisi vai veikt naudas summas iemaksu </w:t>
      </w:r>
      <w:r w:rsidRPr="00BA5145" w:rsidR="00957949">
        <w:rPr>
          <w:rFonts w:ascii="Aptos" w:hAnsi="Aptos" w:cs="Times New Roman"/>
          <w:i/>
          <w:iCs/>
          <w:sz w:val="24"/>
          <w:szCs w:val="24"/>
        </w:rPr>
        <w:t>p</w:t>
      </w:r>
      <w:r w:rsidRPr="00BA5145">
        <w:rPr>
          <w:rFonts w:ascii="Aptos" w:hAnsi="Aptos" w:cs="Times New Roman"/>
          <w:i/>
          <w:iCs/>
          <w:sz w:val="24"/>
          <w:szCs w:val="24"/>
        </w:rPr>
        <w:t>asūtītāja kontā. Šajā punktā noteiktais termiņš var tikt pagarināts, ja bankas vai apdrošināšanas sabiedrības noteiktais šādu dokumentu izsniegšanas termiņš ir garāks par 10 (desmit) darba dienām.”</w:t>
      </w:r>
    </w:p>
    <w:p w:rsidRPr="00BA5145" w:rsidR="00957949" w:rsidP="00957949" w:rsidRDefault="00957949" w14:paraId="3173E661" w14:textId="045C20BC">
      <w:pPr>
        <w:pStyle w:val="PlainText"/>
        <w:spacing w:before="120"/>
        <w:ind w:firstLine="426"/>
        <w:jc w:val="both"/>
        <w:rPr>
          <w:rFonts w:ascii="Aptos" w:hAnsi="Aptos" w:cs="Times New Roman"/>
          <w:sz w:val="24"/>
          <w:szCs w:val="24"/>
        </w:rPr>
      </w:pPr>
      <w:r w:rsidRPr="00BA5145">
        <w:rPr>
          <w:rFonts w:ascii="Aptos" w:hAnsi="Aptos" w:cs="Times New Roman"/>
          <w:sz w:val="24"/>
          <w:szCs w:val="24"/>
        </w:rPr>
        <w:lastRenderedPageBreak/>
        <w:t>Iepirkuma nolikuma 9.7.apakšpunktā noteikts, ka “</w:t>
      </w:r>
      <w:r w:rsidRPr="00BA5145">
        <w:rPr>
          <w:rFonts w:ascii="Aptos" w:hAnsi="Aptos" w:cs="Times New Roman"/>
          <w:i/>
          <w:iCs/>
          <w:sz w:val="24"/>
          <w:szCs w:val="24"/>
        </w:rPr>
        <w:t xml:space="preserve">Saistību izpildes nodrošinājuma iesniegšana ir obligāts nosacījums, ja Izpildītājs </w:t>
      </w:r>
      <w:bookmarkStart w:name="_Hlk201241261" w:id="4"/>
      <w:r w:rsidRPr="00BA5145">
        <w:rPr>
          <w:rFonts w:ascii="Aptos" w:hAnsi="Aptos" w:cs="Times New Roman"/>
          <w:i/>
          <w:iCs/>
          <w:sz w:val="24"/>
          <w:szCs w:val="24"/>
        </w:rPr>
        <w:t>nav iesniedzis līgumsaistību izpildes nodrošinājumu</w:t>
      </w:r>
      <w:bookmarkEnd w:id="4"/>
      <w:r w:rsidRPr="00BA5145">
        <w:rPr>
          <w:rFonts w:ascii="Aptos" w:hAnsi="Aptos" w:cs="Times New Roman"/>
          <w:i/>
          <w:iCs/>
          <w:sz w:val="24"/>
          <w:szCs w:val="24"/>
        </w:rPr>
        <w:t>, pasūtītājs ir tiesīgs vienpusēji atkāpties no Līguma</w:t>
      </w:r>
      <w:r w:rsidRPr="00BA5145">
        <w:rPr>
          <w:rFonts w:ascii="Aptos" w:hAnsi="Aptos" w:cs="Times New Roman"/>
          <w:sz w:val="24"/>
          <w:szCs w:val="24"/>
        </w:rPr>
        <w:t>.”</w:t>
      </w:r>
    </w:p>
    <w:p w:rsidRPr="00BA5145" w:rsidR="00E069F7" w:rsidP="00E069F7" w:rsidRDefault="00E069F7" w14:paraId="0EE2436E" w14:textId="02E948E6">
      <w:pPr>
        <w:ind w:firstLine="426"/>
        <w:jc w:val="both"/>
        <w:rPr>
          <w:rFonts w:ascii="Aptos" w:hAnsi="Aptos"/>
        </w:rPr>
      </w:pPr>
      <w:r w:rsidRPr="00BA5145">
        <w:rPr>
          <w:rFonts w:ascii="Aptos" w:hAnsi="Aptos"/>
        </w:rPr>
        <w:t>Izskatot iesniegtos dokumentus secināts, ka būvdarbu veicējs SIA</w:t>
      </w:r>
      <w:r w:rsidR="00D128EE">
        <w:rPr>
          <w:rFonts w:ascii="Aptos" w:hAnsi="Aptos"/>
        </w:rPr>
        <w:t>(..)</w:t>
      </w:r>
      <w:r w:rsidRPr="00BA5145">
        <w:rPr>
          <w:rFonts w:ascii="Aptos" w:hAnsi="Aptos"/>
        </w:rPr>
        <w:t xml:space="preserve"> nav iesniedzis Līguma 9.5. apakšpunktā prasīto Saistību izpildes nodrošinājumu, bet gan apdrošināšanas brokera atbildi, ka, </w:t>
      </w:r>
      <w:r w:rsidRPr="00BA5145">
        <w:rPr>
          <w:rFonts w:ascii="Aptos" w:hAnsi="Aptos"/>
          <w:i/>
          <w:iCs/>
        </w:rPr>
        <w:t>"lai noformēt darbu izpildes garantiju uz visu līguma termiņu, nepieciešams grozīt līgumu".</w:t>
      </w:r>
    </w:p>
    <w:p w:rsidRPr="00BA5145" w:rsidR="009016EA" w:rsidP="00957949" w:rsidRDefault="00E069F7" w14:paraId="353C5961" w14:textId="5D608970">
      <w:pPr>
        <w:ind w:firstLine="426"/>
        <w:jc w:val="both"/>
        <w:rPr>
          <w:rFonts w:ascii="Aptos" w:hAnsi="Aptos"/>
          <w:i/>
          <w:iCs/>
        </w:rPr>
      </w:pPr>
      <w:r w:rsidRPr="00BA5145">
        <w:rPr>
          <w:rFonts w:ascii="Aptos" w:hAnsi="Aptos"/>
          <w:bCs/>
          <w:lang w:eastAsia="en-US"/>
        </w:rPr>
        <w:t xml:space="preserve">Finansējuma saņēmējs savā skaidrojumā </w:t>
      </w:r>
      <w:r w:rsidRPr="00BA5145" w:rsidR="008011C1">
        <w:rPr>
          <w:rFonts w:ascii="Aptos" w:hAnsi="Aptos"/>
          <w:bCs/>
          <w:lang w:eastAsia="en-US"/>
        </w:rPr>
        <w:t>atzīst</w:t>
      </w:r>
      <w:r w:rsidRPr="00BA5145">
        <w:rPr>
          <w:rFonts w:ascii="Aptos" w:hAnsi="Aptos"/>
          <w:i/>
          <w:iCs/>
        </w:rPr>
        <w:t>,</w:t>
      </w:r>
      <w:r w:rsidRPr="00BA5145">
        <w:rPr>
          <w:rFonts w:ascii="Aptos" w:hAnsi="Aptos"/>
        </w:rPr>
        <w:t xml:space="preserve"> ka</w:t>
      </w:r>
      <w:r w:rsidRPr="00BA5145">
        <w:rPr>
          <w:rFonts w:ascii="Aptos" w:hAnsi="Aptos"/>
          <w:i/>
          <w:iCs/>
        </w:rPr>
        <w:t xml:space="preserve"> </w:t>
      </w:r>
      <w:r w:rsidRPr="00BA5145" w:rsidR="2B1CE285">
        <w:rPr>
          <w:rFonts w:ascii="Aptos" w:hAnsi="Aptos"/>
          <w:i/>
          <w:iCs/>
        </w:rPr>
        <w:t>"</w:t>
      </w:r>
      <w:r w:rsidRPr="00BA5145">
        <w:rPr>
          <w:rFonts w:ascii="Aptos" w:hAnsi="Aptos"/>
          <w:i/>
          <w:iCs/>
        </w:rPr>
        <w:t xml:space="preserve">Izpildītājs nav ievērojis Līguma nosacījumus un iesniedzis </w:t>
      </w:r>
      <w:r w:rsidRPr="00BA5145" w:rsidR="00722723">
        <w:rPr>
          <w:rFonts w:ascii="Aptos" w:hAnsi="Aptos"/>
          <w:i/>
          <w:iCs/>
        </w:rPr>
        <w:t>p</w:t>
      </w:r>
      <w:r w:rsidRPr="00BA5145">
        <w:rPr>
          <w:rFonts w:ascii="Aptos" w:hAnsi="Aptos"/>
          <w:i/>
          <w:iCs/>
        </w:rPr>
        <w:t>asūtītājam Līguma 9.5.</w:t>
      </w:r>
      <w:r w:rsidRPr="00BA5145" w:rsidR="00722723">
        <w:rPr>
          <w:rFonts w:ascii="Aptos" w:hAnsi="Aptos"/>
          <w:i/>
          <w:iCs/>
        </w:rPr>
        <w:t>apakš</w:t>
      </w:r>
      <w:r w:rsidRPr="00BA5145">
        <w:rPr>
          <w:rFonts w:ascii="Aptos" w:hAnsi="Aptos"/>
          <w:i/>
          <w:iCs/>
        </w:rPr>
        <w:t xml:space="preserve">punktā noteikto saistību izpildes nodrošinājumu, taču vērš uzmanību uz faktu, ka līdz </w:t>
      </w:r>
      <w:r w:rsidRPr="00BA5145" w:rsidR="00722723">
        <w:rPr>
          <w:rFonts w:ascii="Aptos" w:hAnsi="Aptos"/>
          <w:i/>
          <w:iCs/>
        </w:rPr>
        <w:t>29.03.</w:t>
      </w:r>
      <w:r w:rsidRPr="00BA5145">
        <w:rPr>
          <w:rFonts w:ascii="Aptos" w:hAnsi="Aptos"/>
          <w:i/>
          <w:iCs/>
        </w:rPr>
        <w:t xml:space="preserve">2025. netika iestājies tāds gadījums vai apstākļi, lai </w:t>
      </w:r>
      <w:r w:rsidRPr="00BA5145" w:rsidR="00722723">
        <w:rPr>
          <w:rFonts w:ascii="Aptos" w:hAnsi="Aptos"/>
          <w:i/>
          <w:iCs/>
        </w:rPr>
        <w:t>p</w:t>
      </w:r>
      <w:r w:rsidRPr="00BA5145">
        <w:rPr>
          <w:rFonts w:ascii="Aptos" w:hAnsi="Aptos"/>
          <w:i/>
          <w:iCs/>
        </w:rPr>
        <w:t>asūtītājs būtu spiests izmantot Līgumā noteikto saistību izpildes nodrošinājumu. Līgums tiek pildīts atbilstoši grafikam, kā arī nav iestājušies/konstatēti Līgumā noteiktie līgumsaistību neizpildes gadījumi.</w:t>
      </w:r>
      <w:r w:rsidRPr="00BA5145" w:rsidR="008011C1">
        <w:rPr>
          <w:rFonts w:ascii="Aptos" w:hAnsi="Aptos"/>
          <w:i/>
          <w:iCs/>
        </w:rPr>
        <w:t>”</w:t>
      </w:r>
    </w:p>
    <w:p w:rsidRPr="00BA5145" w:rsidR="00E069F7" w:rsidP="008011C1" w:rsidRDefault="00E069F7" w14:paraId="08BFB219" w14:textId="5B856FEB">
      <w:pPr>
        <w:ind w:firstLine="426"/>
        <w:jc w:val="both"/>
        <w:rPr>
          <w:rFonts w:ascii="Aptos" w:hAnsi="Aptos"/>
        </w:rPr>
      </w:pPr>
      <w:r w:rsidRPr="00BA5145">
        <w:rPr>
          <w:rFonts w:ascii="Aptos" w:hAnsi="Aptos"/>
        </w:rPr>
        <w:t>Kā arī</w:t>
      </w:r>
      <w:r w:rsidRPr="00BA5145">
        <w:rPr>
          <w:rFonts w:ascii="Aptos" w:hAnsi="Aptos"/>
          <w:i/>
          <w:iCs/>
        </w:rPr>
        <w:t xml:space="preserve"> </w:t>
      </w:r>
      <w:r w:rsidRPr="00BA5145" w:rsidR="00553D4B">
        <w:rPr>
          <w:rFonts w:ascii="Aptos" w:hAnsi="Aptos"/>
          <w:lang w:eastAsia="en-US"/>
        </w:rPr>
        <w:t xml:space="preserve">Finansējuma saņēmējs </w:t>
      </w:r>
      <w:r w:rsidRPr="00BA5145">
        <w:rPr>
          <w:rFonts w:ascii="Aptos" w:hAnsi="Aptos"/>
        </w:rPr>
        <w:t>vērš uzmanību</w:t>
      </w:r>
      <w:r w:rsidRPr="00142FD0">
        <w:rPr>
          <w:rFonts w:ascii="Aptos" w:hAnsi="Aptos"/>
        </w:rPr>
        <w:t xml:space="preserve">, </w:t>
      </w:r>
      <w:r w:rsidRPr="00142FD0" w:rsidR="6F08FF0A">
        <w:rPr>
          <w:rFonts w:ascii="Aptos" w:hAnsi="Aptos"/>
        </w:rPr>
        <w:t>ka</w:t>
      </w:r>
      <w:r w:rsidRPr="00BA5145" w:rsidR="6F08FF0A">
        <w:rPr>
          <w:rFonts w:ascii="Aptos" w:hAnsi="Aptos"/>
          <w:i/>
          <w:iCs/>
        </w:rPr>
        <w:t xml:space="preserve"> </w:t>
      </w:r>
      <w:r w:rsidRPr="00BA5145" w:rsidR="008011C1">
        <w:rPr>
          <w:rFonts w:ascii="Aptos" w:hAnsi="Aptos"/>
          <w:i/>
          <w:iCs/>
        </w:rPr>
        <w:t>“</w:t>
      </w:r>
      <w:r w:rsidRPr="00BA5145">
        <w:rPr>
          <w:rFonts w:ascii="Aptos" w:hAnsi="Aptos"/>
          <w:i/>
          <w:iCs/>
        </w:rPr>
        <w:t>būtisks ir</w:t>
      </w:r>
      <w:r w:rsidRPr="00BA5145" w:rsidR="00553D4B">
        <w:rPr>
          <w:rFonts w:ascii="Aptos" w:hAnsi="Aptos"/>
          <w:i/>
          <w:iCs/>
        </w:rPr>
        <w:t xml:space="preserve"> L</w:t>
      </w:r>
      <w:r w:rsidRPr="00BA5145">
        <w:rPr>
          <w:rFonts w:ascii="Aptos" w:hAnsi="Aptos"/>
          <w:i/>
          <w:iCs/>
        </w:rPr>
        <w:t xml:space="preserve">īguma saistību izpildes garantijas mērķis. Proti, Līguma izpildes garantija nodrošina Pasūtītājam iespēju saņemt kompensāciju (garantijas summu) gadījumos, kad izpildītājs nepilda saistības, kas noteiktas </w:t>
      </w:r>
      <w:r w:rsidRPr="00BA5145" w:rsidR="00553D4B">
        <w:rPr>
          <w:rFonts w:ascii="Aptos" w:hAnsi="Aptos"/>
          <w:i/>
          <w:iCs/>
        </w:rPr>
        <w:t>L</w:t>
      </w:r>
      <w:r w:rsidRPr="00BA5145">
        <w:rPr>
          <w:rFonts w:ascii="Aptos" w:hAnsi="Aptos"/>
          <w:i/>
          <w:iCs/>
        </w:rPr>
        <w:t>īgumā. Kredītiestādes pieprasījuma garantija ir kredītiestādes neatsaucama apņemšanās pēc garantijas saņēmēja pieprasījuma maksāt garantijas saņēmējam naudas summu, kas nepārsniedz garantijā noteikto summu, ja kredītiestādes klients neizpilda savas saistības.</w:t>
      </w:r>
      <w:r w:rsidRPr="00BA5145" w:rsidR="008011C1">
        <w:rPr>
          <w:rFonts w:ascii="Aptos" w:hAnsi="Aptos"/>
          <w:i/>
          <w:iCs/>
        </w:rPr>
        <w:t xml:space="preserve"> </w:t>
      </w:r>
      <w:r w:rsidRPr="00BA5145">
        <w:rPr>
          <w:rFonts w:ascii="Aptos" w:hAnsi="Aptos"/>
          <w:i/>
          <w:iCs/>
        </w:rPr>
        <w:t xml:space="preserve">Viens no </w:t>
      </w:r>
      <w:r w:rsidRPr="00BA5145" w:rsidR="00553D4B">
        <w:rPr>
          <w:rFonts w:ascii="Aptos" w:hAnsi="Aptos"/>
          <w:lang w:eastAsia="en-US"/>
        </w:rPr>
        <w:t xml:space="preserve">Finansējuma saņēmēja </w:t>
      </w:r>
      <w:r w:rsidRPr="00BA5145">
        <w:rPr>
          <w:rFonts w:ascii="Aptos" w:hAnsi="Aptos"/>
          <w:i/>
          <w:iCs/>
        </w:rPr>
        <w:t>riskiem ir līgumsaistību neizpilde.</w:t>
      </w:r>
      <w:r w:rsidRPr="00BA5145">
        <w:rPr>
          <w:rFonts w:ascii="Aptos" w:hAnsi="Aptos"/>
        </w:rPr>
        <w:br/>
      </w:r>
      <w:r w:rsidRPr="00BA5145">
        <w:rPr>
          <w:rFonts w:ascii="Aptos" w:hAnsi="Aptos"/>
          <w:i/>
          <w:iCs/>
        </w:rPr>
        <w:t>Galvojumu apdrošināšana nodrošina apdrošināšanas aizsardzību pret šo risku. Šajā gadījumā nav iestājies šāds risks."</w:t>
      </w:r>
    </w:p>
    <w:p w:rsidRPr="00BA5145" w:rsidR="008011C1" w:rsidP="00B46C62" w:rsidRDefault="00B46C62" w14:paraId="27FC6CA2" w14:textId="47A8BDC3">
      <w:pPr>
        <w:spacing w:after="120"/>
        <w:ind w:firstLine="567"/>
        <w:jc w:val="both"/>
        <w:rPr>
          <w:rFonts w:ascii="Aptos" w:hAnsi="Aptos"/>
          <w:lang w:eastAsia="lv-LV"/>
        </w:rPr>
      </w:pPr>
      <w:r w:rsidRPr="00BA5145">
        <w:rPr>
          <w:rFonts w:ascii="Aptos" w:hAnsi="Aptos"/>
          <w:lang w:eastAsia="lv-LV"/>
        </w:rPr>
        <w:t>Izvērtējot Finansējuma saņēmēja skaidrojumu, Aģentūra secina, ka</w:t>
      </w:r>
      <w:r w:rsidRPr="00BA5145" w:rsidR="008011C1">
        <w:rPr>
          <w:rFonts w:ascii="Aptos" w:hAnsi="Aptos"/>
          <w:lang w:eastAsia="lv-LV"/>
        </w:rPr>
        <w:t xml:space="preserve"> nav pamats piekrist Finansējuma saņēmēja argumentam, ka saistību izpildes nodrošinājums nav iesniedzams, jo šobrīd Līguma izpilde notiek atbilstoši laika grafikam un nav iestājies saistību neizpildes risks</w:t>
      </w:r>
      <w:r w:rsidRPr="00BA5145" w:rsidR="2E2BADA5">
        <w:rPr>
          <w:rFonts w:ascii="Aptos" w:hAnsi="Aptos"/>
          <w:lang w:eastAsia="lv-LV"/>
        </w:rPr>
        <w:t>.</w:t>
      </w:r>
      <w:r w:rsidRPr="00BA5145" w:rsidR="008011C1">
        <w:rPr>
          <w:rFonts w:ascii="Aptos" w:hAnsi="Aptos"/>
          <w:lang w:eastAsia="lv-LV"/>
        </w:rPr>
        <w:t xml:space="preserve"> </w:t>
      </w:r>
      <w:r w:rsidRPr="00BA5145" w:rsidR="010EECE9">
        <w:rPr>
          <w:rFonts w:ascii="Aptos" w:hAnsi="Aptos"/>
          <w:lang w:eastAsia="lv-LV"/>
        </w:rPr>
        <w:t>A</w:t>
      </w:r>
      <w:r w:rsidRPr="00BA5145" w:rsidR="008011C1">
        <w:rPr>
          <w:rFonts w:ascii="Aptos" w:hAnsi="Aptos"/>
          <w:lang w:eastAsia="lv-LV"/>
        </w:rPr>
        <w:t xml:space="preserve">tbilstoši Iepirkuma nolikumam pievienotajam līguma projekta </w:t>
      </w:r>
      <w:r w:rsidRPr="00BA5145" w:rsidR="008011C1">
        <w:rPr>
          <w:rFonts w:ascii="Aptos" w:hAnsi="Aptos"/>
        </w:rPr>
        <w:t>9.7.apakšpunktā noteiktajam, gadījumā, ja netiek iesniegts līgumsaistību izpildes nodrošinājums, pasūtītājs ir tiesīgs vienpusēji atkāpties no līguma, kas norāda, ka Saistību izpildes nodrošinājums tika uzskatīts par Līguma vienu no būtiskajiem nosacījumiem</w:t>
      </w:r>
      <w:r w:rsidRPr="00BA5145" w:rsidR="10A059FD">
        <w:rPr>
          <w:rFonts w:ascii="Aptos" w:hAnsi="Aptos"/>
        </w:rPr>
        <w:t>,</w:t>
      </w:r>
      <w:r w:rsidRPr="00BA5145" w:rsidR="008011C1">
        <w:rPr>
          <w:rFonts w:ascii="Aptos" w:hAnsi="Aptos"/>
        </w:rPr>
        <w:t xml:space="preserve"> ar kuru potenciālajiem pretendentiem bija jārēķinās lemjot par dalību Iepirkumā.</w:t>
      </w:r>
      <w:r w:rsidRPr="00BA5145" w:rsidR="008011C1">
        <w:rPr>
          <w:rFonts w:ascii="Aptos" w:hAnsi="Aptos"/>
          <w:lang w:eastAsia="lv-LV"/>
        </w:rPr>
        <w:t xml:space="preserve"> </w:t>
      </w:r>
    </w:p>
    <w:p w:rsidRPr="00BA5145" w:rsidR="00B46C62" w:rsidP="00B46C62" w:rsidRDefault="00B46C62" w14:paraId="63BAD1AF" w14:textId="77777777">
      <w:pPr>
        <w:spacing w:after="120"/>
        <w:ind w:firstLine="567"/>
        <w:jc w:val="both"/>
        <w:rPr>
          <w:rFonts w:ascii="Aptos" w:hAnsi="Aptos"/>
          <w:lang w:eastAsia="lv-LV"/>
        </w:rPr>
      </w:pPr>
      <w:r w:rsidRPr="00BA5145">
        <w:rPr>
          <w:rFonts w:ascii="Aptos" w:hAnsi="Aptos"/>
          <w:lang w:eastAsia="lv-LV"/>
        </w:rPr>
        <w:t xml:space="preserve">Saskaņā ar PIL 61. panta pirmo daļu iepirkuma līguma grozījumi ir pieļaujami, ja tie nemaina iepirkuma līguma vispārējo raksturu (veidu un iepirkuma procedūras dokumentos noteikto mērķi) un atbilst vienam no šādiem gadījumiem: grozījumi ir nebūtiski; grozījumi ir būtiski un tiek izdarīti tikai šā panta trešajā daļā minētajos gadījumos; grozījumi tiek izdarīti šā panta piektajā daļā minētajā gadījumā neatkarīgi no tā, vai tie ir būtiski vai nebūtiski. PIL 2.panta 2.punkts paredz, ka pasūtītājam jānodrošina piegādātāju brīva konkurence un vienlīdzīga un taisnīga attieksme pret tiem. </w:t>
      </w:r>
      <w:bookmarkStart w:name="_Hlk91497875" w:id="5"/>
      <w:r w:rsidRPr="00BA5145">
        <w:rPr>
          <w:rFonts w:ascii="Aptos" w:hAnsi="Aptos"/>
          <w:lang w:eastAsia="lv-LV"/>
        </w:rPr>
        <w:t>Civillikuma 1587.pants paredz, ka tiesīgi noslēgts līgums uzliek līdzējam pienākumu izpildīt apsolīto, un ne darījuma sevišķais smagums, ne arī vēlāk radušās izpildīšanas grūtības nedod vienai pusei tiesību atkāpties no līguma, kaut arī atlīdzinot otrai zaudējumus.</w:t>
      </w:r>
    </w:p>
    <w:bookmarkEnd w:id="5"/>
    <w:p w:rsidRPr="00BA5145" w:rsidR="00B46C62" w:rsidP="00B46C62" w:rsidRDefault="00B46C62" w14:paraId="110B048A" w14:textId="4C9CC1F8">
      <w:pPr>
        <w:spacing w:after="120"/>
        <w:ind w:firstLine="567"/>
        <w:jc w:val="both"/>
        <w:rPr>
          <w:rFonts w:ascii="Aptos" w:hAnsi="Aptos"/>
          <w:lang w:eastAsia="lv-LV"/>
        </w:rPr>
      </w:pPr>
      <w:r w:rsidRPr="00BA5145">
        <w:rPr>
          <w:rFonts w:ascii="Aptos" w:hAnsi="Aptos"/>
          <w:lang w:eastAsia="lv-LV"/>
        </w:rPr>
        <w:t xml:space="preserve">Ņemot vērā minēto, konkrētajā gadījumā, nepieciešams izvērtēt, vai minētās atkāpes no Līguma </w:t>
      </w:r>
      <w:r w:rsidRPr="00BA5145" w:rsidR="008011C1">
        <w:rPr>
          <w:rFonts w:ascii="Aptos" w:hAnsi="Aptos"/>
        </w:rPr>
        <w:t>9.5</w:t>
      </w:r>
      <w:r w:rsidRPr="00BA5145">
        <w:rPr>
          <w:rFonts w:ascii="Aptos" w:hAnsi="Aptos"/>
        </w:rPr>
        <w:t>.apakšpunkt</w:t>
      </w:r>
      <w:r w:rsidRPr="00BA5145" w:rsidR="008011C1">
        <w:rPr>
          <w:rFonts w:ascii="Aptos" w:hAnsi="Aptos"/>
        </w:rPr>
        <w:t>ā</w:t>
      </w:r>
      <w:r w:rsidRPr="00BA5145">
        <w:rPr>
          <w:rFonts w:ascii="Aptos" w:hAnsi="Aptos"/>
        </w:rPr>
        <w:t xml:space="preserve"> </w:t>
      </w:r>
      <w:r w:rsidRPr="00BA5145">
        <w:rPr>
          <w:rFonts w:ascii="Aptos" w:hAnsi="Aptos"/>
          <w:lang w:eastAsia="lv-LV"/>
        </w:rPr>
        <w:t>ietvertajiem noteikumiem, ja tās jau sākotnēji būtu bijušas ietvertas Iepirkuma dokumentācijā, pieļautu atšķirīgu piedāvājumu iesniegšanu vai citu kandidātu un pretendentu dalību vai izvēli Iepirkuma procedūrā, kā arī, vai ekonomiskais līdzsvars (piemēram, risku sadalījums un tos kompensējošie līdzekļi), ko paredzēja Līgums, ir ticis mainīts Iepirkuma rezultātā izraudzītā pretendenta interesēs.</w:t>
      </w:r>
    </w:p>
    <w:p w:rsidRPr="00BA5145" w:rsidR="00B46C62" w:rsidP="00B46C62" w:rsidRDefault="00B46C62" w14:paraId="6EB9CD10" w14:textId="2DB8995A">
      <w:pPr>
        <w:spacing w:after="120"/>
        <w:ind w:firstLine="567"/>
        <w:jc w:val="both"/>
        <w:rPr>
          <w:rFonts w:ascii="Aptos" w:hAnsi="Aptos"/>
          <w:lang w:eastAsia="lv-LV"/>
        </w:rPr>
      </w:pPr>
      <w:r w:rsidRPr="00BA5145">
        <w:rPr>
          <w:rFonts w:ascii="Aptos" w:hAnsi="Aptos"/>
          <w:lang w:eastAsia="lv-LV"/>
        </w:rPr>
        <w:t xml:space="preserve">Tā kā Iepirkuma līguma projekts bija pievienots Iepirkuma dokumentācijai, visiem pretendentiem bija pieejama informācija, ka pēc </w:t>
      </w:r>
      <w:r w:rsidRPr="00BA5145" w:rsidR="008011C1">
        <w:rPr>
          <w:rFonts w:ascii="Aptos" w:hAnsi="Aptos"/>
          <w:lang w:eastAsia="lv-LV"/>
        </w:rPr>
        <w:t xml:space="preserve">Līguma noslēgšanas </w:t>
      </w:r>
      <w:r w:rsidRPr="00BA5145">
        <w:rPr>
          <w:rFonts w:ascii="Aptos" w:hAnsi="Aptos"/>
          <w:lang w:eastAsia="lv-LV"/>
        </w:rPr>
        <w:t xml:space="preserve">būs nepieciešams iesniegt </w:t>
      </w:r>
      <w:bookmarkStart w:name="_Hlk201239968" w:id="6"/>
      <w:r w:rsidRPr="00BA5145" w:rsidR="008011C1">
        <w:rPr>
          <w:rFonts w:ascii="Aptos" w:hAnsi="Aptos"/>
          <w:lang w:eastAsia="lv-LV"/>
        </w:rPr>
        <w:t>Saistību izpildes nodrošinājum</w:t>
      </w:r>
      <w:bookmarkEnd w:id="6"/>
      <w:r w:rsidRPr="00BA5145" w:rsidR="008011C1">
        <w:rPr>
          <w:rFonts w:ascii="Aptos" w:hAnsi="Aptos"/>
          <w:lang w:eastAsia="lv-LV"/>
        </w:rPr>
        <w:t>u</w:t>
      </w:r>
      <w:r w:rsidRPr="00BA5145">
        <w:rPr>
          <w:rFonts w:ascii="Aptos" w:hAnsi="Aptos"/>
          <w:lang w:eastAsia="lv-LV"/>
        </w:rPr>
        <w:t xml:space="preserve">. Ņemot vērā minēto, kā arī paredzēto </w:t>
      </w:r>
      <w:r w:rsidRPr="00BA5145" w:rsidR="008011C1">
        <w:rPr>
          <w:rFonts w:ascii="Aptos" w:hAnsi="Aptos"/>
          <w:lang w:eastAsia="lv-LV"/>
        </w:rPr>
        <w:t xml:space="preserve">Saistību izpildes nodrošinājuma </w:t>
      </w:r>
      <w:r w:rsidRPr="00BA5145">
        <w:rPr>
          <w:rFonts w:ascii="Aptos" w:hAnsi="Aptos"/>
          <w:lang w:eastAsia="lv-LV"/>
        </w:rPr>
        <w:t xml:space="preserve">apmēru (t.i., 10% no Līguma summas bez PVN), </w:t>
      </w:r>
      <w:r w:rsidRPr="00BA5145">
        <w:rPr>
          <w:rFonts w:ascii="Aptos" w:hAnsi="Aptos"/>
        </w:rPr>
        <w:t xml:space="preserve">kā arī to, ka Līguma </w:t>
      </w:r>
      <w:r w:rsidRPr="00BA5145">
        <w:rPr>
          <w:rFonts w:ascii="Aptos" w:hAnsi="Aptos"/>
        </w:rPr>
        <w:lastRenderedPageBreak/>
        <w:t>nosacījumi pieļauj iesniegt gan kredītiestādes garantiju, gan apdrošināšanas sabiedrības apdrošināšanas polisi</w:t>
      </w:r>
      <w:r w:rsidRPr="00BA5145" w:rsidR="008011C1">
        <w:rPr>
          <w:rFonts w:ascii="Aptos" w:hAnsi="Aptos"/>
        </w:rPr>
        <w:t>, gan arī veikt iemaksu Finansējuma saņēmēja kontā</w:t>
      </w:r>
      <w:r w:rsidRPr="00BA5145">
        <w:rPr>
          <w:rFonts w:ascii="Aptos" w:hAnsi="Aptos"/>
        </w:rPr>
        <w:t xml:space="preserve">, ir pamatoti pieņemt, ka </w:t>
      </w:r>
      <w:r w:rsidRPr="00BA5145" w:rsidR="008011C1">
        <w:rPr>
          <w:rFonts w:ascii="Aptos" w:hAnsi="Aptos"/>
        </w:rPr>
        <w:t xml:space="preserve">Saistību izpildes nodrošinājuma </w:t>
      </w:r>
      <w:r w:rsidRPr="00BA5145">
        <w:rPr>
          <w:rFonts w:ascii="Aptos" w:hAnsi="Aptos"/>
        </w:rPr>
        <w:t xml:space="preserve">izmaksas būtu nelielas un tās nodrošināšanas nepieciešamība nebūtu varējusi ietekmēt pretendentu lēmumu par dalību Iepirkumā. </w:t>
      </w:r>
      <w:r w:rsidRPr="00BA5145">
        <w:rPr>
          <w:rFonts w:ascii="Aptos" w:hAnsi="Aptos"/>
          <w:lang w:eastAsia="lv-LV"/>
        </w:rPr>
        <w:t xml:space="preserve">No tā secināms, ka </w:t>
      </w:r>
      <w:r w:rsidRPr="00BA5145" w:rsidR="008011C1">
        <w:rPr>
          <w:rFonts w:ascii="Aptos" w:hAnsi="Aptos"/>
          <w:lang w:eastAsia="lv-LV"/>
        </w:rPr>
        <w:t xml:space="preserve">Saistību izpildes nodrošinājuma </w:t>
      </w:r>
      <w:r w:rsidRPr="00BA5145">
        <w:rPr>
          <w:rFonts w:ascii="Aptos" w:hAnsi="Aptos"/>
          <w:lang w:eastAsia="lv-LV"/>
        </w:rPr>
        <w:t xml:space="preserve">izmaksas neietekmētu konkurenci un pretendentu loku Iepirkumā, jo potenciālajiem pretendentiem nevarēja rasties grūtības iesniegt Līguma prasībām atbilstošu </w:t>
      </w:r>
      <w:r w:rsidRPr="00BA5145" w:rsidR="008011C1">
        <w:rPr>
          <w:rFonts w:ascii="Aptos" w:hAnsi="Aptos"/>
          <w:lang w:eastAsia="lv-LV"/>
        </w:rPr>
        <w:t>Saistību izpildes nodrošinājumu</w:t>
      </w:r>
      <w:r w:rsidRPr="00BA5145">
        <w:rPr>
          <w:rFonts w:ascii="Aptos" w:hAnsi="Aptos"/>
          <w:lang w:eastAsia="lv-LV"/>
        </w:rPr>
        <w:t xml:space="preserve">. </w:t>
      </w:r>
    </w:p>
    <w:p w:rsidRPr="00BA5145" w:rsidR="00B46C62" w:rsidP="00B46C62" w:rsidRDefault="00B46C62" w14:paraId="487A48D3" w14:textId="3B42AC78">
      <w:pPr>
        <w:spacing w:after="120"/>
        <w:ind w:firstLine="567"/>
        <w:jc w:val="both"/>
        <w:rPr>
          <w:rFonts w:ascii="Aptos" w:hAnsi="Aptos"/>
          <w:lang w:eastAsia="lv-LV"/>
        </w:rPr>
      </w:pPr>
      <w:r w:rsidRPr="00BA5145">
        <w:rPr>
          <w:rFonts w:ascii="Aptos" w:hAnsi="Aptos"/>
          <w:lang w:eastAsia="lv-LV"/>
        </w:rPr>
        <w:t xml:space="preserve">Ņemot vērā iepriekš minēto, kā arī to, ka minētajām atkāpēm no Līguma </w:t>
      </w:r>
      <w:r w:rsidRPr="00BA5145" w:rsidR="008011C1">
        <w:rPr>
          <w:rFonts w:ascii="Aptos" w:hAnsi="Aptos"/>
          <w:lang w:eastAsia="lv-LV"/>
        </w:rPr>
        <w:t>9.5</w:t>
      </w:r>
      <w:r w:rsidRPr="00BA5145">
        <w:rPr>
          <w:rFonts w:ascii="Aptos" w:hAnsi="Aptos"/>
          <w:lang w:eastAsia="lv-LV"/>
        </w:rPr>
        <w:t xml:space="preserve">.apakšpunkta nebija ietekmes uz Iepirkuma rezultātu un nav pamata secināt, ka ekonomiskā līdzsvara izmaiņas šajā gadījumā būtu uzskatāmas par būtiskām, konstatējams, ka pieļautās atkāpes no Līguma nosacījumiem, nenodrošinot </w:t>
      </w:r>
      <w:r w:rsidRPr="00BA5145" w:rsidR="008011C1">
        <w:rPr>
          <w:rFonts w:ascii="Aptos" w:hAnsi="Aptos"/>
          <w:lang w:eastAsia="lv-LV"/>
        </w:rPr>
        <w:t>Saistību izpildes nodrošinājumu</w:t>
      </w:r>
      <w:r w:rsidRPr="00BA5145">
        <w:rPr>
          <w:rFonts w:ascii="Aptos" w:hAnsi="Aptos"/>
          <w:lang w:eastAsia="lv-LV"/>
        </w:rPr>
        <w:t>, nav atzīstamas par būtiskiem Līguma grozījumiem.</w:t>
      </w:r>
    </w:p>
    <w:p w:rsidRPr="00BA5145" w:rsidR="00B46C62" w:rsidP="00B46C62" w:rsidRDefault="00B46C62" w14:paraId="16489089" w14:textId="2923693B">
      <w:pPr>
        <w:suppressAutoHyphens/>
        <w:spacing w:after="120"/>
        <w:ind w:firstLine="709"/>
        <w:jc w:val="both"/>
        <w:rPr>
          <w:rFonts w:ascii="Aptos" w:hAnsi="Aptos"/>
          <w:lang w:eastAsia="ar-SA"/>
        </w:rPr>
      </w:pPr>
      <w:r w:rsidRPr="00BA5145">
        <w:rPr>
          <w:rFonts w:ascii="Aptos" w:hAnsi="Aptos"/>
          <w:lang w:eastAsia="ar-SA"/>
        </w:rPr>
        <w:t xml:space="preserve">Tomēr, apstāklis, ka Finansējuma saņēmēja partneris nav saņēmis Līgumam atbilstošu </w:t>
      </w:r>
      <w:r w:rsidRPr="00BA5145" w:rsidR="008011C1">
        <w:rPr>
          <w:rFonts w:ascii="Aptos" w:hAnsi="Aptos"/>
          <w:lang w:eastAsia="ar-SA"/>
        </w:rPr>
        <w:t>Saistību izpildes nodrošinājumu</w:t>
      </w:r>
      <w:r w:rsidRPr="00BA5145">
        <w:rPr>
          <w:rFonts w:ascii="Aptos" w:hAnsi="Aptos"/>
          <w:lang w:eastAsia="ar-SA"/>
        </w:rPr>
        <w:t xml:space="preserve"> ir vērtējams kā Civillikuma 1587.panta un PIL 2.panta 2.punktā minēto principu pārkāpums, tādējādi  </w:t>
      </w:r>
      <w:r w:rsidRPr="00BA5145">
        <w:rPr>
          <w:rFonts w:ascii="Aptos" w:hAnsi="Aptos"/>
          <w:b/>
          <w:bCs/>
          <w:lang w:eastAsia="ar-SA"/>
        </w:rPr>
        <w:t>ir konstatējama neatbilstība.</w:t>
      </w:r>
    </w:p>
    <w:p w:rsidRPr="00BA5145" w:rsidR="008011C1" w:rsidP="008011C1" w:rsidRDefault="00B46C62" w14:paraId="5728FE9F" w14:textId="77777777">
      <w:pPr>
        <w:spacing w:before="120"/>
        <w:ind w:firstLine="720"/>
        <w:jc w:val="both"/>
        <w:rPr>
          <w:rFonts w:ascii="Aptos" w:hAnsi="Aptos"/>
        </w:rPr>
      </w:pPr>
      <w:r w:rsidRPr="00BA5145">
        <w:rPr>
          <w:rFonts w:ascii="Aptos" w:hAnsi="Aptos"/>
          <w:lang w:eastAsia="ar-SA"/>
        </w:rPr>
        <w:t xml:space="preserve">Saskaņā ar </w:t>
      </w:r>
      <w:r w:rsidRPr="00BA5145" w:rsidR="008011C1">
        <w:rPr>
          <w:rFonts w:ascii="Aptos" w:hAnsi="Aptos"/>
        </w:rPr>
        <w:t xml:space="preserve">MK noteikumi Nr.802 </w:t>
      </w:r>
      <w:r w:rsidRPr="00BA5145">
        <w:rPr>
          <w:rFonts w:ascii="Aptos" w:hAnsi="Aptos"/>
          <w:lang w:eastAsia="ar-SA"/>
        </w:rPr>
        <w:t xml:space="preserve">2.1.apakšpunktu </w:t>
      </w:r>
      <w:r w:rsidRPr="00BA5145" w:rsidR="008011C1">
        <w:rPr>
          <w:rFonts w:ascii="Aptos" w:hAnsi="Aptos"/>
        </w:rPr>
        <w:t>neatbilstība ir jebkurš Latvijas Republikas vai Eiropas Savienības tiesību akta pārkāpums, kas atbilst Eiropas Parlamenta un Padomes 24.06.2021.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2. panta 31. punktam, proti, tiesību akta pārkāpums, kas noticis ekonomikas dalībnieka darbības vai bezdarbības dēļ un kas ietekmē vai varētu ietekmēt Savienības budžetu, prasot no minētā budžeta segt nepamatotus izdevumus.  Saskaņā ar MK noteikumu Nr.802 8.punktu Sadarbības iestāde finanšu korekciju piemēro saskaņā ar vadošās iestādes izstrādātajām vadlīnijām par finanšu korekciju piemērošanu 2021.–2027.gada plānošanas periodam.</w:t>
      </w:r>
    </w:p>
    <w:p w:rsidRPr="00BA5145" w:rsidR="008011C1" w:rsidP="00142FD0" w:rsidRDefault="008011C1" w14:paraId="3E9046FD" w14:textId="4E88D4A0">
      <w:pPr>
        <w:spacing w:before="120"/>
        <w:ind w:firstLine="567"/>
        <w:contextualSpacing/>
        <w:jc w:val="both"/>
        <w:rPr>
          <w:rFonts w:ascii="Aptos" w:hAnsi="Aptos"/>
        </w:rPr>
      </w:pPr>
      <w:r w:rsidRPr="00BA5145">
        <w:rPr>
          <w:rFonts w:ascii="Aptos" w:hAnsi="Aptos"/>
        </w:rPr>
        <w:t>Vadlīnij</w:t>
      </w:r>
      <w:r w:rsidRPr="00BA5145" w:rsidR="0087739E">
        <w:rPr>
          <w:rFonts w:ascii="Aptos" w:hAnsi="Aptos"/>
        </w:rPr>
        <w:t>u</w:t>
      </w:r>
      <w:r w:rsidRPr="00BA5145">
        <w:rPr>
          <w:rFonts w:ascii="Aptos" w:hAnsi="Aptos"/>
        </w:rPr>
        <w:t xml:space="preserve"> </w:t>
      </w:r>
      <w:r w:rsidRPr="00BA5145" w:rsidR="0087739E">
        <w:rPr>
          <w:rFonts w:ascii="Aptos" w:hAnsi="Aptos"/>
        </w:rPr>
        <w:t xml:space="preserve">14.punkts nosaka, ka pirms finanšu korekcijas piemērošanas ir nepieciešams rūpīgi izskatīt konkrēto gadījumu un noteikt atbilstošu, samērīgu risinājumu – atzīt gadījumu par formālu pārkāpumu, vai </w:t>
      </w:r>
      <w:r w:rsidRPr="00BA5145" w:rsidR="0087739E">
        <w:rPr>
          <w:rFonts w:ascii="Aptos" w:hAnsi="Aptos"/>
          <w:lang w:eastAsia="ar-SA"/>
        </w:rPr>
        <w:t>atzīt par neatbilstoši veiktiem izdevumiem noteiktu apjomu</w:t>
      </w:r>
      <w:r w:rsidRPr="00BA5145" w:rsidR="0087739E">
        <w:rPr>
          <w:rFonts w:ascii="Aptos" w:hAnsi="Aptos"/>
        </w:rPr>
        <w:t>, vai piemērot finanšu korekciju procentuālā izteiksmē.</w:t>
      </w:r>
    </w:p>
    <w:p w:rsidRPr="00BA5145" w:rsidR="00F6586F" w:rsidP="00B46C62" w:rsidRDefault="00B46C62" w14:paraId="5C63E9F9" w14:textId="0CD63147">
      <w:pPr>
        <w:spacing w:after="120"/>
        <w:ind w:firstLine="567"/>
        <w:jc w:val="both"/>
        <w:rPr>
          <w:rFonts w:ascii="Aptos" w:hAnsi="Aptos"/>
          <w:lang w:eastAsia="ar-SA"/>
        </w:rPr>
      </w:pPr>
      <w:r w:rsidRPr="00BA5145">
        <w:rPr>
          <w:rFonts w:ascii="Aptos" w:hAnsi="Aptos"/>
          <w:lang w:eastAsia="ar-SA"/>
        </w:rPr>
        <w:t>Parasti apdrošināšanas polises izmaksas tiek noteiktas ne vairāk kā līdz 2% no līguma summas</w:t>
      </w:r>
      <w:r w:rsidRPr="00BA5145">
        <w:rPr>
          <w:rFonts w:ascii="Aptos" w:hAnsi="Aptos"/>
          <w:vertAlign w:val="superscript"/>
          <w:lang w:eastAsia="ar-SA"/>
        </w:rPr>
        <w:footnoteReference w:id="3"/>
      </w:r>
      <w:r w:rsidRPr="00BA5145">
        <w:rPr>
          <w:rFonts w:ascii="Aptos" w:hAnsi="Aptos"/>
          <w:lang w:eastAsia="ar-SA"/>
        </w:rPr>
        <w:t>.</w:t>
      </w:r>
      <w:r w:rsidRPr="00BA5145" w:rsidR="00BA5145">
        <w:rPr>
          <w:rFonts w:ascii="Aptos" w:hAnsi="Aptos"/>
        </w:rPr>
        <w:t xml:space="preserve"> </w:t>
      </w:r>
      <w:r w:rsidRPr="00BA5145" w:rsidR="00BA5145">
        <w:rPr>
          <w:rFonts w:ascii="Aptos" w:hAnsi="Aptos"/>
          <w:lang w:eastAsia="ar-SA"/>
        </w:rPr>
        <w:t>Tā kā Līguma izpildītājs nav iesniedzis nodrošinājumu vispār, tā ekonomisko ieguvumu ir iespēja</w:t>
      </w:r>
      <w:r w:rsidR="00BA5145">
        <w:rPr>
          <w:rFonts w:ascii="Aptos" w:hAnsi="Aptos"/>
          <w:lang w:eastAsia="ar-SA"/>
        </w:rPr>
        <w:t>m</w:t>
      </w:r>
      <w:r w:rsidRPr="00BA5145" w:rsidR="00BA5145">
        <w:rPr>
          <w:rFonts w:ascii="Aptos" w:hAnsi="Aptos"/>
          <w:lang w:eastAsia="ar-SA"/>
        </w:rPr>
        <w:t xml:space="preserve">s noskaidrot veicot tirgus aptauju par iespējamām cenām konkrētai polisei. </w:t>
      </w:r>
      <w:r w:rsidRPr="00BA5145">
        <w:rPr>
          <w:rFonts w:ascii="Aptos" w:hAnsi="Aptos"/>
          <w:lang w:eastAsia="ar-SA"/>
        </w:rPr>
        <w:t xml:space="preserve"> </w:t>
      </w:r>
      <w:r w:rsidRPr="00BA5145" w:rsidR="00F6586F">
        <w:rPr>
          <w:rFonts w:ascii="Aptos" w:hAnsi="Aptos"/>
          <w:lang w:eastAsia="ar-SA"/>
        </w:rPr>
        <w:t>Aģentūra 20.06.2025. lūdza sešām apdrošināšanas kompānijām sniegt informāciju par šādas polises prēmijas izmaksām. No aptaujātajām apdrošināšanas kompānijām</w:t>
      </w:r>
      <w:r w:rsidRPr="00BA5145" w:rsidR="00E17DD8">
        <w:rPr>
          <w:rFonts w:ascii="Aptos" w:hAnsi="Aptos"/>
          <w:lang w:eastAsia="ar-SA"/>
        </w:rPr>
        <w:t xml:space="preserve"> ”ERGO </w:t>
      </w:r>
      <w:proofErr w:type="spellStart"/>
      <w:r w:rsidRPr="00BA5145" w:rsidR="00E17DD8">
        <w:rPr>
          <w:rFonts w:ascii="Aptos" w:hAnsi="Aptos"/>
          <w:lang w:eastAsia="ar-SA"/>
        </w:rPr>
        <w:t>Life</w:t>
      </w:r>
      <w:proofErr w:type="spellEnd"/>
      <w:r w:rsidRPr="00BA5145" w:rsidR="00E17DD8">
        <w:rPr>
          <w:rFonts w:ascii="Aptos" w:hAnsi="Aptos"/>
          <w:lang w:eastAsia="ar-SA"/>
        </w:rPr>
        <w:t xml:space="preserve"> Insurance SE Latvijas filiāle” norādīja, ka šādas polises prēmijas cena būtu 200,00 EUR, bet “</w:t>
      </w:r>
      <w:proofErr w:type="spellStart"/>
      <w:r w:rsidRPr="00BA5145" w:rsidR="00E17DD8">
        <w:rPr>
          <w:rFonts w:ascii="Aptos" w:hAnsi="Aptos"/>
          <w:lang w:eastAsia="ar-SA"/>
        </w:rPr>
        <w:t>Gjensidige</w:t>
      </w:r>
      <w:proofErr w:type="spellEnd"/>
      <w:r w:rsidRPr="00BA5145" w:rsidR="00E17DD8">
        <w:rPr>
          <w:rFonts w:ascii="Aptos" w:hAnsi="Aptos"/>
          <w:lang w:eastAsia="ar-SA"/>
        </w:rPr>
        <w:t xml:space="preserve"> Latvijas filiāle” norādīja, ka šādas polises prēmijas cena būtu 170,00 EUR. Pārējās četras </w:t>
      </w:r>
      <w:r w:rsidRPr="00BA5145" w:rsidR="00FA268F">
        <w:rPr>
          <w:rFonts w:ascii="Aptos" w:hAnsi="Aptos"/>
          <w:lang w:eastAsia="ar-SA"/>
        </w:rPr>
        <w:t>apdrošināšanas</w:t>
      </w:r>
      <w:r w:rsidRPr="00BA5145" w:rsidR="00E17DD8">
        <w:rPr>
          <w:rFonts w:ascii="Aptos" w:hAnsi="Aptos"/>
          <w:lang w:eastAsia="ar-SA"/>
        </w:rPr>
        <w:t xml:space="preserve"> kompānijas šādu informāciju nesniedza.</w:t>
      </w:r>
    </w:p>
    <w:p w:rsidRPr="00BA5145" w:rsidR="008E63C8" w:rsidP="00EC7546" w:rsidRDefault="00E17DD8" w14:paraId="7C5CFC67" w14:textId="75629C00">
      <w:pPr>
        <w:spacing w:after="120"/>
        <w:ind w:firstLine="567"/>
        <w:jc w:val="both"/>
        <w:rPr>
          <w:rFonts w:ascii="Aptos" w:hAnsi="Aptos"/>
          <w:lang w:eastAsia="ar-SA"/>
        </w:rPr>
      </w:pPr>
      <w:r w:rsidRPr="00BA5145">
        <w:rPr>
          <w:rFonts w:ascii="Aptos" w:hAnsi="Aptos"/>
          <w:lang w:eastAsia="ar-SA"/>
        </w:rPr>
        <w:t xml:space="preserve">Tā kā Finansējuma saņēmējs Saistību izpildes nodrošinājumu nav paredzējis pieprasīt Līguma izpildītājam, savukārt, </w:t>
      </w:r>
      <w:r w:rsidRPr="00BA5145" w:rsidR="00EC7546">
        <w:rPr>
          <w:rFonts w:ascii="Aptos" w:hAnsi="Aptos"/>
          <w:lang w:eastAsia="ar-SA"/>
        </w:rPr>
        <w:t>noteikt</w:t>
      </w:r>
      <w:r w:rsidRPr="00BA5145" w:rsidR="007F4B9F">
        <w:rPr>
          <w:rFonts w:ascii="Aptos" w:hAnsi="Aptos"/>
          <w:lang w:eastAsia="ar-SA"/>
        </w:rPr>
        <w:t xml:space="preserve"> procentuālo</w:t>
      </w:r>
      <w:r w:rsidRPr="00BA5145" w:rsidR="00EC7546">
        <w:rPr>
          <w:rFonts w:ascii="Aptos" w:hAnsi="Aptos"/>
          <w:lang w:eastAsia="ar-SA"/>
        </w:rPr>
        <w:t xml:space="preserve"> finanšu korekciju būtu nesamērīgi, </w:t>
      </w:r>
      <w:r w:rsidRPr="00BA5145" w:rsidR="008E63C8">
        <w:rPr>
          <w:rFonts w:ascii="Aptos" w:hAnsi="Aptos"/>
          <w:lang w:eastAsia="ar-SA"/>
        </w:rPr>
        <w:t xml:space="preserve">vadoties no samērīguma principa, finanšu korekcijas apmērs būtu nosakāms iespējami tuvu ekonomiskajam ieguvumam, ko ir guvis izpildītājs no </w:t>
      </w:r>
      <w:r w:rsidRPr="00BA5145" w:rsidR="006A5DF4">
        <w:rPr>
          <w:rFonts w:ascii="Aptos" w:hAnsi="Aptos"/>
          <w:lang w:eastAsia="ar-SA"/>
        </w:rPr>
        <w:t>polises neiesniegšanas</w:t>
      </w:r>
      <w:r w:rsidRPr="00BA5145" w:rsidR="008E63C8">
        <w:rPr>
          <w:rFonts w:ascii="Aptos" w:hAnsi="Aptos"/>
          <w:lang w:eastAsia="ar-SA"/>
        </w:rPr>
        <w:t xml:space="preserve">. Ņemot vērā abu minēto apdrošināšanas kompāniju sniegto informāciju, </w:t>
      </w:r>
      <w:r w:rsidRPr="00BA5145" w:rsidR="00EC7546">
        <w:rPr>
          <w:rFonts w:ascii="Aptos" w:hAnsi="Aptos"/>
          <w:lang w:eastAsia="ar-SA"/>
        </w:rPr>
        <w:t xml:space="preserve">kā arī veicot polišu </w:t>
      </w:r>
      <w:r w:rsidRPr="00BA5145" w:rsidR="00EC7546">
        <w:rPr>
          <w:rFonts w:ascii="Aptos" w:hAnsi="Aptos"/>
          <w:lang w:eastAsia="ar-SA"/>
        </w:rPr>
        <w:lastRenderedPageBreak/>
        <w:t xml:space="preserve">izmaksu aprēķinu, </w:t>
      </w:r>
      <w:r w:rsidR="00142FD0">
        <w:rPr>
          <w:rFonts w:ascii="Aptos" w:hAnsi="Aptos"/>
          <w:lang w:eastAsia="ar-SA"/>
        </w:rPr>
        <w:t xml:space="preserve">Aģentūra </w:t>
      </w:r>
      <w:r w:rsidRPr="00BA5145" w:rsidR="008E63C8">
        <w:rPr>
          <w:rFonts w:ascii="Aptos" w:hAnsi="Aptos"/>
          <w:lang w:eastAsia="ar-SA"/>
        </w:rPr>
        <w:t>atzī</w:t>
      </w:r>
      <w:r w:rsidR="00142FD0">
        <w:rPr>
          <w:rFonts w:ascii="Aptos" w:hAnsi="Aptos"/>
          <w:lang w:eastAsia="ar-SA"/>
        </w:rPr>
        <w:t>s</w:t>
      </w:r>
      <w:r w:rsidRPr="00BA5145" w:rsidR="008E63C8">
        <w:rPr>
          <w:rFonts w:ascii="Aptos" w:hAnsi="Aptos"/>
          <w:lang w:eastAsia="ar-SA"/>
        </w:rPr>
        <w:t xml:space="preserve">t </w:t>
      </w:r>
      <w:r w:rsidRPr="00BA5145" w:rsidR="00EC7546">
        <w:rPr>
          <w:rFonts w:ascii="Aptos" w:hAnsi="Aptos"/>
          <w:lang w:eastAsia="ar-SA"/>
        </w:rPr>
        <w:t xml:space="preserve">saistību izpildes nodrošinājuma </w:t>
      </w:r>
      <w:r w:rsidRPr="00BA5145" w:rsidR="00EC7546">
        <w:rPr>
          <w:rFonts w:ascii="Aptos" w:hAnsi="Aptos"/>
          <w:b/>
          <w:bCs/>
          <w:lang w:eastAsia="ar-SA"/>
        </w:rPr>
        <w:t xml:space="preserve">polises izmaksas </w:t>
      </w:r>
      <w:r w:rsidRPr="00BA5145" w:rsidR="008E63C8">
        <w:rPr>
          <w:rFonts w:ascii="Aptos" w:hAnsi="Aptos"/>
          <w:b/>
          <w:bCs/>
          <w:lang w:eastAsia="ar-SA"/>
        </w:rPr>
        <w:t>185,00 EUR</w:t>
      </w:r>
      <w:r w:rsidRPr="00BA5145" w:rsidR="00EC7546">
        <w:rPr>
          <w:rFonts w:ascii="Aptos" w:hAnsi="Aptos"/>
          <w:b/>
          <w:bCs/>
          <w:lang w:eastAsia="ar-SA"/>
        </w:rPr>
        <w:t xml:space="preserve"> apmērā</w:t>
      </w:r>
      <w:r w:rsidRPr="00BA5145" w:rsidR="006A5DF4">
        <w:rPr>
          <w:rStyle w:val="FootnoteReference"/>
          <w:rFonts w:ascii="Aptos" w:hAnsi="Aptos"/>
          <w:b/>
          <w:bCs/>
          <w:lang w:eastAsia="ar-SA"/>
        </w:rPr>
        <w:footnoteReference w:id="4"/>
      </w:r>
      <w:r w:rsidRPr="00BA5145" w:rsidR="00EC7546">
        <w:rPr>
          <w:rFonts w:ascii="Aptos" w:hAnsi="Aptos"/>
          <w:b/>
          <w:bCs/>
          <w:lang w:eastAsia="ar-SA"/>
        </w:rPr>
        <w:t xml:space="preserve"> </w:t>
      </w:r>
      <w:r w:rsidRPr="00BA5145" w:rsidR="008E63C8">
        <w:rPr>
          <w:rFonts w:ascii="Aptos" w:hAnsi="Aptos"/>
          <w:b/>
          <w:bCs/>
          <w:lang w:eastAsia="ar-SA"/>
        </w:rPr>
        <w:t xml:space="preserve"> par neatbilstoši veiktiem izdevumiem.</w:t>
      </w:r>
    </w:p>
    <w:p w:rsidRPr="00BA5145" w:rsidR="008E63C8" w:rsidP="00B46C62" w:rsidRDefault="008E63C8" w14:paraId="792F54E4" w14:textId="77777777">
      <w:pPr>
        <w:spacing w:after="120"/>
        <w:ind w:firstLine="567"/>
        <w:jc w:val="both"/>
        <w:rPr>
          <w:rFonts w:ascii="Aptos" w:hAnsi="Aptos"/>
          <w:lang w:eastAsia="ar-SA"/>
        </w:rPr>
      </w:pPr>
    </w:p>
    <w:p w:rsidRPr="00BA5145" w:rsidR="00B46C62" w:rsidP="006A5DF4" w:rsidRDefault="00E17DD8" w14:paraId="251ED5F9" w14:textId="26F9DE51">
      <w:pPr>
        <w:spacing w:after="120"/>
        <w:ind w:firstLine="567"/>
        <w:jc w:val="both"/>
        <w:rPr>
          <w:rFonts w:ascii="Aptos" w:hAnsi="Aptos"/>
          <w:lang w:eastAsia="ar-SA"/>
        </w:rPr>
      </w:pPr>
      <w:r w:rsidRPr="00BA5145">
        <w:rPr>
          <w:rFonts w:ascii="Aptos" w:hAnsi="Aptos"/>
          <w:lang w:eastAsia="ar-SA"/>
        </w:rPr>
        <w:t xml:space="preserve"> </w:t>
      </w:r>
    </w:p>
    <w:p w:rsidRPr="00BA5145" w:rsidR="00524817" w:rsidP="00E61AB0" w:rsidRDefault="00524817" w14:paraId="1BCC5D1D" w14:textId="77777777">
      <w:pPr>
        <w:spacing w:before="120"/>
        <w:contextualSpacing/>
        <w:jc w:val="both"/>
        <w:rPr>
          <w:rFonts w:ascii="Aptos" w:hAnsi="Aptos" w:eastAsia="Calibri"/>
          <w:noProof/>
        </w:rPr>
      </w:pPr>
    </w:p>
    <w:p w:rsidRPr="00BA5145" w:rsidR="006A5DF4" w:rsidRDefault="006A5DF4" w14:paraId="5023DD6C" w14:textId="77777777">
      <w:pPr>
        <w:spacing w:before="120"/>
        <w:contextualSpacing/>
        <w:jc w:val="both"/>
        <w:rPr>
          <w:rFonts w:ascii="Aptos" w:hAnsi="Aptos" w:eastAsia="Calibri"/>
          <w:noProof/>
        </w:rPr>
      </w:pPr>
    </w:p>
    <w:sectPr w:rsidRPr="00BA5145" w:rsidR="006A5DF4" w:rsidSect="00D80FDF">
      <w:pgSz w:w="11906" w:h="16838" w:orient="portrait"/>
      <w:pgMar w:top="1134" w:right="1077" w:bottom="45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94B" w:rsidP="001B36E2" w:rsidRDefault="00B1094B" w14:paraId="406B4493" w14:textId="77777777">
      <w:r>
        <w:separator/>
      </w:r>
    </w:p>
  </w:endnote>
  <w:endnote w:type="continuationSeparator" w:id="0">
    <w:p w:rsidR="00B1094B" w:rsidP="001B36E2" w:rsidRDefault="00B1094B" w14:paraId="225B42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94B" w:rsidP="001B36E2" w:rsidRDefault="00B1094B" w14:paraId="6E9D46B2" w14:textId="77777777">
      <w:r>
        <w:separator/>
      </w:r>
    </w:p>
  </w:footnote>
  <w:footnote w:type="continuationSeparator" w:id="0">
    <w:p w:rsidR="00B1094B" w:rsidP="001B36E2" w:rsidRDefault="00B1094B" w14:paraId="0C6EE6A4" w14:textId="77777777">
      <w:r>
        <w:continuationSeparator/>
      </w:r>
    </w:p>
  </w:footnote>
  <w:footnote w:id="1">
    <w:p w:rsidRPr="002B383E" w:rsidR="0085319D" w:rsidP="0085319D" w:rsidRDefault="0085319D" w14:paraId="26A02994" w14:textId="6D169DDD">
      <w:pPr>
        <w:pStyle w:val="ListParagraph"/>
        <w:ind w:left="0"/>
        <w:jc w:val="both"/>
        <w:rPr>
          <w:rFonts w:ascii="Aptos" w:hAnsi="Aptos" w:cs="Times New Roman"/>
          <w:sz w:val="20"/>
          <w:szCs w:val="20"/>
          <w:lang w:eastAsia="ar-SA"/>
        </w:rPr>
      </w:pPr>
      <w:r w:rsidRPr="002B383E">
        <w:rPr>
          <w:rFonts w:ascii="Aptos" w:hAnsi="Aptos" w:cs="Times New Roman"/>
          <w:sz w:val="20"/>
          <w:szCs w:val="20"/>
          <w:vertAlign w:val="superscript"/>
        </w:rPr>
        <w:footnoteRef/>
      </w:r>
      <w:r w:rsidRPr="002B383E" w:rsidR="000A4D6C">
        <w:rPr>
          <w:rFonts w:ascii="Aptos" w:hAnsi="Aptos" w:cs="Times New Roman"/>
          <w:sz w:val="20"/>
          <w:szCs w:val="20"/>
        </w:rPr>
        <w:t>Sk.</w:t>
      </w:r>
      <w:r w:rsidRPr="002B383E">
        <w:rPr>
          <w:rFonts w:ascii="Aptos" w:hAnsi="Aptos" w:cs="Times New Roman"/>
          <w:sz w:val="20"/>
          <w:szCs w:val="20"/>
        </w:rPr>
        <w:t xml:space="preserve"> Augstākās tiesas 2012. gada 17. augusta </w:t>
      </w:r>
      <w:r w:rsidRPr="002B383E" w:rsidR="00D25762">
        <w:rPr>
          <w:rFonts w:ascii="Aptos" w:hAnsi="Aptos" w:cs="Times New Roman"/>
          <w:sz w:val="20"/>
          <w:szCs w:val="20"/>
        </w:rPr>
        <w:t xml:space="preserve">lēmuma par pagaidu aizsardzību lietā </w:t>
      </w:r>
      <w:r w:rsidRPr="002B383E">
        <w:rPr>
          <w:rFonts w:ascii="Aptos" w:hAnsi="Aptos" w:cs="Times New Roman"/>
          <w:sz w:val="20"/>
          <w:szCs w:val="20"/>
        </w:rPr>
        <w:t>Nr.SKA-850/2012 (A420456612), 7.punkts</w:t>
      </w:r>
      <w:r w:rsidRPr="002B383E" w:rsidR="00D25762">
        <w:rPr>
          <w:rFonts w:ascii="Aptos" w:hAnsi="Aptos" w:cs="Times New Roman"/>
          <w:sz w:val="20"/>
          <w:szCs w:val="20"/>
        </w:rPr>
        <w:t>.</w:t>
      </w:r>
    </w:p>
  </w:footnote>
  <w:footnote w:id="2">
    <w:p w:rsidR="0085319D" w:rsidP="0085319D" w:rsidRDefault="0085319D" w14:paraId="6967E46F" w14:textId="1CFAA8C2">
      <w:pPr>
        <w:pStyle w:val="FootnoteText"/>
        <w:contextualSpacing/>
        <w:jc w:val="both"/>
      </w:pPr>
      <w:r w:rsidRPr="002B383E">
        <w:rPr>
          <w:rStyle w:val="FootnoteReference"/>
          <w:rFonts w:ascii="Aptos" w:hAnsi="Aptos"/>
        </w:rPr>
        <w:footnoteRef/>
      </w:r>
      <w:r w:rsidRPr="002B383E">
        <w:rPr>
          <w:rFonts w:ascii="Aptos" w:hAnsi="Aptos"/>
        </w:rPr>
        <w:t xml:space="preserve"> </w:t>
      </w:r>
      <w:r w:rsidRPr="002B383E">
        <w:rPr>
          <w:rFonts w:ascii="Aptos" w:hAnsi="Aptos"/>
        </w:rPr>
        <w:t>Sk. Augstākās tiesas 2014. gada 6. novembra spriedum</w:t>
      </w:r>
      <w:r w:rsidRPr="002B383E" w:rsidR="00D25762">
        <w:rPr>
          <w:rFonts w:ascii="Aptos" w:hAnsi="Aptos"/>
        </w:rPr>
        <w:t>a</w:t>
      </w:r>
      <w:r w:rsidRPr="002B383E">
        <w:rPr>
          <w:rFonts w:ascii="Aptos" w:hAnsi="Aptos"/>
        </w:rPr>
        <w:t xml:space="preserve"> lietā Nr.SKA-681/2014 8.punkt</w:t>
      </w:r>
      <w:r w:rsidRPr="002B383E" w:rsidR="00D25762">
        <w:rPr>
          <w:rFonts w:ascii="Aptos" w:hAnsi="Aptos"/>
        </w:rPr>
        <w:t>s.</w:t>
      </w:r>
    </w:p>
  </w:footnote>
  <w:footnote w:id="3">
    <w:p w:rsidRPr="006A5DF4" w:rsidR="00B46C62" w:rsidP="00B46C62" w:rsidRDefault="00B46C62" w14:paraId="2B0366BC" w14:textId="77777777">
      <w:pPr>
        <w:pStyle w:val="FootnoteText"/>
        <w:rPr>
          <w:rFonts w:ascii="Aptos" w:hAnsi="Aptos" w:eastAsia="Calibri"/>
          <w:lang w:eastAsia="ar-SA"/>
        </w:rPr>
      </w:pPr>
      <w:r w:rsidRPr="006A5DF4">
        <w:rPr>
          <w:rStyle w:val="FootnoteReference"/>
          <w:rFonts w:ascii="Aptos" w:hAnsi="Aptos"/>
        </w:rPr>
        <w:footnoteRef/>
      </w:r>
      <w:r w:rsidRPr="006A5DF4">
        <w:rPr>
          <w:rFonts w:ascii="Aptos" w:hAnsi="Aptos"/>
        </w:rPr>
        <w:t xml:space="preserve"> </w:t>
      </w:r>
      <w:r w:rsidRPr="006A5DF4">
        <w:rPr>
          <w:rFonts w:ascii="Aptos" w:hAnsi="Aptos"/>
        </w:rPr>
        <w:t xml:space="preserve">Skat. Latvijas būvuzņēmēju partnerības pētījumu par nodrošinājumiem publiskajos būvdarbu iepirkumos, pieejams </w:t>
      </w:r>
      <w:hyperlink w:history="1" r:id="rId1">
        <w:r w:rsidRPr="006A5DF4">
          <w:rPr>
            <w:rStyle w:val="Hyperlink"/>
            <w:rFonts w:ascii="Aptos" w:hAnsi="Aptos"/>
          </w:rPr>
          <w:t>http://www.latvijasbuvnieki.lv/content/uploads/2019/03/20190319_petijums_par_nodrosinajumiem_buvdarbu_iepirkumos.pdf</w:t>
        </w:r>
      </w:hyperlink>
      <w:r w:rsidRPr="006A5DF4">
        <w:rPr>
          <w:rFonts w:ascii="Aptos" w:hAnsi="Aptos"/>
        </w:rPr>
        <w:t xml:space="preserve"> </w:t>
      </w:r>
    </w:p>
  </w:footnote>
  <w:footnote w:id="4">
    <w:p w:rsidRPr="006A5DF4" w:rsidR="006A5DF4" w:rsidRDefault="006A5DF4" w14:paraId="2C33E47F" w14:textId="656A3DDF">
      <w:pPr>
        <w:pStyle w:val="FootnoteText"/>
      </w:pPr>
      <w:r w:rsidRPr="006A5DF4">
        <w:rPr>
          <w:rStyle w:val="FootnoteReference"/>
          <w:rFonts w:ascii="Aptos" w:hAnsi="Aptos"/>
        </w:rPr>
        <w:footnoteRef/>
      </w:r>
      <w:r w:rsidRPr="006A5DF4">
        <w:rPr>
          <w:rFonts w:ascii="Aptos" w:hAnsi="Aptos"/>
        </w:rPr>
        <w:t xml:space="preserve"> </w:t>
      </w:r>
      <w:r w:rsidRPr="006A5DF4">
        <w:rPr>
          <w:rFonts w:ascii="Aptos" w:hAnsi="Aptos"/>
        </w:rPr>
        <w:t>Aprēķins veikts, iegūstot vidējo cenu no a</w:t>
      </w:r>
      <w:r w:rsidRPr="006A5DF4">
        <w:rPr>
          <w:rFonts w:ascii="Aptos" w:hAnsi="Aptos"/>
          <w:lang w:eastAsia="ar-SA"/>
        </w:rPr>
        <w:t>pdrošināšanas</w:t>
      </w:r>
      <w:r>
        <w:rPr>
          <w:rFonts w:ascii="Aptos" w:hAnsi="Aptos"/>
          <w:lang w:eastAsia="ar-SA"/>
        </w:rPr>
        <w:t xml:space="preserve"> kompāniju norādītās polises prēmijas cenas.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4A83E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AE94E8D"/>
    <w:multiLevelType w:val="hybridMultilevel"/>
    <w:tmpl w:val="E6169FE8"/>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80ED0"/>
    <w:multiLevelType w:val="hybridMultilevel"/>
    <w:tmpl w:val="9276549E"/>
    <w:lvl w:ilvl="0" w:tplc="04260001">
      <w:start w:val="1"/>
      <w:numFmt w:val="bullet"/>
      <w:lvlText w:val=""/>
      <w:lvlJc w:val="left"/>
      <w:pPr>
        <w:ind w:left="1145" w:hanging="360"/>
      </w:pPr>
      <w:rPr>
        <w:rFonts w:hint="default" w:ascii="Symbol" w:hAnsi="Symbol"/>
      </w:rPr>
    </w:lvl>
    <w:lvl w:ilvl="1" w:tplc="04260003" w:tentative="1">
      <w:start w:val="1"/>
      <w:numFmt w:val="bullet"/>
      <w:lvlText w:val="o"/>
      <w:lvlJc w:val="left"/>
      <w:pPr>
        <w:ind w:left="1865" w:hanging="360"/>
      </w:pPr>
      <w:rPr>
        <w:rFonts w:hint="default" w:ascii="Courier New" w:hAnsi="Courier New" w:cs="Courier New"/>
      </w:rPr>
    </w:lvl>
    <w:lvl w:ilvl="2" w:tplc="04260005" w:tentative="1">
      <w:start w:val="1"/>
      <w:numFmt w:val="bullet"/>
      <w:lvlText w:val=""/>
      <w:lvlJc w:val="left"/>
      <w:pPr>
        <w:ind w:left="2585" w:hanging="360"/>
      </w:pPr>
      <w:rPr>
        <w:rFonts w:hint="default" w:ascii="Wingdings" w:hAnsi="Wingdings"/>
      </w:rPr>
    </w:lvl>
    <w:lvl w:ilvl="3" w:tplc="04260001" w:tentative="1">
      <w:start w:val="1"/>
      <w:numFmt w:val="bullet"/>
      <w:lvlText w:val=""/>
      <w:lvlJc w:val="left"/>
      <w:pPr>
        <w:ind w:left="3305" w:hanging="360"/>
      </w:pPr>
      <w:rPr>
        <w:rFonts w:hint="default" w:ascii="Symbol" w:hAnsi="Symbol"/>
      </w:rPr>
    </w:lvl>
    <w:lvl w:ilvl="4" w:tplc="04260003" w:tentative="1">
      <w:start w:val="1"/>
      <w:numFmt w:val="bullet"/>
      <w:lvlText w:val="o"/>
      <w:lvlJc w:val="left"/>
      <w:pPr>
        <w:ind w:left="4025" w:hanging="360"/>
      </w:pPr>
      <w:rPr>
        <w:rFonts w:hint="default" w:ascii="Courier New" w:hAnsi="Courier New" w:cs="Courier New"/>
      </w:rPr>
    </w:lvl>
    <w:lvl w:ilvl="5" w:tplc="04260005" w:tentative="1">
      <w:start w:val="1"/>
      <w:numFmt w:val="bullet"/>
      <w:lvlText w:val=""/>
      <w:lvlJc w:val="left"/>
      <w:pPr>
        <w:ind w:left="4745" w:hanging="360"/>
      </w:pPr>
      <w:rPr>
        <w:rFonts w:hint="default" w:ascii="Wingdings" w:hAnsi="Wingdings"/>
      </w:rPr>
    </w:lvl>
    <w:lvl w:ilvl="6" w:tplc="04260001" w:tentative="1">
      <w:start w:val="1"/>
      <w:numFmt w:val="bullet"/>
      <w:lvlText w:val=""/>
      <w:lvlJc w:val="left"/>
      <w:pPr>
        <w:ind w:left="5465" w:hanging="360"/>
      </w:pPr>
      <w:rPr>
        <w:rFonts w:hint="default" w:ascii="Symbol" w:hAnsi="Symbol"/>
      </w:rPr>
    </w:lvl>
    <w:lvl w:ilvl="7" w:tplc="04260003" w:tentative="1">
      <w:start w:val="1"/>
      <w:numFmt w:val="bullet"/>
      <w:lvlText w:val="o"/>
      <w:lvlJc w:val="left"/>
      <w:pPr>
        <w:ind w:left="6185" w:hanging="360"/>
      </w:pPr>
      <w:rPr>
        <w:rFonts w:hint="default" w:ascii="Courier New" w:hAnsi="Courier New" w:cs="Courier New"/>
      </w:rPr>
    </w:lvl>
    <w:lvl w:ilvl="8" w:tplc="04260005" w:tentative="1">
      <w:start w:val="1"/>
      <w:numFmt w:val="bullet"/>
      <w:lvlText w:val=""/>
      <w:lvlJc w:val="left"/>
      <w:pPr>
        <w:ind w:left="6905" w:hanging="360"/>
      </w:pPr>
      <w:rPr>
        <w:rFonts w:hint="default" w:ascii="Wingdings" w:hAnsi="Wingdings"/>
      </w:rPr>
    </w:lvl>
  </w:abstractNum>
  <w:abstractNum w:abstractNumId="3" w15:restartNumberingAfterBreak="0">
    <w:nsid w:val="1C1E69A7"/>
    <w:multiLevelType w:val="multilevel"/>
    <w:tmpl w:val="DEA4E7A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8106F0"/>
    <w:multiLevelType w:val="hybridMultilevel"/>
    <w:tmpl w:val="651C78EC"/>
    <w:lvl w:ilvl="0" w:tplc="B0C63CB6">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F7579C9"/>
    <w:multiLevelType w:val="hybridMultilevel"/>
    <w:tmpl w:val="A5EE3AE6"/>
    <w:lvl w:ilvl="0" w:tplc="E334F370">
      <w:numFmt w:val="bullet"/>
      <w:lvlText w:val="-"/>
      <w:lvlJc w:val="left"/>
      <w:pPr>
        <w:ind w:left="1080" w:hanging="360"/>
      </w:pPr>
      <w:rPr>
        <w:rFonts w:hint="default" w:ascii="Times New Roman" w:hAnsi="Times New Roman" w:eastAsia="Times New Roman"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6" w15:restartNumberingAfterBreak="0">
    <w:nsid w:val="228A465E"/>
    <w:multiLevelType w:val="singleLevel"/>
    <w:tmpl w:val="94863F8A"/>
    <w:lvl w:ilvl="0">
      <w:start w:val="1"/>
      <w:numFmt w:val="decimal"/>
      <w:lvlText w:val="4.%1."/>
      <w:legacy w:legacy="1" w:legacySpace="0" w:legacyIndent="499"/>
      <w:lvlJc w:val="left"/>
      <w:rPr>
        <w:rFonts w:hint="default" w:ascii="Times New Roman" w:hAnsi="Times New Roman" w:cs="Times New Roman"/>
      </w:rPr>
    </w:lvl>
  </w:abstractNum>
  <w:abstractNum w:abstractNumId="7" w15:restartNumberingAfterBreak="0">
    <w:nsid w:val="2C5208D4"/>
    <w:multiLevelType w:val="hybridMultilevel"/>
    <w:tmpl w:val="7CEAB560"/>
    <w:lvl w:ilvl="0" w:tplc="8BB8B926">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 w15:restartNumberingAfterBreak="0">
    <w:nsid w:val="3686695A"/>
    <w:multiLevelType w:val="multilevel"/>
    <w:tmpl w:val="BE9879E0"/>
    <w:lvl w:ilvl="0">
      <w:start w:val="1"/>
      <w:numFmt w:val="decimal"/>
      <w:lvlText w:val="%1."/>
      <w:lvlJc w:val="left"/>
      <w:pPr>
        <w:tabs>
          <w:tab w:val="num" w:pos="0"/>
        </w:tabs>
        <w:ind w:left="340" w:firstLine="0"/>
      </w:pPr>
    </w:lvl>
    <w:lvl w:ilvl="1">
      <w:start w:val="1"/>
      <w:numFmt w:val="decimal"/>
      <w:lvlText w:val="%1.%2."/>
      <w:lvlJc w:val="left"/>
      <w:pPr>
        <w:tabs>
          <w:tab w:val="num" w:pos="0"/>
        </w:tabs>
        <w:ind w:left="576" w:firstLine="2"/>
      </w:pPr>
      <w:rPr>
        <w:b/>
      </w:rPr>
    </w:lvl>
    <w:lvl w:ilvl="2">
      <w:start w:val="1"/>
      <w:numFmt w:val="decimal"/>
      <w:lvlText w:val="%1.%2.%3."/>
      <w:lvlJc w:val="left"/>
      <w:pPr>
        <w:tabs>
          <w:tab w:val="num" w:pos="131"/>
        </w:tabs>
        <w:ind w:left="0" w:firstLine="0"/>
      </w:pPr>
      <w:rPr>
        <w:rFonts w:ascii="Times New Roman" w:hAnsi="Times New Roman"/>
        <w:b w:val="0"/>
        <w:bCs w:val="0"/>
        <w:i w:val="0"/>
        <w:iCs w:val="0"/>
        <w:caps w:val="0"/>
        <w:smallCaps w:val="0"/>
        <w:strike w:val="0"/>
        <w:dstrike w:val="0"/>
        <w:vanish w:val="0"/>
        <w:webHidden w:val="0"/>
        <w:color w:val="000000"/>
        <w:spacing w:val="0"/>
        <w:kern w:val="0"/>
        <w:position w:val="0"/>
        <w:sz w:val="24"/>
        <w:u w:val="none"/>
        <w:effect w:val="none"/>
        <w:vertAlign w:val="baseline"/>
        <w:em w:val="none"/>
        <w:specVanish w:val="0"/>
      </w:rPr>
    </w:lvl>
    <w:lvl w:ilvl="3">
      <w:start w:val="1"/>
      <w:numFmt w:val="decimal"/>
      <w:lvlText w:val="%1.%2.%3.%4."/>
      <w:lvlJc w:val="left"/>
      <w:pPr>
        <w:tabs>
          <w:tab w:val="num" w:pos="510"/>
        </w:tabs>
        <w:ind w:left="240" w:hanging="240"/>
      </w:pPr>
      <w:rPr>
        <w:rFonts w:ascii="Times New Roman" w:hAnsi="Times New Roman" w:cs="Times New Roman"/>
        <w:b w:val="0"/>
        <w:bCs w:val="0"/>
        <w:i w:val="0"/>
        <w:iCs w:val="0"/>
        <w:caps w:val="0"/>
        <w:smallCaps w:val="0"/>
        <w:strike w:val="0"/>
        <w:dstrike w:val="0"/>
        <w:vanish w:val="0"/>
        <w:webHidden w:val="0"/>
        <w:color w:val="000000"/>
        <w:spacing w:val="0"/>
        <w:kern w:val="0"/>
        <w:position w:val="0"/>
        <w:sz w:val="20"/>
        <w:u w:val="none"/>
        <w:effect w:val="none"/>
        <w:vertAlign w:val="baseline"/>
        <w:em w:val="none"/>
        <w:specVanish w:val="0"/>
      </w:rPr>
    </w:lvl>
    <w:lvl w:ilvl="4">
      <w:start w:val="1"/>
      <w:numFmt w:val="decimal"/>
      <w:lvlText w:val="%1.%2.%3.%4.%5."/>
      <w:lvlJc w:val="left"/>
      <w:pPr>
        <w:tabs>
          <w:tab w:val="num" w:pos="0"/>
        </w:tabs>
        <w:ind w:left="2143" w:hanging="725"/>
      </w:pPr>
      <w:rPr>
        <w:rFonts w:ascii="Times New Roman" w:hAnsi="Times New Roman"/>
        <w:b w:val="0"/>
        <w:bCs w:val="0"/>
        <w:i w:val="0"/>
        <w:iCs w:val="0"/>
        <w:caps w:val="0"/>
        <w:smallCaps w:val="0"/>
        <w:strike w:val="0"/>
        <w:dstrike w:val="0"/>
        <w:vanish w:val="0"/>
        <w:webHidden w:val="0"/>
        <w:color w:val="000000"/>
        <w:spacing w:val="0"/>
        <w:kern w:val="0"/>
        <w:position w:val="0"/>
        <w:sz w:val="20"/>
        <w:u w:val="none"/>
        <w:effect w:val="none"/>
        <w:vertAlign w:val="baseline"/>
        <w:em w:val="none"/>
        <w:specVanish w:val="0"/>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38C464A4"/>
    <w:multiLevelType w:val="hybridMultilevel"/>
    <w:tmpl w:val="F59263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9193E72"/>
    <w:multiLevelType w:val="multilevel"/>
    <w:tmpl w:val="2758BCD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123F81"/>
    <w:multiLevelType w:val="hybridMultilevel"/>
    <w:tmpl w:val="B50C0B14"/>
    <w:lvl w:ilvl="0" w:tplc="4CF0EE9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9839F5"/>
    <w:multiLevelType w:val="multilevel"/>
    <w:tmpl w:val="FB3011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572"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F931BC"/>
    <w:multiLevelType w:val="hybridMultilevel"/>
    <w:tmpl w:val="F59263B8"/>
    <w:lvl w:ilvl="0" w:tplc="6D5E1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907F82"/>
    <w:multiLevelType w:val="hybridMultilevel"/>
    <w:tmpl w:val="E3F49696"/>
    <w:lvl w:ilvl="0" w:tplc="04260001">
      <w:start w:val="1"/>
      <w:numFmt w:val="bullet"/>
      <w:lvlText w:val=""/>
      <w:lvlJc w:val="left"/>
      <w:pPr>
        <w:ind w:left="1145" w:hanging="360"/>
      </w:pPr>
      <w:rPr>
        <w:rFonts w:hint="default" w:ascii="Symbol" w:hAnsi="Symbol"/>
      </w:rPr>
    </w:lvl>
    <w:lvl w:ilvl="1" w:tplc="04260003" w:tentative="1">
      <w:start w:val="1"/>
      <w:numFmt w:val="bullet"/>
      <w:lvlText w:val="o"/>
      <w:lvlJc w:val="left"/>
      <w:pPr>
        <w:ind w:left="1865" w:hanging="360"/>
      </w:pPr>
      <w:rPr>
        <w:rFonts w:hint="default" w:ascii="Courier New" w:hAnsi="Courier New" w:cs="Courier New"/>
      </w:rPr>
    </w:lvl>
    <w:lvl w:ilvl="2" w:tplc="04260005" w:tentative="1">
      <w:start w:val="1"/>
      <w:numFmt w:val="bullet"/>
      <w:lvlText w:val=""/>
      <w:lvlJc w:val="left"/>
      <w:pPr>
        <w:ind w:left="2585" w:hanging="360"/>
      </w:pPr>
      <w:rPr>
        <w:rFonts w:hint="default" w:ascii="Wingdings" w:hAnsi="Wingdings"/>
      </w:rPr>
    </w:lvl>
    <w:lvl w:ilvl="3" w:tplc="04260001" w:tentative="1">
      <w:start w:val="1"/>
      <w:numFmt w:val="bullet"/>
      <w:lvlText w:val=""/>
      <w:lvlJc w:val="left"/>
      <w:pPr>
        <w:ind w:left="3305" w:hanging="360"/>
      </w:pPr>
      <w:rPr>
        <w:rFonts w:hint="default" w:ascii="Symbol" w:hAnsi="Symbol"/>
      </w:rPr>
    </w:lvl>
    <w:lvl w:ilvl="4" w:tplc="04260003" w:tentative="1">
      <w:start w:val="1"/>
      <w:numFmt w:val="bullet"/>
      <w:lvlText w:val="o"/>
      <w:lvlJc w:val="left"/>
      <w:pPr>
        <w:ind w:left="4025" w:hanging="360"/>
      </w:pPr>
      <w:rPr>
        <w:rFonts w:hint="default" w:ascii="Courier New" w:hAnsi="Courier New" w:cs="Courier New"/>
      </w:rPr>
    </w:lvl>
    <w:lvl w:ilvl="5" w:tplc="04260005" w:tentative="1">
      <w:start w:val="1"/>
      <w:numFmt w:val="bullet"/>
      <w:lvlText w:val=""/>
      <w:lvlJc w:val="left"/>
      <w:pPr>
        <w:ind w:left="4745" w:hanging="360"/>
      </w:pPr>
      <w:rPr>
        <w:rFonts w:hint="default" w:ascii="Wingdings" w:hAnsi="Wingdings"/>
      </w:rPr>
    </w:lvl>
    <w:lvl w:ilvl="6" w:tplc="04260001" w:tentative="1">
      <w:start w:val="1"/>
      <w:numFmt w:val="bullet"/>
      <w:lvlText w:val=""/>
      <w:lvlJc w:val="left"/>
      <w:pPr>
        <w:ind w:left="5465" w:hanging="360"/>
      </w:pPr>
      <w:rPr>
        <w:rFonts w:hint="default" w:ascii="Symbol" w:hAnsi="Symbol"/>
      </w:rPr>
    </w:lvl>
    <w:lvl w:ilvl="7" w:tplc="04260003" w:tentative="1">
      <w:start w:val="1"/>
      <w:numFmt w:val="bullet"/>
      <w:lvlText w:val="o"/>
      <w:lvlJc w:val="left"/>
      <w:pPr>
        <w:ind w:left="6185" w:hanging="360"/>
      </w:pPr>
      <w:rPr>
        <w:rFonts w:hint="default" w:ascii="Courier New" w:hAnsi="Courier New" w:cs="Courier New"/>
      </w:rPr>
    </w:lvl>
    <w:lvl w:ilvl="8" w:tplc="04260005" w:tentative="1">
      <w:start w:val="1"/>
      <w:numFmt w:val="bullet"/>
      <w:lvlText w:val=""/>
      <w:lvlJc w:val="left"/>
      <w:pPr>
        <w:ind w:left="6905" w:hanging="360"/>
      </w:pPr>
      <w:rPr>
        <w:rFonts w:hint="default" w:ascii="Wingdings" w:hAnsi="Wingdings"/>
      </w:rPr>
    </w:lvl>
  </w:abstractNum>
  <w:abstractNum w:abstractNumId="15" w15:restartNumberingAfterBreak="0">
    <w:nsid w:val="69105D20"/>
    <w:multiLevelType w:val="hybridMultilevel"/>
    <w:tmpl w:val="7CEAB56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7498356B"/>
    <w:multiLevelType w:val="hybridMultilevel"/>
    <w:tmpl w:val="86C80F22"/>
    <w:lvl w:ilvl="0" w:tplc="08E6BEE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461A30"/>
    <w:multiLevelType w:val="multilevel"/>
    <w:tmpl w:val="AFB093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BE46FE"/>
    <w:multiLevelType w:val="hybridMultilevel"/>
    <w:tmpl w:val="9C3089FC"/>
    <w:lvl w:ilvl="0" w:tplc="131ED1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0846420">
    <w:abstractNumId w:val="16"/>
  </w:num>
  <w:num w:numId="2" w16cid:durableId="286087169">
    <w:abstractNumId w:val="11"/>
  </w:num>
  <w:num w:numId="3" w16cid:durableId="773131788">
    <w:abstractNumId w:val="3"/>
  </w:num>
  <w:num w:numId="4" w16cid:durableId="1240680090">
    <w:abstractNumId w:val="1"/>
  </w:num>
  <w:num w:numId="5" w16cid:durableId="1949896613">
    <w:abstractNumId w:val="18"/>
  </w:num>
  <w:num w:numId="6" w16cid:durableId="1977223615">
    <w:abstractNumId w:val="12"/>
  </w:num>
  <w:num w:numId="7" w16cid:durableId="862133272">
    <w:abstractNumId w:val="6"/>
  </w:num>
  <w:num w:numId="8" w16cid:durableId="528835014">
    <w:abstractNumId w:val="0"/>
  </w:num>
  <w:num w:numId="9" w16cid:durableId="275255029">
    <w:abstractNumId w:val="5"/>
  </w:num>
  <w:num w:numId="10" w16cid:durableId="2081324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406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641534">
    <w:abstractNumId w:val="10"/>
  </w:num>
  <w:num w:numId="13" w16cid:durableId="251670664">
    <w:abstractNumId w:val="17"/>
  </w:num>
  <w:num w:numId="14" w16cid:durableId="939145291">
    <w:abstractNumId w:val="4"/>
  </w:num>
  <w:num w:numId="15" w16cid:durableId="74596664">
    <w:abstractNumId w:val="13"/>
  </w:num>
  <w:num w:numId="16" w16cid:durableId="753668003">
    <w:abstractNumId w:val="9"/>
  </w:num>
  <w:num w:numId="17" w16cid:durableId="1539078367">
    <w:abstractNumId w:val="7"/>
  </w:num>
  <w:num w:numId="18" w16cid:durableId="1384672600">
    <w:abstractNumId w:val="15"/>
  </w:num>
  <w:num w:numId="19" w16cid:durableId="503666656">
    <w:abstractNumId w:val="14"/>
  </w:num>
  <w:num w:numId="20" w16cid:durableId="2110153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93"/>
    <w:rsid w:val="000032A3"/>
    <w:rsid w:val="0001006B"/>
    <w:rsid w:val="0003014D"/>
    <w:rsid w:val="00031398"/>
    <w:rsid w:val="000348F8"/>
    <w:rsid w:val="00036786"/>
    <w:rsid w:val="00042311"/>
    <w:rsid w:val="00042A3F"/>
    <w:rsid w:val="00044917"/>
    <w:rsid w:val="000479D6"/>
    <w:rsid w:val="00052602"/>
    <w:rsid w:val="00055EE1"/>
    <w:rsid w:val="00061235"/>
    <w:rsid w:val="00061F20"/>
    <w:rsid w:val="00061F43"/>
    <w:rsid w:val="00062F93"/>
    <w:rsid w:val="00063A18"/>
    <w:rsid w:val="000671B5"/>
    <w:rsid w:val="00074087"/>
    <w:rsid w:val="0008216C"/>
    <w:rsid w:val="0008684C"/>
    <w:rsid w:val="00090AA9"/>
    <w:rsid w:val="00090F13"/>
    <w:rsid w:val="00093C34"/>
    <w:rsid w:val="000A0D8D"/>
    <w:rsid w:val="000A234A"/>
    <w:rsid w:val="000A3390"/>
    <w:rsid w:val="000A4D6C"/>
    <w:rsid w:val="000A50AA"/>
    <w:rsid w:val="000A70D2"/>
    <w:rsid w:val="000B0060"/>
    <w:rsid w:val="000B3B6D"/>
    <w:rsid w:val="000B3DDA"/>
    <w:rsid w:val="000C2ADC"/>
    <w:rsid w:val="000C4651"/>
    <w:rsid w:val="000D0EF2"/>
    <w:rsid w:val="000E2182"/>
    <w:rsid w:val="000E5A43"/>
    <w:rsid w:val="000E6997"/>
    <w:rsid w:val="000F3B2B"/>
    <w:rsid w:val="000F54E8"/>
    <w:rsid w:val="000F7FDA"/>
    <w:rsid w:val="00100A49"/>
    <w:rsid w:val="001150A8"/>
    <w:rsid w:val="00120502"/>
    <w:rsid w:val="00130087"/>
    <w:rsid w:val="00131DB9"/>
    <w:rsid w:val="0013386F"/>
    <w:rsid w:val="00135624"/>
    <w:rsid w:val="00142BCB"/>
    <w:rsid w:val="00142FD0"/>
    <w:rsid w:val="001554D0"/>
    <w:rsid w:val="00167732"/>
    <w:rsid w:val="00177187"/>
    <w:rsid w:val="00184401"/>
    <w:rsid w:val="00184914"/>
    <w:rsid w:val="001863F4"/>
    <w:rsid w:val="001A7BAA"/>
    <w:rsid w:val="001B0947"/>
    <w:rsid w:val="001B1600"/>
    <w:rsid w:val="001B1F88"/>
    <w:rsid w:val="001B36E2"/>
    <w:rsid w:val="001B5305"/>
    <w:rsid w:val="001C6244"/>
    <w:rsid w:val="001C6B9A"/>
    <w:rsid w:val="001E25F8"/>
    <w:rsid w:val="001E4DEE"/>
    <w:rsid w:val="001E60EE"/>
    <w:rsid w:val="001F2911"/>
    <w:rsid w:val="0020100D"/>
    <w:rsid w:val="002018D0"/>
    <w:rsid w:val="002021CE"/>
    <w:rsid w:val="002028F8"/>
    <w:rsid w:val="00204865"/>
    <w:rsid w:val="00215356"/>
    <w:rsid w:val="00215A11"/>
    <w:rsid w:val="00231094"/>
    <w:rsid w:val="0023237A"/>
    <w:rsid w:val="0023659A"/>
    <w:rsid w:val="002450AB"/>
    <w:rsid w:val="00261DCC"/>
    <w:rsid w:val="002657CF"/>
    <w:rsid w:val="002809D5"/>
    <w:rsid w:val="00284A05"/>
    <w:rsid w:val="0029074A"/>
    <w:rsid w:val="002A475F"/>
    <w:rsid w:val="002A55C5"/>
    <w:rsid w:val="002A65DB"/>
    <w:rsid w:val="002A6889"/>
    <w:rsid w:val="002B383E"/>
    <w:rsid w:val="002C3302"/>
    <w:rsid w:val="002D1CE7"/>
    <w:rsid w:val="002E39DC"/>
    <w:rsid w:val="002E7753"/>
    <w:rsid w:val="002F5DEB"/>
    <w:rsid w:val="003024D4"/>
    <w:rsid w:val="003036B3"/>
    <w:rsid w:val="00306EA2"/>
    <w:rsid w:val="003121EE"/>
    <w:rsid w:val="00327F01"/>
    <w:rsid w:val="00332D35"/>
    <w:rsid w:val="0033685A"/>
    <w:rsid w:val="003405AC"/>
    <w:rsid w:val="00344069"/>
    <w:rsid w:val="00344773"/>
    <w:rsid w:val="00344946"/>
    <w:rsid w:val="00344BDA"/>
    <w:rsid w:val="003469E9"/>
    <w:rsid w:val="003479CB"/>
    <w:rsid w:val="0035164D"/>
    <w:rsid w:val="0035706D"/>
    <w:rsid w:val="0036231B"/>
    <w:rsid w:val="00371482"/>
    <w:rsid w:val="0039151F"/>
    <w:rsid w:val="00391F17"/>
    <w:rsid w:val="003929BD"/>
    <w:rsid w:val="003A2659"/>
    <w:rsid w:val="003A349C"/>
    <w:rsid w:val="003A4611"/>
    <w:rsid w:val="003B365A"/>
    <w:rsid w:val="003B640C"/>
    <w:rsid w:val="003C0163"/>
    <w:rsid w:val="003C2A32"/>
    <w:rsid w:val="003C2B7A"/>
    <w:rsid w:val="003C558E"/>
    <w:rsid w:val="003C59C6"/>
    <w:rsid w:val="003C7757"/>
    <w:rsid w:val="003C7CC2"/>
    <w:rsid w:val="003D0AD5"/>
    <w:rsid w:val="003E297B"/>
    <w:rsid w:val="003E561A"/>
    <w:rsid w:val="003E78CE"/>
    <w:rsid w:val="003F31C9"/>
    <w:rsid w:val="003F4C20"/>
    <w:rsid w:val="003F64C3"/>
    <w:rsid w:val="0040095D"/>
    <w:rsid w:val="00407CAE"/>
    <w:rsid w:val="00414A12"/>
    <w:rsid w:val="00414CDC"/>
    <w:rsid w:val="0041587D"/>
    <w:rsid w:val="0042356B"/>
    <w:rsid w:val="00423D01"/>
    <w:rsid w:val="004309C9"/>
    <w:rsid w:val="00447A4D"/>
    <w:rsid w:val="004565FE"/>
    <w:rsid w:val="0046310D"/>
    <w:rsid w:val="004744D5"/>
    <w:rsid w:val="00477118"/>
    <w:rsid w:val="00485063"/>
    <w:rsid w:val="00487D11"/>
    <w:rsid w:val="00490685"/>
    <w:rsid w:val="004C021E"/>
    <w:rsid w:val="004C19E2"/>
    <w:rsid w:val="004C2F24"/>
    <w:rsid w:val="004D568A"/>
    <w:rsid w:val="004E2915"/>
    <w:rsid w:val="004F1B5E"/>
    <w:rsid w:val="00501522"/>
    <w:rsid w:val="00501D1F"/>
    <w:rsid w:val="0050421D"/>
    <w:rsid w:val="0051121B"/>
    <w:rsid w:val="005118F4"/>
    <w:rsid w:val="0051314D"/>
    <w:rsid w:val="00524817"/>
    <w:rsid w:val="0052671D"/>
    <w:rsid w:val="00527047"/>
    <w:rsid w:val="00533E82"/>
    <w:rsid w:val="00537FD1"/>
    <w:rsid w:val="005422F0"/>
    <w:rsid w:val="00544C40"/>
    <w:rsid w:val="00545E02"/>
    <w:rsid w:val="00553D4B"/>
    <w:rsid w:val="00556792"/>
    <w:rsid w:val="0055761B"/>
    <w:rsid w:val="0059320F"/>
    <w:rsid w:val="0059540A"/>
    <w:rsid w:val="005A0953"/>
    <w:rsid w:val="005A104C"/>
    <w:rsid w:val="005B08D8"/>
    <w:rsid w:val="005B38CD"/>
    <w:rsid w:val="005C45C9"/>
    <w:rsid w:val="005C6932"/>
    <w:rsid w:val="005C724D"/>
    <w:rsid w:val="005D2E80"/>
    <w:rsid w:val="005D4FCD"/>
    <w:rsid w:val="005E5882"/>
    <w:rsid w:val="005F33B1"/>
    <w:rsid w:val="005F39C1"/>
    <w:rsid w:val="005F5BD6"/>
    <w:rsid w:val="005F7145"/>
    <w:rsid w:val="00603C24"/>
    <w:rsid w:val="00627BC4"/>
    <w:rsid w:val="00634341"/>
    <w:rsid w:val="00634F8F"/>
    <w:rsid w:val="00640070"/>
    <w:rsid w:val="0064665A"/>
    <w:rsid w:val="00655B86"/>
    <w:rsid w:val="00667597"/>
    <w:rsid w:val="00686514"/>
    <w:rsid w:val="006A3F33"/>
    <w:rsid w:val="006A4A66"/>
    <w:rsid w:val="006A5DF4"/>
    <w:rsid w:val="006B0F85"/>
    <w:rsid w:val="006B18B9"/>
    <w:rsid w:val="006B72BA"/>
    <w:rsid w:val="006C0FFB"/>
    <w:rsid w:val="006C42EF"/>
    <w:rsid w:val="006C7F1A"/>
    <w:rsid w:val="006D1658"/>
    <w:rsid w:val="006D47DA"/>
    <w:rsid w:val="006E6600"/>
    <w:rsid w:val="006E696D"/>
    <w:rsid w:val="006E7537"/>
    <w:rsid w:val="006F3933"/>
    <w:rsid w:val="006F46E9"/>
    <w:rsid w:val="00702C4D"/>
    <w:rsid w:val="00707C3B"/>
    <w:rsid w:val="00707C9A"/>
    <w:rsid w:val="007117FE"/>
    <w:rsid w:val="00713C3D"/>
    <w:rsid w:val="00722723"/>
    <w:rsid w:val="0073626D"/>
    <w:rsid w:val="00743A2B"/>
    <w:rsid w:val="00754110"/>
    <w:rsid w:val="0076568E"/>
    <w:rsid w:val="00775EA1"/>
    <w:rsid w:val="00782C21"/>
    <w:rsid w:val="00787DD2"/>
    <w:rsid w:val="007B65F0"/>
    <w:rsid w:val="007C44C1"/>
    <w:rsid w:val="007C7D6A"/>
    <w:rsid w:val="007D631C"/>
    <w:rsid w:val="007D74D3"/>
    <w:rsid w:val="007E0698"/>
    <w:rsid w:val="007E2610"/>
    <w:rsid w:val="007E284E"/>
    <w:rsid w:val="007E42DB"/>
    <w:rsid w:val="007F4B9F"/>
    <w:rsid w:val="007F5EF2"/>
    <w:rsid w:val="007F6FC6"/>
    <w:rsid w:val="008011C1"/>
    <w:rsid w:val="008011E6"/>
    <w:rsid w:val="008017B5"/>
    <w:rsid w:val="0080193A"/>
    <w:rsid w:val="00802973"/>
    <w:rsid w:val="00804F6D"/>
    <w:rsid w:val="00806199"/>
    <w:rsid w:val="00807615"/>
    <w:rsid w:val="00810647"/>
    <w:rsid w:val="008116EF"/>
    <w:rsid w:val="0081594E"/>
    <w:rsid w:val="008205F7"/>
    <w:rsid w:val="00823CFE"/>
    <w:rsid w:val="00824DA5"/>
    <w:rsid w:val="00833450"/>
    <w:rsid w:val="008474C7"/>
    <w:rsid w:val="00852D48"/>
    <w:rsid w:val="00852D6A"/>
    <w:rsid w:val="0085319D"/>
    <w:rsid w:val="008653EF"/>
    <w:rsid w:val="008667CF"/>
    <w:rsid w:val="00872691"/>
    <w:rsid w:val="0087739E"/>
    <w:rsid w:val="00892019"/>
    <w:rsid w:val="008A6F51"/>
    <w:rsid w:val="008A7AE9"/>
    <w:rsid w:val="008B045C"/>
    <w:rsid w:val="008D5E80"/>
    <w:rsid w:val="008D6A98"/>
    <w:rsid w:val="008D6BBE"/>
    <w:rsid w:val="008D784A"/>
    <w:rsid w:val="008E2DD2"/>
    <w:rsid w:val="008E63C8"/>
    <w:rsid w:val="008F39F8"/>
    <w:rsid w:val="008F43D0"/>
    <w:rsid w:val="008F48FB"/>
    <w:rsid w:val="008F73D5"/>
    <w:rsid w:val="009016EA"/>
    <w:rsid w:val="00907778"/>
    <w:rsid w:val="00907E79"/>
    <w:rsid w:val="00913DB0"/>
    <w:rsid w:val="009140C1"/>
    <w:rsid w:val="0092347C"/>
    <w:rsid w:val="0093419B"/>
    <w:rsid w:val="00937559"/>
    <w:rsid w:val="009440E6"/>
    <w:rsid w:val="009443C4"/>
    <w:rsid w:val="00957949"/>
    <w:rsid w:val="009663D9"/>
    <w:rsid w:val="00966DFA"/>
    <w:rsid w:val="00967466"/>
    <w:rsid w:val="00986002"/>
    <w:rsid w:val="00987B87"/>
    <w:rsid w:val="009B2286"/>
    <w:rsid w:val="009B28D1"/>
    <w:rsid w:val="009B3234"/>
    <w:rsid w:val="009C0535"/>
    <w:rsid w:val="009C1ACC"/>
    <w:rsid w:val="009C54A1"/>
    <w:rsid w:val="009C57E1"/>
    <w:rsid w:val="009C6480"/>
    <w:rsid w:val="009C7987"/>
    <w:rsid w:val="009D4E5C"/>
    <w:rsid w:val="009F3B89"/>
    <w:rsid w:val="009F7E6D"/>
    <w:rsid w:val="00A01FBB"/>
    <w:rsid w:val="00A20ED2"/>
    <w:rsid w:val="00A224C5"/>
    <w:rsid w:val="00A26A5F"/>
    <w:rsid w:val="00A33D31"/>
    <w:rsid w:val="00A37072"/>
    <w:rsid w:val="00A40E13"/>
    <w:rsid w:val="00A4752E"/>
    <w:rsid w:val="00A5733D"/>
    <w:rsid w:val="00A630ED"/>
    <w:rsid w:val="00A764AE"/>
    <w:rsid w:val="00A875A0"/>
    <w:rsid w:val="00A90E64"/>
    <w:rsid w:val="00A916DA"/>
    <w:rsid w:val="00A971B5"/>
    <w:rsid w:val="00AA0596"/>
    <w:rsid w:val="00AB2D09"/>
    <w:rsid w:val="00AB53A1"/>
    <w:rsid w:val="00AB7E93"/>
    <w:rsid w:val="00AC4049"/>
    <w:rsid w:val="00AC5C14"/>
    <w:rsid w:val="00AC7706"/>
    <w:rsid w:val="00AD024F"/>
    <w:rsid w:val="00AE2AEB"/>
    <w:rsid w:val="00AE5FF9"/>
    <w:rsid w:val="00AF29FE"/>
    <w:rsid w:val="00AF70EC"/>
    <w:rsid w:val="00B0224D"/>
    <w:rsid w:val="00B1094B"/>
    <w:rsid w:val="00B1281F"/>
    <w:rsid w:val="00B1407F"/>
    <w:rsid w:val="00B178A2"/>
    <w:rsid w:val="00B27B10"/>
    <w:rsid w:val="00B27B92"/>
    <w:rsid w:val="00B33C57"/>
    <w:rsid w:val="00B3617B"/>
    <w:rsid w:val="00B36B6F"/>
    <w:rsid w:val="00B40AB8"/>
    <w:rsid w:val="00B46255"/>
    <w:rsid w:val="00B46C62"/>
    <w:rsid w:val="00B47502"/>
    <w:rsid w:val="00B52AE9"/>
    <w:rsid w:val="00B53F56"/>
    <w:rsid w:val="00B543CB"/>
    <w:rsid w:val="00B60EA6"/>
    <w:rsid w:val="00B72EF8"/>
    <w:rsid w:val="00B83287"/>
    <w:rsid w:val="00B8498E"/>
    <w:rsid w:val="00B877FF"/>
    <w:rsid w:val="00B902CE"/>
    <w:rsid w:val="00B93921"/>
    <w:rsid w:val="00B94E88"/>
    <w:rsid w:val="00BA1FC6"/>
    <w:rsid w:val="00BA25E5"/>
    <w:rsid w:val="00BA4984"/>
    <w:rsid w:val="00BA5145"/>
    <w:rsid w:val="00BB02B7"/>
    <w:rsid w:val="00BB2991"/>
    <w:rsid w:val="00BB3351"/>
    <w:rsid w:val="00BB799F"/>
    <w:rsid w:val="00BC1777"/>
    <w:rsid w:val="00BC379E"/>
    <w:rsid w:val="00BC4D1B"/>
    <w:rsid w:val="00BD10E2"/>
    <w:rsid w:val="00BD6BD2"/>
    <w:rsid w:val="00BE0A6C"/>
    <w:rsid w:val="00BF1C4D"/>
    <w:rsid w:val="00BF64A8"/>
    <w:rsid w:val="00C04C80"/>
    <w:rsid w:val="00C10753"/>
    <w:rsid w:val="00C120D6"/>
    <w:rsid w:val="00C2077F"/>
    <w:rsid w:val="00C25999"/>
    <w:rsid w:val="00C413C1"/>
    <w:rsid w:val="00C43F43"/>
    <w:rsid w:val="00C575A3"/>
    <w:rsid w:val="00C77E2F"/>
    <w:rsid w:val="00C9025F"/>
    <w:rsid w:val="00C949AD"/>
    <w:rsid w:val="00CA3873"/>
    <w:rsid w:val="00CA4B11"/>
    <w:rsid w:val="00CB08CA"/>
    <w:rsid w:val="00CB1B69"/>
    <w:rsid w:val="00CB3128"/>
    <w:rsid w:val="00CB3CBD"/>
    <w:rsid w:val="00CB5868"/>
    <w:rsid w:val="00CC3619"/>
    <w:rsid w:val="00CE1B05"/>
    <w:rsid w:val="00CE5188"/>
    <w:rsid w:val="00CE54C1"/>
    <w:rsid w:val="00CF04A1"/>
    <w:rsid w:val="00CF4459"/>
    <w:rsid w:val="00CF5624"/>
    <w:rsid w:val="00D01732"/>
    <w:rsid w:val="00D05080"/>
    <w:rsid w:val="00D11021"/>
    <w:rsid w:val="00D128EE"/>
    <w:rsid w:val="00D1456C"/>
    <w:rsid w:val="00D244C0"/>
    <w:rsid w:val="00D25762"/>
    <w:rsid w:val="00D3474A"/>
    <w:rsid w:val="00D47096"/>
    <w:rsid w:val="00D5197C"/>
    <w:rsid w:val="00D56E88"/>
    <w:rsid w:val="00D639A4"/>
    <w:rsid w:val="00D7131B"/>
    <w:rsid w:val="00D80FDF"/>
    <w:rsid w:val="00D87D47"/>
    <w:rsid w:val="00D90478"/>
    <w:rsid w:val="00D91B57"/>
    <w:rsid w:val="00DA584D"/>
    <w:rsid w:val="00DB3795"/>
    <w:rsid w:val="00DB4DA1"/>
    <w:rsid w:val="00DB635E"/>
    <w:rsid w:val="00DB7E19"/>
    <w:rsid w:val="00DC0394"/>
    <w:rsid w:val="00DC0C0A"/>
    <w:rsid w:val="00DC13FC"/>
    <w:rsid w:val="00DC6531"/>
    <w:rsid w:val="00DC7EAC"/>
    <w:rsid w:val="00DD121D"/>
    <w:rsid w:val="00DD2617"/>
    <w:rsid w:val="00DD2FB4"/>
    <w:rsid w:val="00DF1B4E"/>
    <w:rsid w:val="00DF6B9C"/>
    <w:rsid w:val="00E06017"/>
    <w:rsid w:val="00E06741"/>
    <w:rsid w:val="00E069F7"/>
    <w:rsid w:val="00E074BA"/>
    <w:rsid w:val="00E1173B"/>
    <w:rsid w:val="00E14DE2"/>
    <w:rsid w:val="00E15B8E"/>
    <w:rsid w:val="00E17DD8"/>
    <w:rsid w:val="00E22996"/>
    <w:rsid w:val="00E2710A"/>
    <w:rsid w:val="00E372DD"/>
    <w:rsid w:val="00E424DD"/>
    <w:rsid w:val="00E4607B"/>
    <w:rsid w:val="00E534AF"/>
    <w:rsid w:val="00E54680"/>
    <w:rsid w:val="00E56B35"/>
    <w:rsid w:val="00E619B6"/>
    <w:rsid w:val="00E61AB0"/>
    <w:rsid w:val="00E63484"/>
    <w:rsid w:val="00E67709"/>
    <w:rsid w:val="00E70A0F"/>
    <w:rsid w:val="00E71D16"/>
    <w:rsid w:val="00E800B9"/>
    <w:rsid w:val="00E81931"/>
    <w:rsid w:val="00E836CF"/>
    <w:rsid w:val="00EA0E20"/>
    <w:rsid w:val="00EA1F32"/>
    <w:rsid w:val="00EA29F9"/>
    <w:rsid w:val="00EB0381"/>
    <w:rsid w:val="00EB1EC4"/>
    <w:rsid w:val="00EC1B32"/>
    <w:rsid w:val="00EC6834"/>
    <w:rsid w:val="00EC7546"/>
    <w:rsid w:val="00EC7F8F"/>
    <w:rsid w:val="00ED0D0C"/>
    <w:rsid w:val="00ED5887"/>
    <w:rsid w:val="00ED7AC1"/>
    <w:rsid w:val="00EE03CF"/>
    <w:rsid w:val="00EE686C"/>
    <w:rsid w:val="00EF088F"/>
    <w:rsid w:val="00EF3C57"/>
    <w:rsid w:val="00EF4B72"/>
    <w:rsid w:val="00EF5C3A"/>
    <w:rsid w:val="00F00F56"/>
    <w:rsid w:val="00F06A8A"/>
    <w:rsid w:val="00F118D1"/>
    <w:rsid w:val="00F3489B"/>
    <w:rsid w:val="00F37480"/>
    <w:rsid w:val="00F41857"/>
    <w:rsid w:val="00F43046"/>
    <w:rsid w:val="00F455C2"/>
    <w:rsid w:val="00F546D9"/>
    <w:rsid w:val="00F5537E"/>
    <w:rsid w:val="00F570C7"/>
    <w:rsid w:val="00F60804"/>
    <w:rsid w:val="00F6586F"/>
    <w:rsid w:val="00F860E3"/>
    <w:rsid w:val="00F90A77"/>
    <w:rsid w:val="00F91278"/>
    <w:rsid w:val="00F9247F"/>
    <w:rsid w:val="00F9365E"/>
    <w:rsid w:val="00F96089"/>
    <w:rsid w:val="00F97C2F"/>
    <w:rsid w:val="00FA237E"/>
    <w:rsid w:val="00FA268F"/>
    <w:rsid w:val="00FA3DD7"/>
    <w:rsid w:val="00FA516E"/>
    <w:rsid w:val="00FB001B"/>
    <w:rsid w:val="00FB5D72"/>
    <w:rsid w:val="00FB78AA"/>
    <w:rsid w:val="00FC586D"/>
    <w:rsid w:val="00FD1552"/>
    <w:rsid w:val="00FD63E2"/>
    <w:rsid w:val="00FE296D"/>
    <w:rsid w:val="00FE6A4D"/>
    <w:rsid w:val="00FF4A63"/>
    <w:rsid w:val="010EECE9"/>
    <w:rsid w:val="07C496F5"/>
    <w:rsid w:val="0A0D2088"/>
    <w:rsid w:val="10A059FD"/>
    <w:rsid w:val="11915001"/>
    <w:rsid w:val="1983BB21"/>
    <w:rsid w:val="1BDC5444"/>
    <w:rsid w:val="22DBE34A"/>
    <w:rsid w:val="289639F0"/>
    <w:rsid w:val="2B1CE285"/>
    <w:rsid w:val="2B6A4699"/>
    <w:rsid w:val="2E2BADA5"/>
    <w:rsid w:val="3005BFF4"/>
    <w:rsid w:val="324CA22D"/>
    <w:rsid w:val="342DD20F"/>
    <w:rsid w:val="34E4CF3E"/>
    <w:rsid w:val="3A77DC46"/>
    <w:rsid w:val="3AE3FDB2"/>
    <w:rsid w:val="3B52D4EA"/>
    <w:rsid w:val="463687FB"/>
    <w:rsid w:val="4CBAC8B7"/>
    <w:rsid w:val="4E1CAF58"/>
    <w:rsid w:val="55E4221E"/>
    <w:rsid w:val="58A4AFD4"/>
    <w:rsid w:val="5DDD0224"/>
    <w:rsid w:val="66BA653C"/>
    <w:rsid w:val="6E042B56"/>
    <w:rsid w:val="6F08FF0A"/>
    <w:rsid w:val="6F28AAE6"/>
    <w:rsid w:val="712E7C4F"/>
    <w:rsid w:val="74DD1237"/>
    <w:rsid w:val="7A181E1D"/>
    <w:rsid w:val="7A5EB2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5C3D"/>
  <w15:docId w15:val="{D9B71AAA-2C9C-4161-8A29-FF64046F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6E2"/>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link w:val="Heading2Char"/>
    <w:uiPriority w:val="9"/>
    <w:qFormat/>
    <w:rsid w:val="002E7753"/>
    <w:pPr>
      <w:spacing w:before="100" w:beforeAutospacing="1" w:after="100" w:afterAutospacing="1"/>
      <w:outlineLvl w:val="1"/>
    </w:pPr>
    <w:rPr>
      <w:b/>
      <w:bCs/>
      <w:sz w:val="36"/>
      <w:szCs w:val="36"/>
      <w:lang w:eastAsia="lv-LV"/>
    </w:rPr>
  </w:style>
  <w:style w:type="paragraph" w:styleId="Heading4">
    <w:name w:val="heading 4"/>
    <w:basedOn w:val="Normal"/>
    <w:next w:val="Normal"/>
    <w:link w:val="Heading4Char"/>
    <w:uiPriority w:val="9"/>
    <w:unhideWhenUsed/>
    <w:qFormat/>
    <w:rsid w:val="00D7131B"/>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Footnote Text Char2 Char,Footnote Text Char1 Char2 Char,Footnote Text Char Char Char Char,Footnote Text Char1 Char Char Char Char,Footnote Text Char Char Char Char Char Char, Rakstz.,Rakstz.,Fußnote,Footnote Text Char Char,Footnot"/>
    <w:basedOn w:val="Normal"/>
    <w:link w:val="FootnoteTextChar"/>
    <w:unhideWhenUsed/>
    <w:qFormat/>
    <w:rsid w:val="001B36E2"/>
    <w:rPr>
      <w:rFonts w:eastAsiaTheme="minorEastAsia"/>
      <w:sz w:val="20"/>
      <w:szCs w:val="20"/>
      <w:lang w:eastAsia="en-US"/>
    </w:rPr>
  </w:style>
  <w:style w:type="character" w:styleId="FootnoteTextChar" w:customStyle="1">
    <w:name w:val="Footnote Text Char"/>
    <w:aliases w:val="Footnote Char,Footnote Text Char2 Char Char,Footnote Text Char1 Char2 Char Char,Footnote Text Char Char Char Char Char,Footnote Text Char1 Char Char Char Char Char,Footnote Text Char Char Char Char Char Char Char, Rakstz. Char"/>
    <w:basedOn w:val="DefaultParagraphFont"/>
    <w:link w:val="FootnoteText"/>
    <w:rsid w:val="001B36E2"/>
    <w:rPr>
      <w:rFonts w:ascii="Times New Roman" w:hAnsi="Times New Roman" w:cs="Times New Roman" w:eastAsiaTheme="minorEastAsia"/>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FootnotesymbolCharChar"/>
    <w:uiPriority w:val="99"/>
    <w:unhideWhenUsed/>
    <w:qFormat/>
    <w:rsid w:val="001B36E2"/>
    <w:rPr>
      <w:rFonts w:cs="Times New Roman"/>
      <w:vertAlign w:val="superscript"/>
    </w:rPr>
  </w:style>
  <w:style w:type="character" w:styleId="Hyperlink">
    <w:name w:val="Hyperlink"/>
    <w:basedOn w:val="DefaultParagraphFont"/>
    <w:uiPriority w:val="99"/>
    <w:unhideWhenUsed/>
    <w:rsid w:val="001B36E2"/>
    <w:rPr>
      <w:color w:val="0563C1" w:themeColor="hyperlink"/>
      <w:u w:val="single"/>
    </w:rPr>
  </w:style>
  <w:style w:type="paragraph" w:styleId="FootnotesymbolCharChar" w:customStyle="1">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1B36E2"/>
    <w:pPr>
      <w:spacing w:after="160" w:line="240" w:lineRule="exact"/>
      <w:jc w:val="both"/>
    </w:pPr>
    <w:rPr>
      <w:rFonts w:asciiTheme="minorHAnsi" w:hAnsiTheme="minorHAnsi" w:eastAsiaTheme="minorHAnsi"/>
      <w:sz w:val="22"/>
      <w:szCs w:val="22"/>
      <w:vertAlign w:val="superscript"/>
      <w:lang w:eastAsia="en-US"/>
    </w:rPr>
  </w:style>
  <w:style w:type="paragraph" w:styleId="xmsonormal" w:customStyle="1">
    <w:name w:val="x_msonormal"/>
    <w:basedOn w:val="Normal"/>
    <w:rsid w:val="001B36E2"/>
    <w:rPr>
      <w:rFonts w:ascii="Calibri" w:hAnsi="Calibri" w:cs="Calibri" w:eastAsiaTheme="minorHAnsi"/>
      <w:sz w:val="22"/>
      <w:szCs w:val="22"/>
      <w:lang w:eastAsia="lv-LV"/>
    </w:rPr>
  </w:style>
  <w:style w:type="character" w:styleId="CommentReference">
    <w:name w:val="annotation reference"/>
    <w:basedOn w:val="DefaultParagraphFont"/>
    <w:uiPriority w:val="99"/>
    <w:semiHidden/>
    <w:unhideWhenUsed/>
    <w:rsid w:val="00C25999"/>
    <w:rPr>
      <w:sz w:val="16"/>
      <w:szCs w:val="16"/>
    </w:rPr>
  </w:style>
  <w:style w:type="paragraph" w:styleId="CommentText">
    <w:name w:val="annotation text"/>
    <w:basedOn w:val="Normal"/>
    <w:link w:val="CommentTextChar"/>
    <w:uiPriority w:val="99"/>
    <w:unhideWhenUsed/>
    <w:rsid w:val="00C25999"/>
    <w:rPr>
      <w:sz w:val="20"/>
      <w:szCs w:val="20"/>
    </w:rPr>
  </w:style>
  <w:style w:type="character" w:styleId="CommentTextChar" w:customStyle="1">
    <w:name w:val="Comment Text Char"/>
    <w:basedOn w:val="DefaultParagraphFont"/>
    <w:link w:val="CommentText"/>
    <w:uiPriority w:val="99"/>
    <w:rsid w:val="00C2599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5999"/>
    <w:rPr>
      <w:b/>
      <w:bCs/>
    </w:rPr>
  </w:style>
  <w:style w:type="character" w:styleId="CommentSubjectChar" w:customStyle="1">
    <w:name w:val="Comment Subject Char"/>
    <w:basedOn w:val="CommentTextChar"/>
    <w:link w:val="CommentSubject"/>
    <w:uiPriority w:val="99"/>
    <w:semiHidden/>
    <w:rsid w:val="00C25999"/>
    <w:rPr>
      <w:rFonts w:ascii="Times New Roman" w:hAnsi="Times New Roman" w:eastAsia="Times New Roman" w:cs="Times New Roman"/>
      <w:b/>
      <w:bCs/>
      <w:sz w:val="20"/>
      <w:szCs w:val="20"/>
      <w:lang w:eastAsia="en-GB"/>
    </w:rPr>
  </w:style>
  <w:style w:type="paragraph" w:styleId="NormalWeb">
    <w:name w:val="Normal (Web)"/>
    <w:basedOn w:val="Normal"/>
    <w:uiPriority w:val="99"/>
    <w:semiHidden/>
    <w:unhideWhenUsed/>
    <w:rsid w:val="00CB3CBD"/>
    <w:pPr>
      <w:spacing w:before="100" w:beforeAutospacing="1" w:after="100" w:afterAutospacing="1"/>
    </w:pPr>
    <w:rPr>
      <w:lang w:eastAsia="lv-LV"/>
    </w:rPr>
  </w:style>
  <w:style w:type="character" w:styleId="ListParagraphChar" w:customStyle="1">
    <w:name w:val="List Paragraph Char"/>
    <w:aliases w:val="2 Char,Strip Char,Normal bullet 2 Char,Bullet list Char,H&amp;P List Paragraph Char,Colorful List - Accent 12 Char,Saistīto dokumentu saraksts Char,List Paragraph1 Char,Syle 1 Char,Numurets Char,PPS_Bullet Char,Virsraksti Char"/>
    <w:link w:val="ListParagraph"/>
    <w:uiPriority w:val="34"/>
    <w:qFormat/>
    <w:locked/>
    <w:rsid w:val="002E39DC"/>
    <w:rPr>
      <w:rFonts w:ascii="Times New Roman" w:hAnsi="Times New Roman" w:eastAsia="Times New Roman"/>
      <w:sz w:val="24"/>
    </w:rPr>
  </w:style>
  <w:style w:type="paragraph" w:styleId="ListParagraph">
    <w:name w:val="List Paragraph"/>
    <w:aliases w:val="2,Strip,Normal bullet 2,Bullet list,H&amp;P List Paragraph,Colorful List - Accent 12,Saistīto dokumentu saraksts,List Paragraph1,Syle 1,Numurets,PPS_Bullet,Virsraksti,list paragraph,h&amp;p list paragraph,saistīto dokumentu saraksts,syle 1"/>
    <w:basedOn w:val="Normal"/>
    <w:link w:val="ListParagraphChar"/>
    <w:uiPriority w:val="34"/>
    <w:qFormat/>
    <w:rsid w:val="002E39DC"/>
    <w:pPr>
      <w:ind w:left="720"/>
      <w:contextualSpacing/>
    </w:pPr>
    <w:rPr>
      <w:rFonts w:cstheme="minorBidi"/>
      <w:szCs w:val="22"/>
      <w:lang w:eastAsia="en-US"/>
    </w:rPr>
  </w:style>
  <w:style w:type="character" w:styleId="UnresolvedMention">
    <w:name w:val="Unresolved Mention"/>
    <w:basedOn w:val="DefaultParagraphFont"/>
    <w:uiPriority w:val="99"/>
    <w:semiHidden/>
    <w:unhideWhenUsed/>
    <w:rsid w:val="00184401"/>
    <w:rPr>
      <w:color w:val="605E5C"/>
      <w:shd w:val="clear" w:color="auto" w:fill="E1DFDD"/>
    </w:rPr>
  </w:style>
  <w:style w:type="paragraph" w:styleId="tv213" w:customStyle="1">
    <w:name w:val="tv213"/>
    <w:basedOn w:val="Normal"/>
    <w:rsid w:val="004C021E"/>
    <w:pPr>
      <w:spacing w:before="100" w:beforeAutospacing="1" w:after="100" w:afterAutospacing="1"/>
    </w:pPr>
    <w:rPr>
      <w:lang w:eastAsia="lv-LV"/>
    </w:rPr>
  </w:style>
  <w:style w:type="character" w:styleId="Heading2Char" w:customStyle="1">
    <w:name w:val="Heading 2 Char"/>
    <w:basedOn w:val="DefaultParagraphFont"/>
    <w:link w:val="Heading2"/>
    <w:uiPriority w:val="9"/>
    <w:rsid w:val="002E7753"/>
    <w:rPr>
      <w:rFonts w:ascii="Times New Roman" w:hAnsi="Times New Roman" w:eastAsia="Times New Roman" w:cs="Times New Roman"/>
      <w:b/>
      <w:bCs/>
      <w:sz w:val="36"/>
      <w:szCs w:val="36"/>
      <w:lang w:eastAsia="lv-LV"/>
    </w:rPr>
  </w:style>
  <w:style w:type="character" w:styleId="Strong">
    <w:name w:val="Strong"/>
    <w:basedOn w:val="DefaultParagraphFont"/>
    <w:uiPriority w:val="22"/>
    <w:qFormat/>
    <w:rsid w:val="002E7753"/>
    <w:rPr>
      <w:b/>
      <w:bCs/>
    </w:rPr>
  </w:style>
  <w:style w:type="character" w:styleId="Emphasis">
    <w:name w:val="Emphasis"/>
    <w:basedOn w:val="DefaultParagraphFont"/>
    <w:uiPriority w:val="20"/>
    <w:qFormat/>
    <w:rsid w:val="002E7753"/>
    <w:rPr>
      <w:i/>
      <w:iCs/>
    </w:rPr>
  </w:style>
  <w:style w:type="paragraph" w:styleId="NoSpacing">
    <w:name w:val="No Spacing"/>
    <w:uiPriority w:val="1"/>
    <w:qFormat/>
    <w:rsid w:val="00036786"/>
    <w:pPr>
      <w:spacing w:after="0" w:line="240" w:lineRule="auto"/>
      <w:ind w:left="284" w:right="-284"/>
    </w:pPr>
    <w:rPr>
      <w:rFonts w:ascii="Times New Roman" w:hAnsi="Times New Roman" w:eastAsia="Times New Roman" w:cs="Times New Roman"/>
      <w:sz w:val="28"/>
      <w:szCs w:val="24"/>
    </w:rPr>
  </w:style>
  <w:style w:type="character" w:styleId="Heading4Char" w:customStyle="1">
    <w:name w:val="Heading 4 Char"/>
    <w:basedOn w:val="DefaultParagraphFont"/>
    <w:link w:val="Heading4"/>
    <w:uiPriority w:val="9"/>
    <w:rsid w:val="00D7131B"/>
    <w:rPr>
      <w:rFonts w:asciiTheme="majorHAnsi" w:hAnsiTheme="majorHAnsi" w:eastAsiaTheme="majorEastAsia" w:cstheme="majorBidi"/>
      <w:i/>
      <w:iCs/>
      <w:color w:val="2F5496" w:themeColor="accent1" w:themeShade="BF"/>
      <w:sz w:val="24"/>
      <w:szCs w:val="24"/>
      <w:lang w:eastAsia="en-GB"/>
    </w:rPr>
  </w:style>
  <w:style w:type="paragraph" w:styleId="ListBullet">
    <w:name w:val="List Bullet"/>
    <w:basedOn w:val="Normal"/>
    <w:uiPriority w:val="99"/>
    <w:unhideWhenUsed/>
    <w:rsid w:val="004D568A"/>
    <w:pPr>
      <w:numPr>
        <w:numId w:val="8"/>
      </w:numPr>
      <w:contextualSpacing/>
    </w:pPr>
  </w:style>
  <w:style w:type="paragraph" w:styleId="Revision">
    <w:name w:val="Revision"/>
    <w:hidden/>
    <w:uiPriority w:val="99"/>
    <w:semiHidden/>
    <w:rsid w:val="0059540A"/>
    <w:pPr>
      <w:spacing w:after="0" w:line="240" w:lineRule="auto"/>
    </w:pPr>
    <w:rPr>
      <w:rFonts w:ascii="Times New Roman" w:hAnsi="Times New Roman" w:eastAsia="Times New Roman" w:cs="Times New Roman"/>
      <w:sz w:val="24"/>
      <w:szCs w:val="24"/>
      <w:lang w:eastAsia="en-GB"/>
    </w:rPr>
  </w:style>
  <w:style w:type="paragraph" w:styleId="Default" w:customStyle="1">
    <w:name w:val="Default"/>
    <w:rsid w:val="00BE0A6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rsid w:val="00E22996"/>
    <w:pPr>
      <w:suppressAutoHyphens/>
      <w:spacing w:after="120"/>
      <w:ind w:left="283"/>
    </w:pPr>
    <w:rPr>
      <w:sz w:val="16"/>
      <w:szCs w:val="16"/>
      <w:lang w:eastAsia="ar-SA"/>
    </w:rPr>
  </w:style>
  <w:style w:type="character" w:styleId="BodyTextIndent3Char" w:customStyle="1">
    <w:name w:val="Body Text Indent 3 Char"/>
    <w:basedOn w:val="DefaultParagraphFont"/>
    <w:link w:val="BodyTextIndent3"/>
    <w:rsid w:val="00E22996"/>
    <w:rPr>
      <w:rFonts w:ascii="Times New Roman" w:hAnsi="Times New Roman" w:eastAsia="Times New Roman" w:cs="Times New Roman"/>
      <w:sz w:val="16"/>
      <w:szCs w:val="16"/>
      <w:lang w:eastAsia="ar-SA"/>
    </w:rPr>
  </w:style>
  <w:style w:type="paragraph" w:styleId="PlainText">
    <w:name w:val="Plain Text"/>
    <w:basedOn w:val="Normal"/>
    <w:link w:val="PlainTextChar"/>
    <w:uiPriority w:val="99"/>
    <w:unhideWhenUsed/>
    <w:rsid w:val="003929BD"/>
    <w:rPr>
      <w:rFonts w:ascii="Calibri" w:hAnsi="Calibri" w:cstheme="minorBidi"/>
      <w:kern w:val="2"/>
      <w:sz w:val="22"/>
      <w:szCs w:val="21"/>
      <w:lang w:eastAsia="en-US"/>
    </w:rPr>
  </w:style>
  <w:style w:type="character" w:styleId="PlainTextChar" w:customStyle="1">
    <w:name w:val="Plain Text Char"/>
    <w:basedOn w:val="DefaultParagraphFont"/>
    <w:link w:val="PlainText"/>
    <w:uiPriority w:val="99"/>
    <w:rsid w:val="003929BD"/>
    <w:rPr>
      <w:rFonts w:ascii="Calibri" w:hAnsi="Calibri" w:eastAsia="Times New Roman"/>
      <w:kern w:val="2"/>
      <w:szCs w:val="21"/>
    </w:rPr>
  </w:style>
  <w:style w:type="character" w:styleId="Hyperlink1" w:customStyle="1">
    <w:name w:val="Hyperlink1"/>
    <w:basedOn w:val="DefaultParagraphFont"/>
    <w:uiPriority w:val="99"/>
    <w:unhideWhenUsed/>
    <w:rsid w:val="00C2077F"/>
    <w:rPr>
      <w:color w:val="0563C1"/>
      <w:u w:val="single"/>
    </w:rPr>
  </w:style>
  <w:style w:type="character" w:styleId="FollowedHyperlink">
    <w:name w:val="FollowedHyperlink"/>
    <w:basedOn w:val="DefaultParagraphFont"/>
    <w:uiPriority w:val="99"/>
    <w:semiHidden/>
    <w:unhideWhenUsed/>
    <w:rsid w:val="009663D9"/>
    <w:rPr>
      <w:color w:val="954F72" w:themeColor="followedHyperlink"/>
      <w:u w:val="single"/>
    </w:rPr>
  </w:style>
  <w:style w:type="paragraph" w:styleId="Header">
    <w:name w:val="header"/>
    <w:basedOn w:val="Normal"/>
    <w:link w:val="HeaderChar"/>
    <w:uiPriority w:val="99"/>
    <w:semiHidden/>
    <w:unhideWhenUsed/>
    <w:rsid w:val="00332D35"/>
    <w:pPr>
      <w:tabs>
        <w:tab w:val="center" w:pos="4680"/>
        <w:tab w:val="right" w:pos="9360"/>
      </w:tabs>
    </w:pPr>
  </w:style>
  <w:style w:type="character" w:styleId="HeaderChar" w:customStyle="1">
    <w:name w:val="Header Char"/>
    <w:basedOn w:val="DefaultParagraphFont"/>
    <w:link w:val="Header"/>
    <w:uiPriority w:val="99"/>
    <w:semiHidden/>
    <w:rsid w:val="00332D35"/>
    <w:rPr>
      <w:rFonts w:ascii="Times New Roman" w:hAnsi="Times New Roman" w:eastAsia="Times New Roman" w:cs="Times New Roman"/>
      <w:sz w:val="24"/>
      <w:szCs w:val="24"/>
      <w:lang w:eastAsia="en-GB"/>
    </w:rPr>
  </w:style>
  <w:style w:type="paragraph" w:styleId="Footer">
    <w:name w:val="footer"/>
    <w:basedOn w:val="Normal"/>
    <w:link w:val="FooterChar"/>
    <w:uiPriority w:val="99"/>
    <w:semiHidden/>
    <w:unhideWhenUsed/>
    <w:rsid w:val="00332D35"/>
    <w:pPr>
      <w:tabs>
        <w:tab w:val="center" w:pos="4680"/>
        <w:tab w:val="right" w:pos="9360"/>
      </w:tabs>
    </w:pPr>
  </w:style>
  <w:style w:type="character" w:styleId="FooterChar" w:customStyle="1">
    <w:name w:val="Footer Char"/>
    <w:basedOn w:val="DefaultParagraphFont"/>
    <w:link w:val="Footer"/>
    <w:uiPriority w:val="99"/>
    <w:semiHidden/>
    <w:rsid w:val="00332D35"/>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7058">
      <w:bodyDiv w:val="1"/>
      <w:marLeft w:val="0"/>
      <w:marRight w:val="0"/>
      <w:marTop w:val="0"/>
      <w:marBottom w:val="0"/>
      <w:divBdr>
        <w:top w:val="none" w:sz="0" w:space="0" w:color="auto"/>
        <w:left w:val="none" w:sz="0" w:space="0" w:color="auto"/>
        <w:bottom w:val="none" w:sz="0" w:space="0" w:color="auto"/>
        <w:right w:val="none" w:sz="0" w:space="0" w:color="auto"/>
      </w:divBdr>
    </w:div>
    <w:div w:id="490489473">
      <w:bodyDiv w:val="1"/>
      <w:marLeft w:val="0"/>
      <w:marRight w:val="0"/>
      <w:marTop w:val="0"/>
      <w:marBottom w:val="0"/>
      <w:divBdr>
        <w:top w:val="none" w:sz="0" w:space="0" w:color="auto"/>
        <w:left w:val="none" w:sz="0" w:space="0" w:color="auto"/>
        <w:bottom w:val="none" w:sz="0" w:space="0" w:color="auto"/>
        <w:right w:val="none" w:sz="0" w:space="0" w:color="auto"/>
      </w:divBdr>
    </w:div>
    <w:div w:id="525025507">
      <w:bodyDiv w:val="1"/>
      <w:marLeft w:val="0"/>
      <w:marRight w:val="0"/>
      <w:marTop w:val="0"/>
      <w:marBottom w:val="0"/>
      <w:divBdr>
        <w:top w:val="none" w:sz="0" w:space="0" w:color="auto"/>
        <w:left w:val="none" w:sz="0" w:space="0" w:color="auto"/>
        <w:bottom w:val="none" w:sz="0" w:space="0" w:color="auto"/>
        <w:right w:val="none" w:sz="0" w:space="0" w:color="auto"/>
      </w:divBdr>
    </w:div>
    <w:div w:id="909846716">
      <w:bodyDiv w:val="1"/>
      <w:marLeft w:val="0"/>
      <w:marRight w:val="0"/>
      <w:marTop w:val="0"/>
      <w:marBottom w:val="0"/>
      <w:divBdr>
        <w:top w:val="none" w:sz="0" w:space="0" w:color="auto"/>
        <w:left w:val="none" w:sz="0" w:space="0" w:color="auto"/>
        <w:bottom w:val="none" w:sz="0" w:space="0" w:color="auto"/>
        <w:right w:val="none" w:sz="0" w:space="0" w:color="auto"/>
      </w:divBdr>
    </w:div>
    <w:div w:id="927422783">
      <w:bodyDiv w:val="1"/>
      <w:marLeft w:val="0"/>
      <w:marRight w:val="0"/>
      <w:marTop w:val="0"/>
      <w:marBottom w:val="0"/>
      <w:divBdr>
        <w:top w:val="none" w:sz="0" w:space="0" w:color="auto"/>
        <w:left w:val="none" w:sz="0" w:space="0" w:color="auto"/>
        <w:bottom w:val="none" w:sz="0" w:space="0" w:color="auto"/>
        <w:right w:val="none" w:sz="0" w:space="0" w:color="auto"/>
      </w:divBdr>
    </w:div>
    <w:div w:id="1032455909">
      <w:bodyDiv w:val="1"/>
      <w:marLeft w:val="0"/>
      <w:marRight w:val="0"/>
      <w:marTop w:val="0"/>
      <w:marBottom w:val="0"/>
      <w:divBdr>
        <w:top w:val="none" w:sz="0" w:space="0" w:color="auto"/>
        <w:left w:val="none" w:sz="0" w:space="0" w:color="auto"/>
        <w:bottom w:val="none" w:sz="0" w:space="0" w:color="auto"/>
        <w:right w:val="none" w:sz="0" w:space="0" w:color="auto"/>
      </w:divBdr>
    </w:div>
    <w:div w:id="1086657551">
      <w:bodyDiv w:val="1"/>
      <w:marLeft w:val="0"/>
      <w:marRight w:val="0"/>
      <w:marTop w:val="0"/>
      <w:marBottom w:val="0"/>
      <w:divBdr>
        <w:top w:val="none" w:sz="0" w:space="0" w:color="auto"/>
        <w:left w:val="none" w:sz="0" w:space="0" w:color="auto"/>
        <w:bottom w:val="none" w:sz="0" w:space="0" w:color="auto"/>
        <w:right w:val="none" w:sz="0" w:space="0" w:color="auto"/>
      </w:divBdr>
    </w:div>
    <w:div w:id="1322849819">
      <w:bodyDiv w:val="1"/>
      <w:marLeft w:val="0"/>
      <w:marRight w:val="0"/>
      <w:marTop w:val="0"/>
      <w:marBottom w:val="0"/>
      <w:divBdr>
        <w:top w:val="none" w:sz="0" w:space="0" w:color="auto"/>
        <w:left w:val="none" w:sz="0" w:space="0" w:color="auto"/>
        <w:bottom w:val="none" w:sz="0" w:space="0" w:color="auto"/>
        <w:right w:val="none" w:sz="0" w:space="0" w:color="auto"/>
      </w:divBdr>
    </w:div>
    <w:div w:id="1429934029">
      <w:bodyDiv w:val="1"/>
      <w:marLeft w:val="0"/>
      <w:marRight w:val="0"/>
      <w:marTop w:val="0"/>
      <w:marBottom w:val="0"/>
      <w:divBdr>
        <w:top w:val="none" w:sz="0" w:space="0" w:color="auto"/>
        <w:left w:val="none" w:sz="0" w:space="0" w:color="auto"/>
        <w:bottom w:val="none" w:sz="0" w:space="0" w:color="auto"/>
        <w:right w:val="none" w:sz="0" w:space="0" w:color="auto"/>
      </w:divBdr>
    </w:div>
    <w:div w:id="1472751549">
      <w:bodyDiv w:val="1"/>
      <w:marLeft w:val="0"/>
      <w:marRight w:val="0"/>
      <w:marTop w:val="0"/>
      <w:marBottom w:val="0"/>
      <w:divBdr>
        <w:top w:val="none" w:sz="0" w:space="0" w:color="auto"/>
        <w:left w:val="none" w:sz="0" w:space="0" w:color="auto"/>
        <w:bottom w:val="none" w:sz="0" w:space="0" w:color="auto"/>
        <w:right w:val="none" w:sz="0" w:space="0" w:color="auto"/>
      </w:divBdr>
    </w:div>
    <w:div w:id="1519352070">
      <w:bodyDiv w:val="1"/>
      <w:marLeft w:val="0"/>
      <w:marRight w:val="0"/>
      <w:marTop w:val="0"/>
      <w:marBottom w:val="0"/>
      <w:divBdr>
        <w:top w:val="none" w:sz="0" w:space="0" w:color="auto"/>
        <w:left w:val="none" w:sz="0" w:space="0" w:color="auto"/>
        <w:bottom w:val="none" w:sz="0" w:space="0" w:color="auto"/>
        <w:right w:val="none" w:sz="0" w:space="0" w:color="auto"/>
      </w:divBdr>
    </w:div>
    <w:div w:id="1521243003">
      <w:bodyDiv w:val="1"/>
      <w:marLeft w:val="0"/>
      <w:marRight w:val="0"/>
      <w:marTop w:val="0"/>
      <w:marBottom w:val="0"/>
      <w:divBdr>
        <w:top w:val="none" w:sz="0" w:space="0" w:color="auto"/>
        <w:left w:val="none" w:sz="0" w:space="0" w:color="auto"/>
        <w:bottom w:val="none" w:sz="0" w:space="0" w:color="auto"/>
        <w:right w:val="none" w:sz="0" w:space="0" w:color="auto"/>
      </w:divBdr>
    </w:div>
    <w:div w:id="1848862296">
      <w:bodyDiv w:val="1"/>
      <w:marLeft w:val="0"/>
      <w:marRight w:val="0"/>
      <w:marTop w:val="0"/>
      <w:marBottom w:val="0"/>
      <w:divBdr>
        <w:top w:val="none" w:sz="0" w:space="0" w:color="auto"/>
        <w:left w:val="none" w:sz="0" w:space="0" w:color="auto"/>
        <w:bottom w:val="none" w:sz="0" w:space="0" w:color="auto"/>
        <w:right w:val="none" w:sz="0" w:space="0" w:color="auto"/>
      </w:divBdr>
    </w:div>
    <w:div w:id="1873496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287760"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287760"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latvijasbuvnieki.lv/content/uploads/2019/03/20190319_petijums_par_nodrosinajumiem_buvdarbu_iepirkumo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3" ma:contentTypeDescription="Create a new document." ma:contentTypeScope="" ma:versionID="a0fc5ab770c239db63817bcde4b404d0">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06a81b9164601be6e9bc9a83b61ee79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3a3ab5-8a47-411b-ada7-d8eafcb5177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DAC9-615C-4F47-87F9-99ED60C6A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3C55F-14CD-438C-9215-7F74AD6759F9}">
  <ds:schemaRefs>
    <ds:schemaRef ds:uri="http://schemas.microsoft.com/office/2006/metadata/properties"/>
    <ds:schemaRef ds:uri="http://schemas.microsoft.com/office/infopath/2007/PartnerControls"/>
    <ds:schemaRef ds:uri="2d2e3e95-c5f3-4cdd-a701-f2abb618b447"/>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31598DB2-2EC6-4547-A3DC-B2F772E37434}">
  <ds:schemaRefs>
    <ds:schemaRef ds:uri="http://schemas.microsoft.com/sharepoint/v3/contenttype/forms"/>
  </ds:schemaRefs>
</ds:datastoreItem>
</file>

<file path=customXml/itemProps4.xml><?xml version="1.0" encoding="utf-8"?>
<ds:datastoreItem xmlns:ds="http://schemas.openxmlformats.org/officeDocument/2006/customXml" ds:itemID="{728E0CAE-51FA-41E9-A9B8-DBDBF85B23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Līga Rode</dc:creator>
  <keywords/>
  <dc:description/>
  <lastModifiedBy>Kristīne Putniņa</lastModifiedBy>
  <revision>37</revision>
  <dcterms:created xsi:type="dcterms:W3CDTF">2025-11-20T15:02:00.0000000Z</dcterms:created>
  <dcterms:modified xsi:type="dcterms:W3CDTF">2025-12-18T16:59:55.6463912Z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