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0AEA" w14:textId="77777777" w:rsidR="003E2C46" w:rsidRPr="00924E13" w:rsidRDefault="003E2C46" w:rsidP="003E2C46">
      <w:pPr>
        <w:spacing w:after="0"/>
        <w:jc w:val="right"/>
        <w:rPr>
          <w:rFonts w:ascii="Times New Roman" w:hAnsi="Times New Roman" w:cs="Times New Roman"/>
          <w:sz w:val="24"/>
          <w:szCs w:val="24"/>
        </w:rPr>
      </w:pPr>
      <w:r w:rsidRPr="00924E13">
        <w:rPr>
          <w:rFonts w:ascii="Times New Roman" w:hAnsi="Times New Roman" w:cs="Times New Roman"/>
          <w:sz w:val="24"/>
          <w:szCs w:val="24"/>
        </w:rPr>
        <w:t>APSTIPRINU</w:t>
      </w:r>
      <w:r>
        <w:rPr>
          <w:rFonts w:ascii="Times New Roman" w:hAnsi="Times New Roman" w:cs="Times New Roman"/>
          <w:sz w:val="24"/>
          <w:szCs w:val="24"/>
        </w:rPr>
        <w:t>:</w:t>
      </w:r>
    </w:p>
    <w:p w14:paraId="059F8582" w14:textId="472D958E" w:rsidR="003E2C46" w:rsidRPr="00924E13" w:rsidRDefault="003E2C46" w:rsidP="003E2C46">
      <w:pPr>
        <w:spacing w:after="0"/>
        <w:jc w:val="right"/>
        <w:rPr>
          <w:rFonts w:ascii="Times New Roman" w:hAnsi="Times New Roman" w:cs="Times New Roman"/>
          <w:sz w:val="24"/>
          <w:szCs w:val="24"/>
        </w:rPr>
      </w:pPr>
      <w:r w:rsidRPr="00924E13">
        <w:rPr>
          <w:rFonts w:ascii="Times New Roman" w:hAnsi="Times New Roman" w:cs="Times New Roman"/>
          <w:sz w:val="24"/>
          <w:szCs w:val="24"/>
        </w:rPr>
        <w:t>Atbildīgās iestādes vadītāja</w:t>
      </w:r>
      <w:r>
        <w:rPr>
          <w:rFonts w:ascii="Times New Roman" w:hAnsi="Times New Roman" w:cs="Times New Roman"/>
          <w:sz w:val="24"/>
          <w:szCs w:val="24"/>
        </w:rPr>
        <w:t xml:space="preserve">  </w:t>
      </w:r>
    </w:p>
    <w:p w14:paraId="53D17F2D" w14:textId="29A0E324" w:rsidR="003E2C46" w:rsidRPr="00924E13" w:rsidRDefault="003E2C46" w:rsidP="003E2C46">
      <w:pPr>
        <w:spacing w:after="0"/>
        <w:jc w:val="right"/>
        <w:rPr>
          <w:rFonts w:ascii="Times New Roman" w:hAnsi="Times New Roman" w:cs="Times New Roman"/>
          <w:sz w:val="24"/>
          <w:szCs w:val="24"/>
        </w:rPr>
      </w:pPr>
      <w:r>
        <w:rPr>
          <w:rFonts w:ascii="Times New Roman" w:hAnsi="Times New Roman" w:cs="Times New Roman"/>
          <w:sz w:val="24"/>
          <w:szCs w:val="24"/>
        </w:rPr>
        <w:t>Baiba Zakevica</w:t>
      </w:r>
    </w:p>
    <w:p w14:paraId="2708CEF8" w14:textId="77777777" w:rsidR="003E2C46" w:rsidRDefault="003E2C46" w:rsidP="003E2C46">
      <w:pPr>
        <w:spacing w:after="0"/>
        <w:jc w:val="right"/>
        <w:rPr>
          <w:rFonts w:ascii="Times New Roman" w:hAnsi="Times New Roman" w:cs="Times New Roman"/>
          <w:i/>
          <w:iCs/>
          <w:sz w:val="24"/>
          <w:szCs w:val="24"/>
        </w:rPr>
      </w:pPr>
      <w:r w:rsidRPr="00821CAA">
        <w:rPr>
          <w:rFonts w:ascii="Times New Roman" w:hAnsi="Times New Roman" w:cs="Times New Roman"/>
          <w:i/>
          <w:iCs/>
          <w:sz w:val="24"/>
          <w:szCs w:val="24"/>
        </w:rPr>
        <w:t>datums skatāms laika zīmogā</w:t>
      </w:r>
    </w:p>
    <w:p w14:paraId="17F8CFF8" w14:textId="77777777" w:rsidR="003E2C46" w:rsidRPr="00821CAA" w:rsidRDefault="003E2C46" w:rsidP="003E2C46">
      <w:pPr>
        <w:spacing w:after="0"/>
        <w:jc w:val="right"/>
        <w:rPr>
          <w:rFonts w:ascii="Times New Roman" w:hAnsi="Times New Roman" w:cs="Times New Roman"/>
          <w:i/>
          <w:iCs/>
          <w:sz w:val="24"/>
          <w:szCs w:val="24"/>
        </w:rPr>
      </w:pPr>
      <w:r>
        <w:rPr>
          <w:rFonts w:ascii="Times New Roman" w:hAnsi="Times New Roman" w:cs="Times New Roman"/>
          <w:i/>
          <w:iCs/>
          <w:sz w:val="24"/>
          <w:szCs w:val="24"/>
        </w:rPr>
        <w:t>(*paraksts)</w:t>
      </w:r>
    </w:p>
    <w:p w14:paraId="3F4F28B2" w14:textId="77777777" w:rsidR="003E2C46" w:rsidRPr="00924E13" w:rsidRDefault="003E2C46" w:rsidP="003E2C46">
      <w:pPr>
        <w:spacing w:after="0"/>
        <w:jc w:val="right"/>
        <w:rPr>
          <w:rFonts w:ascii="Times New Roman" w:hAnsi="Times New Roman" w:cs="Times New Roman"/>
          <w:sz w:val="24"/>
          <w:szCs w:val="24"/>
        </w:rPr>
      </w:pPr>
      <w:r w:rsidRPr="00821CAA">
        <w:rPr>
          <w:rFonts w:ascii="Times New Roman" w:hAnsi="Times New Roman" w:cs="Times New Roman"/>
          <w:i/>
          <w:iCs/>
          <w:sz w:val="24"/>
          <w:szCs w:val="24"/>
        </w:rPr>
        <w:t>(parakstīts ar drošu elektronisko parakstu</w:t>
      </w:r>
      <w:r w:rsidRPr="00924E13">
        <w:rPr>
          <w:rFonts w:ascii="Times New Roman" w:hAnsi="Times New Roman" w:cs="Times New Roman"/>
          <w:sz w:val="24"/>
          <w:szCs w:val="24"/>
        </w:rPr>
        <w:t>)</w:t>
      </w:r>
    </w:p>
    <w:p w14:paraId="710635A1" w14:textId="62B77BDE" w:rsidR="00D56A7F" w:rsidRDefault="00D56A7F" w:rsidP="00D56A7F">
      <w:pPr>
        <w:jc w:val="right"/>
        <w:rPr>
          <w:rFonts w:ascii="Times New Roman" w:hAnsi="Times New Roman" w:cs="Times New Roman"/>
          <w:sz w:val="28"/>
          <w:szCs w:val="28"/>
        </w:rPr>
      </w:pPr>
    </w:p>
    <w:p w14:paraId="5E1B6A20" w14:textId="51FBDEDE" w:rsidR="00D56A7F" w:rsidRPr="00924E13" w:rsidRDefault="00D56A7F" w:rsidP="04F86BB4">
      <w:pPr>
        <w:spacing w:after="0"/>
        <w:jc w:val="right"/>
        <w:rPr>
          <w:rFonts w:ascii="Times New Roman" w:hAnsi="Times New Roman" w:cs="Times New Roman"/>
          <w:sz w:val="24"/>
          <w:szCs w:val="24"/>
        </w:rPr>
      </w:pPr>
    </w:p>
    <w:p w14:paraId="5CC32DC2" w14:textId="77777777" w:rsidR="00D56A7F" w:rsidRPr="00924E13" w:rsidRDefault="00D56A7F" w:rsidP="00D56A7F">
      <w:pPr>
        <w:jc w:val="center"/>
        <w:rPr>
          <w:rFonts w:ascii="Times New Roman" w:hAnsi="Times New Roman" w:cs="Times New Roman"/>
          <w:b/>
          <w:bCs/>
          <w:sz w:val="24"/>
          <w:szCs w:val="24"/>
        </w:rPr>
      </w:pPr>
    </w:p>
    <w:p w14:paraId="5A72D650" w14:textId="77777777" w:rsidR="00D56A7F" w:rsidRPr="00924E13" w:rsidRDefault="00D56A7F" w:rsidP="00D56A7F">
      <w:pPr>
        <w:jc w:val="center"/>
        <w:rPr>
          <w:rFonts w:ascii="Times New Roman" w:hAnsi="Times New Roman" w:cs="Times New Roman"/>
          <w:b/>
          <w:bCs/>
          <w:sz w:val="24"/>
          <w:szCs w:val="24"/>
        </w:rPr>
      </w:pPr>
    </w:p>
    <w:p w14:paraId="02949FD8" w14:textId="77777777" w:rsidR="00D56A7F" w:rsidRPr="00924E13" w:rsidRDefault="00D56A7F" w:rsidP="00D56A7F">
      <w:pPr>
        <w:jc w:val="center"/>
        <w:rPr>
          <w:rFonts w:ascii="Times New Roman" w:hAnsi="Times New Roman" w:cs="Times New Roman"/>
          <w:b/>
          <w:bCs/>
          <w:sz w:val="24"/>
          <w:szCs w:val="24"/>
        </w:rPr>
      </w:pPr>
    </w:p>
    <w:p w14:paraId="1AC4E0B6" w14:textId="77777777" w:rsidR="00D56A7F" w:rsidRPr="0036436F" w:rsidRDefault="00D56A7F" w:rsidP="00D56A7F">
      <w:pPr>
        <w:jc w:val="center"/>
        <w:rPr>
          <w:rFonts w:ascii="Times New Roman" w:hAnsi="Times New Roman" w:cs="Times New Roman"/>
          <w:b/>
          <w:bCs/>
          <w:sz w:val="32"/>
          <w:szCs w:val="32"/>
        </w:rPr>
      </w:pPr>
      <w:r w:rsidRPr="0036436F">
        <w:rPr>
          <w:rFonts w:ascii="Times New Roman" w:hAnsi="Times New Roman" w:cs="Times New Roman"/>
          <w:b/>
          <w:bCs/>
          <w:sz w:val="32"/>
          <w:szCs w:val="32"/>
        </w:rPr>
        <w:t>Komercdarbības atbalsta piemērošanas metodika</w:t>
      </w:r>
    </w:p>
    <w:p w14:paraId="0DED654A" w14:textId="2DAC560E" w:rsidR="00D56A7F" w:rsidRPr="0036436F" w:rsidRDefault="00D56A7F" w:rsidP="00D56A7F">
      <w:pPr>
        <w:jc w:val="center"/>
        <w:rPr>
          <w:rFonts w:ascii="Times New Roman" w:hAnsi="Times New Roman" w:cs="Times New Roman"/>
          <w:b/>
          <w:bCs/>
          <w:sz w:val="32"/>
          <w:szCs w:val="32"/>
        </w:rPr>
      </w:pPr>
      <w:r w:rsidRPr="04F86BB4">
        <w:rPr>
          <w:rFonts w:ascii="Times New Roman" w:hAnsi="Times New Roman" w:cs="Times New Roman"/>
          <w:b/>
          <w:bCs/>
          <w:sz w:val="32"/>
          <w:szCs w:val="32"/>
        </w:rPr>
        <w:t xml:space="preserve">kultūrizglītības projektiem </w:t>
      </w:r>
    </w:p>
    <w:p w14:paraId="3BAE079B" w14:textId="77777777" w:rsidR="00D56A7F" w:rsidRDefault="00D56A7F" w:rsidP="00D56A7F">
      <w:pPr>
        <w:jc w:val="center"/>
        <w:rPr>
          <w:rFonts w:ascii="Times New Roman" w:hAnsi="Times New Roman" w:cs="Times New Roman"/>
          <w:b/>
          <w:bCs/>
          <w:sz w:val="24"/>
          <w:szCs w:val="24"/>
        </w:rPr>
      </w:pPr>
    </w:p>
    <w:p w14:paraId="1E66926A" w14:textId="77777777" w:rsidR="00D56A7F" w:rsidRDefault="00D56A7F" w:rsidP="00D56A7F">
      <w:pPr>
        <w:jc w:val="center"/>
        <w:rPr>
          <w:rFonts w:ascii="Times New Roman" w:hAnsi="Times New Roman" w:cs="Times New Roman"/>
          <w:b/>
          <w:bCs/>
          <w:sz w:val="24"/>
          <w:szCs w:val="24"/>
        </w:rPr>
      </w:pPr>
    </w:p>
    <w:p w14:paraId="600B9C76" w14:textId="77777777" w:rsidR="00D56A7F" w:rsidRDefault="00D56A7F" w:rsidP="00D56A7F">
      <w:pPr>
        <w:jc w:val="center"/>
        <w:rPr>
          <w:rFonts w:ascii="Times New Roman" w:hAnsi="Times New Roman" w:cs="Times New Roman"/>
          <w:b/>
          <w:bCs/>
          <w:sz w:val="24"/>
          <w:szCs w:val="24"/>
        </w:rPr>
      </w:pPr>
    </w:p>
    <w:p w14:paraId="387E3E4C" w14:textId="77777777" w:rsidR="00D56A7F" w:rsidRPr="00924E13" w:rsidRDefault="00D56A7F" w:rsidP="00D56A7F">
      <w:pPr>
        <w:jc w:val="center"/>
        <w:rPr>
          <w:rFonts w:ascii="Times New Roman" w:hAnsi="Times New Roman" w:cs="Times New Roman"/>
          <w:b/>
          <w:bCs/>
          <w:sz w:val="24"/>
          <w:szCs w:val="24"/>
        </w:rPr>
      </w:pPr>
    </w:p>
    <w:p w14:paraId="5E28C4DF" w14:textId="77777777" w:rsidR="00D56A7F" w:rsidRPr="00924E13" w:rsidRDefault="00D56A7F" w:rsidP="00D56A7F">
      <w:pPr>
        <w:rPr>
          <w:rFonts w:ascii="Times New Roman" w:hAnsi="Times New Roman" w:cs="Times New Roman"/>
          <w:b/>
          <w:bCs/>
          <w:sz w:val="24"/>
          <w:szCs w:val="24"/>
        </w:rPr>
      </w:pPr>
    </w:p>
    <w:p w14:paraId="5D1581FE" w14:textId="77777777" w:rsidR="00D56A7F" w:rsidRPr="00924E13" w:rsidRDefault="00D56A7F" w:rsidP="00D56A7F">
      <w:pPr>
        <w:jc w:val="center"/>
        <w:rPr>
          <w:rFonts w:ascii="Times New Roman" w:hAnsi="Times New Roman" w:cs="Times New Roman"/>
          <w:b/>
          <w:bCs/>
          <w:sz w:val="24"/>
          <w:szCs w:val="24"/>
        </w:rPr>
      </w:pPr>
    </w:p>
    <w:p w14:paraId="099BF0BB" w14:textId="419E4026" w:rsidR="04F86BB4" w:rsidRDefault="04F86BB4" w:rsidP="04F86BB4">
      <w:pPr>
        <w:jc w:val="center"/>
        <w:rPr>
          <w:rFonts w:ascii="Times New Roman" w:hAnsi="Times New Roman" w:cs="Times New Roman"/>
          <w:b/>
          <w:bCs/>
          <w:sz w:val="24"/>
          <w:szCs w:val="24"/>
        </w:rPr>
      </w:pPr>
    </w:p>
    <w:p w14:paraId="0CB89362" w14:textId="4CD62CFE" w:rsidR="04F86BB4" w:rsidRDefault="04F86BB4" w:rsidP="04F86BB4">
      <w:pPr>
        <w:jc w:val="center"/>
        <w:rPr>
          <w:rFonts w:ascii="Times New Roman" w:hAnsi="Times New Roman" w:cs="Times New Roman"/>
          <w:b/>
          <w:bCs/>
          <w:sz w:val="24"/>
          <w:szCs w:val="24"/>
        </w:rPr>
      </w:pPr>
    </w:p>
    <w:p w14:paraId="078F9974" w14:textId="7C30D9BB" w:rsidR="04F86BB4" w:rsidRDefault="04F86BB4" w:rsidP="04F86BB4">
      <w:pPr>
        <w:jc w:val="center"/>
        <w:rPr>
          <w:rFonts w:ascii="Times New Roman" w:hAnsi="Times New Roman" w:cs="Times New Roman"/>
          <w:b/>
          <w:bCs/>
          <w:sz w:val="24"/>
          <w:szCs w:val="24"/>
        </w:rPr>
      </w:pPr>
    </w:p>
    <w:p w14:paraId="3746235D" w14:textId="5B76B260" w:rsidR="04F86BB4" w:rsidRDefault="04F86BB4" w:rsidP="04F86BB4">
      <w:pPr>
        <w:jc w:val="center"/>
        <w:rPr>
          <w:rFonts w:ascii="Times New Roman" w:hAnsi="Times New Roman" w:cs="Times New Roman"/>
          <w:b/>
          <w:bCs/>
          <w:sz w:val="24"/>
          <w:szCs w:val="24"/>
        </w:rPr>
      </w:pPr>
    </w:p>
    <w:p w14:paraId="551A7024" w14:textId="627A3CA8" w:rsidR="04F86BB4" w:rsidRDefault="04F86BB4" w:rsidP="04F86BB4">
      <w:pPr>
        <w:jc w:val="center"/>
        <w:rPr>
          <w:rFonts w:ascii="Times New Roman" w:hAnsi="Times New Roman" w:cs="Times New Roman"/>
          <w:b/>
          <w:bCs/>
          <w:sz w:val="24"/>
          <w:szCs w:val="24"/>
        </w:rPr>
      </w:pPr>
    </w:p>
    <w:p w14:paraId="560CA82F" w14:textId="0B1ACA6F" w:rsidR="04F86BB4" w:rsidRDefault="04F86BB4" w:rsidP="04F86BB4">
      <w:pPr>
        <w:jc w:val="center"/>
        <w:rPr>
          <w:rFonts w:ascii="Times New Roman" w:hAnsi="Times New Roman" w:cs="Times New Roman"/>
          <w:b/>
          <w:bCs/>
          <w:sz w:val="24"/>
          <w:szCs w:val="24"/>
        </w:rPr>
      </w:pPr>
    </w:p>
    <w:p w14:paraId="627324FA" w14:textId="5FFA69A5" w:rsidR="04F86BB4" w:rsidRDefault="04F86BB4" w:rsidP="04F86BB4">
      <w:pPr>
        <w:jc w:val="center"/>
        <w:rPr>
          <w:rFonts w:ascii="Times New Roman" w:hAnsi="Times New Roman" w:cs="Times New Roman"/>
          <w:b/>
          <w:bCs/>
          <w:sz w:val="24"/>
          <w:szCs w:val="24"/>
        </w:rPr>
      </w:pPr>
    </w:p>
    <w:p w14:paraId="4880FD14" w14:textId="2446C2C1" w:rsidR="04F86BB4" w:rsidRDefault="04F86BB4" w:rsidP="04F86BB4">
      <w:pPr>
        <w:jc w:val="center"/>
        <w:rPr>
          <w:rFonts w:ascii="Times New Roman" w:hAnsi="Times New Roman" w:cs="Times New Roman"/>
          <w:b/>
          <w:bCs/>
          <w:sz w:val="24"/>
          <w:szCs w:val="24"/>
        </w:rPr>
      </w:pPr>
    </w:p>
    <w:p w14:paraId="68BCAD63" w14:textId="64854BEE" w:rsidR="04F86BB4" w:rsidRDefault="04F86BB4" w:rsidP="04F86BB4">
      <w:pPr>
        <w:jc w:val="center"/>
        <w:rPr>
          <w:rFonts w:ascii="Times New Roman" w:hAnsi="Times New Roman" w:cs="Times New Roman"/>
          <w:b/>
          <w:bCs/>
          <w:sz w:val="24"/>
          <w:szCs w:val="24"/>
        </w:rPr>
      </w:pPr>
    </w:p>
    <w:p w14:paraId="48ADF545" w14:textId="6900BB51" w:rsidR="04F86BB4" w:rsidRDefault="04F86BB4" w:rsidP="04F86BB4">
      <w:pPr>
        <w:jc w:val="center"/>
        <w:rPr>
          <w:rFonts w:ascii="Times New Roman" w:hAnsi="Times New Roman" w:cs="Times New Roman"/>
          <w:b/>
          <w:bCs/>
          <w:sz w:val="24"/>
          <w:szCs w:val="24"/>
        </w:rPr>
      </w:pPr>
    </w:p>
    <w:p w14:paraId="1D28C518" w14:textId="77777777" w:rsidR="00D56A7F" w:rsidRPr="00924E13" w:rsidRDefault="00D56A7F" w:rsidP="00D56A7F">
      <w:pPr>
        <w:jc w:val="center"/>
        <w:rPr>
          <w:rFonts w:ascii="Times New Roman" w:hAnsi="Times New Roman" w:cs="Times New Roman"/>
          <w:b/>
          <w:bCs/>
          <w:sz w:val="24"/>
          <w:szCs w:val="24"/>
        </w:rPr>
      </w:pPr>
      <w:r w:rsidRPr="00924E13">
        <w:rPr>
          <w:rFonts w:ascii="Times New Roman" w:hAnsi="Times New Roman" w:cs="Times New Roman"/>
          <w:b/>
          <w:bCs/>
          <w:sz w:val="24"/>
          <w:szCs w:val="24"/>
        </w:rPr>
        <w:t>Kultūras ministrija</w:t>
      </w:r>
    </w:p>
    <w:p w14:paraId="401DD8B3" w14:textId="2A5581A9" w:rsidR="00D56A7F" w:rsidRPr="00924E13" w:rsidRDefault="00D56A7F" w:rsidP="00D56A7F">
      <w:pPr>
        <w:jc w:val="center"/>
        <w:rPr>
          <w:rFonts w:ascii="Times New Roman" w:hAnsi="Times New Roman" w:cs="Times New Roman"/>
          <w:b/>
          <w:bCs/>
          <w:sz w:val="24"/>
          <w:szCs w:val="24"/>
        </w:rPr>
      </w:pPr>
      <w:r w:rsidRPr="00924E13">
        <w:rPr>
          <w:rFonts w:ascii="Times New Roman" w:hAnsi="Times New Roman" w:cs="Times New Roman"/>
          <w:b/>
          <w:bCs/>
          <w:sz w:val="24"/>
          <w:szCs w:val="24"/>
        </w:rPr>
        <w:t>202</w:t>
      </w:r>
      <w:r w:rsidR="004E2DAC">
        <w:rPr>
          <w:rFonts w:ascii="Times New Roman" w:hAnsi="Times New Roman" w:cs="Times New Roman"/>
          <w:b/>
          <w:bCs/>
          <w:sz w:val="24"/>
          <w:szCs w:val="24"/>
        </w:rPr>
        <w:t>5</w:t>
      </w:r>
    </w:p>
    <w:p w14:paraId="540F2098" w14:textId="77777777" w:rsidR="00D56A7F" w:rsidRDefault="00D56A7F" w:rsidP="00D56A7F">
      <w:pPr>
        <w:jc w:val="center"/>
        <w:rPr>
          <w:rFonts w:ascii="Times New Roman" w:hAnsi="Times New Roman" w:cs="Times New Roman"/>
          <w:b/>
          <w:bCs/>
          <w:sz w:val="24"/>
          <w:szCs w:val="24"/>
        </w:rPr>
      </w:pPr>
    </w:p>
    <w:p w14:paraId="636251B1" w14:textId="77777777" w:rsidR="00D56A7F" w:rsidRDefault="00D56A7F" w:rsidP="00D56A7F">
      <w:pPr>
        <w:jc w:val="center"/>
        <w:rPr>
          <w:rFonts w:ascii="Times New Roman" w:hAnsi="Times New Roman" w:cs="Times New Roman"/>
          <w:b/>
          <w:bCs/>
          <w:sz w:val="24"/>
          <w:szCs w:val="24"/>
        </w:rPr>
      </w:pPr>
    </w:p>
    <w:p w14:paraId="4DE4D169" w14:textId="77777777" w:rsidR="00D56A7F" w:rsidRDefault="00D56A7F" w:rsidP="00D56A7F">
      <w:pPr>
        <w:jc w:val="center"/>
        <w:rPr>
          <w:rFonts w:ascii="Times New Roman" w:hAnsi="Times New Roman" w:cs="Times New Roman"/>
          <w:b/>
          <w:bCs/>
          <w:sz w:val="24"/>
          <w:szCs w:val="24"/>
        </w:rPr>
      </w:pPr>
    </w:p>
    <w:p w14:paraId="5E428860" w14:textId="77777777" w:rsidR="00D56A7F" w:rsidRDefault="00D56A7F" w:rsidP="00D56A7F">
      <w:pPr>
        <w:jc w:val="center"/>
        <w:rPr>
          <w:rFonts w:ascii="Times New Roman" w:hAnsi="Times New Roman" w:cs="Times New Roman"/>
          <w:b/>
          <w:bCs/>
          <w:sz w:val="24"/>
          <w:szCs w:val="24"/>
        </w:rPr>
      </w:pPr>
    </w:p>
    <w:p w14:paraId="696EC4BC" w14:textId="77777777" w:rsidR="00D56A7F" w:rsidRDefault="00D56A7F" w:rsidP="00D56A7F">
      <w:pPr>
        <w:jc w:val="center"/>
        <w:rPr>
          <w:rFonts w:ascii="Times New Roman" w:hAnsi="Times New Roman" w:cs="Times New Roman"/>
          <w:b/>
          <w:bCs/>
          <w:sz w:val="24"/>
          <w:szCs w:val="24"/>
        </w:rPr>
      </w:pPr>
    </w:p>
    <w:p w14:paraId="5B46D9DA" w14:textId="77777777" w:rsidR="00D56A7F" w:rsidRDefault="00D56A7F" w:rsidP="00D56A7F">
      <w:pPr>
        <w:jc w:val="center"/>
        <w:rPr>
          <w:rFonts w:ascii="Times New Roman" w:hAnsi="Times New Roman" w:cs="Times New Roman"/>
          <w:b/>
          <w:bCs/>
          <w:sz w:val="24"/>
          <w:szCs w:val="24"/>
        </w:rPr>
      </w:pPr>
    </w:p>
    <w:p w14:paraId="1B9563AB" w14:textId="77777777" w:rsidR="00D56A7F" w:rsidRDefault="00D56A7F" w:rsidP="00D56A7F">
      <w:pPr>
        <w:jc w:val="center"/>
        <w:rPr>
          <w:rFonts w:ascii="Times New Roman" w:hAnsi="Times New Roman" w:cs="Times New Roman"/>
          <w:b/>
          <w:bCs/>
          <w:sz w:val="24"/>
          <w:szCs w:val="24"/>
        </w:rPr>
      </w:pPr>
    </w:p>
    <w:sdt>
      <w:sdtPr>
        <w:rPr>
          <w:rFonts w:asciiTheme="minorHAnsi" w:eastAsiaTheme="minorEastAsia" w:hAnsiTheme="minorHAnsi" w:cstheme="minorBidi"/>
          <w:color w:val="auto"/>
          <w:sz w:val="22"/>
          <w:szCs w:val="22"/>
          <w:lang w:eastAsia="en-US"/>
        </w:rPr>
        <w:id w:val="1805032521"/>
        <w:docPartObj>
          <w:docPartGallery w:val="Table of Contents"/>
          <w:docPartUnique/>
        </w:docPartObj>
      </w:sdtPr>
      <w:sdtEndPr>
        <w:rPr>
          <w:sz w:val="24"/>
          <w:szCs w:val="24"/>
        </w:rPr>
      </w:sdtEndPr>
      <w:sdtContent>
        <w:p w14:paraId="1C9338DD" w14:textId="77777777" w:rsidR="00D56A7F" w:rsidRPr="000A7A4D" w:rsidRDefault="00D56A7F" w:rsidP="00D56A7F">
          <w:pPr>
            <w:pStyle w:val="TOCHeading"/>
            <w:jc w:val="center"/>
            <w:rPr>
              <w:rFonts w:ascii="Times New Roman" w:hAnsi="Times New Roman" w:cs="Times New Roman"/>
              <w:color w:val="000000" w:themeColor="text1"/>
              <w:sz w:val="28"/>
              <w:szCs w:val="28"/>
            </w:rPr>
          </w:pPr>
          <w:r w:rsidRPr="04F86BB4">
            <w:rPr>
              <w:rFonts w:ascii="Times New Roman" w:hAnsi="Times New Roman" w:cs="Times New Roman"/>
              <w:color w:val="000000" w:themeColor="text1"/>
              <w:sz w:val="28"/>
              <w:szCs w:val="28"/>
            </w:rPr>
            <w:t>Saturs</w:t>
          </w:r>
        </w:p>
        <w:p w14:paraId="56F9391F" w14:textId="158B1E33" w:rsidR="00D56A7F" w:rsidRPr="00EE0F12" w:rsidRDefault="00684D7B" w:rsidP="00EE0F12">
          <w:pPr>
            <w:pStyle w:val="TOC1"/>
            <w:rPr>
              <w:rStyle w:val="Hyperlink"/>
              <w:rFonts w:ascii="Times New Roman" w:eastAsiaTheme="majorEastAsia" w:hAnsi="Times New Roman" w:cs="Times New Roman"/>
              <w:noProof/>
              <w:sz w:val="24"/>
              <w:szCs w:val="24"/>
              <w:lang w:eastAsia="lv-LV"/>
            </w:rPr>
          </w:pPr>
          <w:r w:rsidRPr="00EE0F12">
            <w:rPr>
              <w:rFonts w:ascii="Times New Roman" w:hAnsi="Times New Roman" w:cs="Times New Roman"/>
              <w:sz w:val="24"/>
              <w:szCs w:val="24"/>
            </w:rPr>
            <w:fldChar w:fldCharType="begin"/>
          </w:r>
          <w:r w:rsidR="00D56A7F" w:rsidRPr="00EE0F12">
            <w:rPr>
              <w:rFonts w:ascii="Times New Roman" w:hAnsi="Times New Roman" w:cs="Times New Roman"/>
              <w:sz w:val="24"/>
              <w:szCs w:val="24"/>
            </w:rPr>
            <w:instrText>TOC \o "1-3" \z \u \h</w:instrText>
          </w:r>
          <w:r w:rsidRPr="00EE0F12">
            <w:rPr>
              <w:rFonts w:ascii="Times New Roman" w:hAnsi="Times New Roman" w:cs="Times New Roman"/>
              <w:sz w:val="24"/>
              <w:szCs w:val="24"/>
            </w:rPr>
            <w:fldChar w:fldCharType="separate"/>
          </w:r>
          <w:hyperlink w:anchor="_Toc1872901521">
            <w:r w:rsidR="04F86BB4" w:rsidRPr="00EE0F12">
              <w:rPr>
                <w:rStyle w:val="Hyperlink"/>
                <w:rFonts w:ascii="Times New Roman" w:hAnsi="Times New Roman" w:cs="Times New Roman"/>
                <w:noProof/>
                <w:sz w:val="24"/>
                <w:szCs w:val="24"/>
              </w:rPr>
              <w:t>Ievads</w:t>
            </w:r>
            <w:r w:rsidR="00D56A7F" w:rsidRPr="00EE0F12">
              <w:rPr>
                <w:rFonts w:ascii="Times New Roman" w:hAnsi="Times New Roman" w:cs="Times New Roman"/>
                <w:noProof/>
                <w:sz w:val="24"/>
                <w:szCs w:val="24"/>
              </w:rPr>
              <w:tab/>
            </w:r>
            <w:r w:rsidR="00D56A7F" w:rsidRPr="00EE0F12">
              <w:rPr>
                <w:rFonts w:ascii="Times New Roman" w:hAnsi="Times New Roman" w:cs="Times New Roman"/>
                <w:noProof/>
                <w:sz w:val="24"/>
                <w:szCs w:val="24"/>
              </w:rPr>
              <w:fldChar w:fldCharType="begin"/>
            </w:r>
            <w:r w:rsidR="00D56A7F" w:rsidRPr="00EE0F12">
              <w:rPr>
                <w:rFonts w:ascii="Times New Roman" w:hAnsi="Times New Roman" w:cs="Times New Roman"/>
                <w:noProof/>
                <w:sz w:val="24"/>
                <w:szCs w:val="24"/>
              </w:rPr>
              <w:instrText>PAGEREF _Toc1872901521 \h</w:instrText>
            </w:r>
            <w:r w:rsidR="00D56A7F" w:rsidRPr="00EE0F12">
              <w:rPr>
                <w:rFonts w:ascii="Times New Roman" w:hAnsi="Times New Roman" w:cs="Times New Roman"/>
                <w:noProof/>
                <w:sz w:val="24"/>
                <w:szCs w:val="24"/>
              </w:rPr>
            </w:r>
            <w:r w:rsidR="00D56A7F" w:rsidRPr="00EE0F12">
              <w:rPr>
                <w:rFonts w:ascii="Times New Roman" w:hAnsi="Times New Roman" w:cs="Times New Roman"/>
                <w:noProof/>
                <w:sz w:val="24"/>
                <w:szCs w:val="24"/>
              </w:rPr>
              <w:fldChar w:fldCharType="separate"/>
            </w:r>
            <w:r w:rsidR="00E7412A">
              <w:rPr>
                <w:rFonts w:ascii="Times New Roman" w:hAnsi="Times New Roman" w:cs="Times New Roman"/>
                <w:noProof/>
                <w:sz w:val="24"/>
                <w:szCs w:val="24"/>
              </w:rPr>
              <w:t>3</w:t>
            </w:r>
            <w:r w:rsidR="00D56A7F" w:rsidRPr="00EE0F12">
              <w:rPr>
                <w:rFonts w:ascii="Times New Roman" w:hAnsi="Times New Roman" w:cs="Times New Roman"/>
                <w:noProof/>
                <w:sz w:val="24"/>
                <w:szCs w:val="24"/>
              </w:rPr>
              <w:fldChar w:fldCharType="end"/>
            </w:r>
          </w:hyperlink>
        </w:p>
        <w:p w14:paraId="32113500" w14:textId="474527C4" w:rsidR="00D56A7F" w:rsidRPr="00EE0F12" w:rsidRDefault="04F86BB4" w:rsidP="00EE0F12">
          <w:pPr>
            <w:pStyle w:val="TOC1"/>
            <w:rPr>
              <w:rStyle w:val="Hyperlink"/>
              <w:rFonts w:ascii="Times New Roman" w:hAnsi="Times New Roman" w:cs="Times New Roman"/>
              <w:noProof/>
              <w:sz w:val="24"/>
              <w:szCs w:val="24"/>
              <w:lang w:eastAsia="lv-LV"/>
            </w:rPr>
          </w:pPr>
          <w:hyperlink w:anchor="_Toc805061951">
            <w:r w:rsidRPr="00EE0F12">
              <w:rPr>
                <w:rStyle w:val="Hyperlink"/>
                <w:rFonts w:ascii="Times New Roman" w:hAnsi="Times New Roman" w:cs="Times New Roman"/>
                <w:noProof/>
                <w:sz w:val="24"/>
                <w:szCs w:val="24"/>
              </w:rPr>
              <w:t>1.</w:t>
            </w:r>
            <w:r w:rsidR="00684D7B" w:rsidRPr="00EE0F12">
              <w:rPr>
                <w:rFonts w:ascii="Times New Roman" w:hAnsi="Times New Roman" w:cs="Times New Roman"/>
                <w:noProof/>
                <w:sz w:val="24"/>
                <w:szCs w:val="24"/>
              </w:rPr>
              <w:tab/>
            </w:r>
            <w:r w:rsidRPr="00EE0F12">
              <w:rPr>
                <w:rStyle w:val="Hyperlink"/>
                <w:rFonts w:ascii="Times New Roman" w:hAnsi="Times New Roman" w:cs="Times New Roman"/>
                <w:noProof/>
                <w:sz w:val="24"/>
                <w:szCs w:val="24"/>
              </w:rPr>
              <w:t>Komercdarbības atbalsta piemērošanas nosacījumi kultūras un izglītības nozarē – EK skaidrojums</w:t>
            </w:r>
            <w:r w:rsidR="00684D7B" w:rsidRPr="00EE0F12">
              <w:rPr>
                <w:rFonts w:ascii="Times New Roman" w:hAnsi="Times New Roman" w:cs="Times New Roman"/>
                <w:noProof/>
                <w:sz w:val="24"/>
                <w:szCs w:val="24"/>
              </w:rPr>
              <w:tab/>
            </w:r>
            <w:r w:rsidR="00684D7B" w:rsidRPr="00EE0F12">
              <w:rPr>
                <w:rFonts w:ascii="Times New Roman" w:hAnsi="Times New Roman" w:cs="Times New Roman"/>
                <w:noProof/>
                <w:sz w:val="24"/>
                <w:szCs w:val="24"/>
              </w:rPr>
              <w:fldChar w:fldCharType="begin"/>
            </w:r>
            <w:r w:rsidR="00684D7B" w:rsidRPr="00EE0F12">
              <w:rPr>
                <w:rFonts w:ascii="Times New Roman" w:hAnsi="Times New Roman" w:cs="Times New Roman"/>
                <w:noProof/>
                <w:sz w:val="24"/>
                <w:szCs w:val="24"/>
              </w:rPr>
              <w:instrText>PAGEREF _Toc805061951 \h</w:instrText>
            </w:r>
            <w:r w:rsidR="00684D7B" w:rsidRPr="00EE0F12">
              <w:rPr>
                <w:rFonts w:ascii="Times New Roman" w:hAnsi="Times New Roman" w:cs="Times New Roman"/>
                <w:noProof/>
                <w:sz w:val="24"/>
                <w:szCs w:val="24"/>
              </w:rPr>
            </w:r>
            <w:r w:rsidR="00684D7B" w:rsidRPr="00EE0F12">
              <w:rPr>
                <w:rFonts w:ascii="Times New Roman" w:hAnsi="Times New Roman" w:cs="Times New Roman"/>
                <w:noProof/>
                <w:sz w:val="24"/>
                <w:szCs w:val="24"/>
              </w:rPr>
              <w:fldChar w:fldCharType="separate"/>
            </w:r>
            <w:r w:rsidR="00E7412A">
              <w:rPr>
                <w:rFonts w:ascii="Times New Roman" w:hAnsi="Times New Roman" w:cs="Times New Roman"/>
                <w:noProof/>
                <w:sz w:val="24"/>
                <w:szCs w:val="24"/>
              </w:rPr>
              <w:t>3</w:t>
            </w:r>
            <w:r w:rsidR="00684D7B" w:rsidRPr="00EE0F12">
              <w:rPr>
                <w:rFonts w:ascii="Times New Roman" w:hAnsi="Times New Roman" w:cs="Times New Roman"/>
                <w:noProof/>
                <w:sz w:val="24"/>
                <w:szCs w:val="24"/>
              </w:rPr>
              <w:fldChar w:fldCharType="end"/>
            </w:r>
          </w:hyperlink>
        </w:p>
        <w:p w14:paraId="592B1990" w14:textId="09614360" w:rsidR="00D56A7F" w:rsidRPr="00EE0F12" w:rsidDel="00312013" w:rsidRDefault="04F86BB4" w:rsidP="00EE0F12">
          <w:pPr>
            <w:pStyle w:val="TOC1"/>
            <w:rPr>
              <w:rStyle w:val="Hyperlink"/>
              <w:rFonts w:ascii="Times New Roman" w:hAnsi="Times New Roman" w:cs="Times New Roman"/>
              <w:noProof/>
              <w:sz w:val="24"/>
              <w:szCs w:val="24"/>
              <w:lang w:eastAsia="lv-LV"/>
            </w:rPr>
          </w:pPr>
          <w:hyperlink w:anchor="_Toc2105443789">
            <w:r w:rsidRPr="00EE0F12">
              <w:rPr>
                <w:rStyle w:val="Hyperlink"/>
                <w:rFonts w:ascii="Times New Roman" w:hAnsi="Times New Roman" w:cs="Times New Roman"/>
                <w:noProof/>
                <w:sz w:val="24"/>
                <w:szCs w:val="24"/>
              </w:rPr>
              <w:t>2. Kultūras nozares kritēriju izvērtēšana un nepieciešamo datu uzskaite</w:t>
            </w:r>
            <w:r w:rsidR="00684D7B" w:rsidRPr="00EE0F12">
              <w:rPr>
                <w:rFonts w:ascii="Times New Roman" w:hAnsi="Times New Roman" w:cs="Times New Roman"/>
                <w:noProof/>
                <w:sz w:val="24"/>
                <w:szCs w:val="24"/>
              </w:rPr>
              <w:tab/>
            </w:r>
            <w:r w:rsidR="00684D7B" w:rsidRPr="00EE0F12">
              <w:rPr>
                <w:rFonts w:ascii="Times New Roman" w:hAnsi="Times New Roman" w:cs="Times New Roman"/>
                <w:noProof/>
                <w:sz w:val="24"/>
                <w:szCs w:val="24"/>
              </w:rPr>
              <w:fldChar w:fldCharType="begin"/>
            </w:r>
            <w:r w:rsidR="00684D7B" w:rsidRPr="00EE0F12">
              <w:rPr>
                <w:rFonts w:ascii="Times New Roman" w:hAnsi="Times New Roman" w:cs="Times New Roman"/>
                <w:noProof/>
                <w:sz w:val="24"/>
                <w:szCs w:val="24"/>
              </w:rPr>
              <w:instrText>PAGEREF _Toc2105443789 \h</w:instrText>
            </w:r>
            <w:r w:rsidR="00684D7B" w:rsidRPr="00EE0F12">
              <w:rPr>
                <w:rFonts w:ascii="Times New Roman" w:hAnsi="Times New Roman" w:cs="Times New Roman"/>
                <w:noProof/>
                <w:sz w:val="24"/>
                <w:szCs w:val="24"/>
              </w:rPr>
            </w:r>
            <w:r w:rsidR="00684D7B" w:rsidRPr="00EE0F12">
              <w:rPr>
                <w:rFonts w:ascii="Times New Roman" w:hAnsi="Times New Roman" w:cs="Times New Roman"/>
                <w:noProof/>
                <w:sz w:val="24"/>
                <w:szCs w:val="24"/>
              </w:rPr>
              <w:fldChar w:fldCharType="separate"/>
            </w:r>
            <w:r w:rsidR="00E7412A">
              <w:rPr>
                <w:rFonts w:ascii="Times New Roman" w:hAnsi="Times New Roman" w:cs="Times New Roman"/>
                <w:noProof/>
                <w:sz w:val="24"/>
                <w:szCs w:val="24"/>
              </w:rPr>
              <w:t>6</w:t>
            </w:r>
            <w:r w:rsidR="00684D7B" w:rsidRPr="00EE0F12">
              <w:rPr>
                <w:rFonts w:ascii="Times New Roman" w:hAnsi="Times New Roman" w:cs="Times New Roman"/>
                <w:noProof/>
                <w:sz w:val="24"/>
                <w:szCs w:val="24"/>
              </w:rPr>
              <w:fldChar w:fldCharType="end"/>
            </w:r>
          </w:hyperlink>
        </w:p>
        <w:p w14:paraId="65809DF9" w14:textId="73625FA3" w:rsidR="00D56A7F" w:rsidRPr="00EE0F12" w:rsidRDefault="04F86BB4" w:rsidP="00EE0F12">
          <w:pPr>
            <w:pStyle w:val="TOC1"/>
            <w:rPr>
              <w:rStyle w:val="Hyperlink"/>
              <w:rFonts w:ascii="Times New Roman" w:hAnsi="Times New Roman" w:cs="Times New Roman"/>
              <w:noProof/>
              <w:sz w:val="24"/>
              <w:szCs w:val="24"/>
              <w:lang w:eastAsia="lv-LV"/>
            </w:rPr>
          </w:pPr>
          <w:hyperlink w:anchor="_Toc1468900942">
            <w:r w:rsidRPr="00EE0F12">
              <w:rPr>
                <w:rStyle w:val="Hyperlink"/>
                <w:rFonts w:ascii="Times New Roman" w:hAnsi="Times New Roman" w:cs="Times New Roman"/>
                <w:noProof/>
                <w:sz w:val="24"/>
                <w:szCs w:val="24"/>
              </w:rPr>
              <w:t>1.pielikums</w:t>
            </w:r>
            <w:r w:rsidR="00684D7B" w:rsidRPr="00EE0F12">
              <w:rPr>
                <w:rFonts w:ascii="Times New Roman" w:hAnsi="Times New Roman" w:cs="Times New Roman"/>
                <w:noProof/>
                <w:sz w:val="24"/>
                <w:szCs w:val="24"/>
              </w:rPr>
              <w:tab/>
            </w:r>
            <w:r w:rsidR="00684D7B" w:rsidRPr="00EE0F12">
              <w:rPr>
                <w:rFonts w:ascii="Times New Roman" w:hAnsi="Times New Roman" w:cs="Times New Roman"/>
                <w:noProof/>
                <w:sz w:val="24"/>
                <w:szCs w:val="24"/>
              </w:rPr>
              <w:fldChar w:fldCharType="begin"/>
            </w:r>
            <w:r w:rsidR="00684D7B" w:rsidRPr="00EE0F12">
              <w:rPr>
                <w:rFonts w:ascii="Times New Roman" w:hAnsi="Times New Roman" w:cs="Times New Roman"/>
                <w:noProof/>
                <w:sz w:val="24"/>
                <w:szCs w:val="24"/>
              </w:rPr>
              <w:instrText>PAGEREF _Toc1468900942 \h</w:instrText>
            </w:r>
            <w:r w:rsidR="00684D7B" w:rsidRPr="00EE0F12">
              <w:rPr>
                <w:rFonts w:ascii="Times New Roman" w:hAnsi="Times New Roman" w:cs="Times New Roman"/>
                <w:noProof/>
                <w:sz w:val="24"/>
                <w:szCs w:val="24"/>
              </w:rPr>
            </w:r>
            <w:r w:rsidR="00684D7B" w:rsidRPr="00EE0F12">
              <w:rPr>
                <w:rFonts w:ascii="Times New Roman" w:hAnsi="Times New Roman" w:cs="Times New Roman"/>
                <w:noProof/>
                <w:sz w:val="24"/>
                <w:szCs w:val="24"/>
              </w:rPr>
              <w:fldChar w:fldCharType="separate"/>
            </w:r>
            <w:r w:rsidR="00E7412A">
              <w:rPr>
                <w:rFonts w:ascii="Times New Roman" w:hAnsi="Times New Roman" w:cs="Times New Roman"/>
                <w:noProof/>
                <w:sz w:val="24"/>
                <w:szCs w:val="24"/>
              </w:rPr>
              <w:t>10</w:t>
            </w:r>
            <w:r w:rsidR="00684D7B" w:rsidRPr="00EE0F12">
              <w:rPr>
                <w:rFonts w:ascii="Times New Roman" w:hAnsi="Times New Roman" w:cs="Times New Roman"/>
                <w:noProof/>
                <w:sz w:val="24"/>
                <w:szCs w:val="24"/>
              </w:rPr>
              <w:fldChar w:fldCharType="end"/>
            </w:r>
          </w:hyperlink>
          <w:r w:rsidR="00684D7B" w:rsidRPr="00EE0F12">
            <w:rPr>
              <w:rFonts w:ascii="Times New Roman" w:hAnsi="Times New Roman" w:cs="Times New Roman"/>
              <w:sz w:val="24"/>
              <w:szCs w:val="24"/>
            </w:rPr>
            <w:fldChar w:fldCharType="end"/>
          </w:r>
        </w:p>
      </w:sdtContent>
    </w:sdt>
    <w:p w14:paraId="42036BF4" w14:textId="77777777" w:rsidR="00D56A7F" w:rsidRPr="000A7A4D" w:rsidRDefault="00D56A7F" w:rsidP="00D56A7F">
      <w:pPr>
        <w:rPr>
          <w:rFonts w:ascii="Times New Roman" w:hAnsi="Times New Roman" w:cs="Times New Roman"/>
          <w:sz w:val="28"/>
          <w:szCs w:val="28"/>
        </w:rPr>
      </w:pPr>
    </w:p>
    <w:p w14:paraId="185140A4" w14:textId="77777777" w:rsidR="00D56A7F" w:rsidRPr="00924E13" w:rsidRDefault="00D56A7F" w:rsidP="00D56A7F">
      <w:pPr>
        <w:rPr>
          <w:rFonts w:ascii="Times New Roman" w:hAnsi="Times New Roman" w:cs="Times New Roman"/>
          <w:sz w:val="24"/>
          <w:szCs w:val="24"/>
        </w:rPr>
      </w:pPr>
    </w:p>
    <w:p w14:paraId="0029949F" w14:textId="77777777" w:rsidR="00D56A7F" w:rsidRPr="00924E13" w:rsidRDefault="00D56A7F" w:rsidP="00D56A7F">
      <w:pPr>
        <w:rPr>
          <w:rFonts w:ascii="Times New Roman" w:hAnsi="Times New Roman" w:cs="Times New Roman"/>
          <w:sz w:val="24"/>
          <w:szCs w:val="24"/>
        </w:rPr>
      </w:pPr>
    </w:p>
    <w:p w14:paraId="56373E59" w14:textId="77777777" w:rsidR="00D56A7F" w:rsidRPr="00924E13" w:rsidRDefault="00D56A7F" w:rsidP="00D56A7F">
      <w:pPr>
        <w:rPr>
          <w:rFonts w:ascii="Times New Roman" w:hAnsi="Times New Roman" w:cs="Times New Roman"/>
          <w:sz w:val="24"/>
          <w:szCs w:val="24"/>
        </w:rPr>
      </w:pPr>
    </w:p>
    <w:p w14:paraId="205FCB14" w14:textId="77777777" w:rsidR="00D56A7F" w:rsidRPr="00924E13" w:rsidRDefault="00D56A7F" w:rsidP="00D56A7F">
      <w:pPr>
        <w:rPr>
          <w:rFonts w:ascii="Times New Roman" w:hAnsi="Times New Roman" w:cs="Times New Roman"/>
          <w:b/>
          <w:bCs/>
          <w:sz w:val="24"/>
          <w:szCs w:val="24"/>
        </w:rPr>
      </w:pPr>
    </w:p>
    <w:p w14:paraId="15FE91F7" w14:textId="77777777" w:rsidR="00D56A7F" w:rsidRPr="00924E13" w:rsidRDefault="00D56A7F" w:rsidP="00D56A7F">
      <w:pPr>
        <w:tabs>
          <w:tab w:val="left" w:pos="1605"/>
        </w:tabs>
        <w:rPr>
          <w:rFonts w:ascii="Times New Roman" w:hAnsi="Times New Roman" w:cs="Times New Roman"/>
          <w:sz w:val="24"/>
          <w:szCs w:val="24"/>
        </w:rPr>
      </w:pPr>
      <w:r w:rsidRPr="00924E13">
        <w:rPr>
          <w:rFonts w:ascii="Times New Roman" w:hAnsi="Times New Roman" w:cs="Times New Roman"/>
          <w:sz w:val="24"/>
          <w:szCs w:val="24"/>
        </w:rPr>
        <w:tab/>
      </w:r>
    </w:p>
    <w:p w14:paraId="62326015" w14:textId="77777777" w:rsidR="00D56A7F" w:rsidRPr="00924E13" w:rsidRDefault="00D56A7F" w:rsidP="00D56A7F">
      <w:pPr>
        <w:tabs>
          <w:tab w:val="left" w:pos="1605"/>
        </w:tabs>
        <w:rPr>
          <w:rFonts w:ascii="Times New Roman" w:hAnsi="Times New Roman" w:cs="Times New Roman"/>
          <w:sz w:val="24"/>
          <w:szCs w:val="24"/>
        </w:rPr>
      </w:pPr>
    </w:p>
    <w:p w14:paraId="419CFE0A" w14:textId="77777777" w:rsidR="00D56A7F" w:rsidRPr="00924E13" w:rsidRDefault="00D56A7F" w:rsidP="00D56A7F">
      <w:pPr>
        <w:pStyle w:val="Caption"/>
        <w:jc w:val="center"/>
        <w:rPr>
          <w:rFonts w:ascii="Times New Roman" w:hAnsi="Times New Roman" w:cs="Times New Roman"/>
          <w:sz w:val="24"/>
          <w:szCs w:val="24"/>
        </w:rPr>
      </w:pPr>
    </w:p>
    <w:p w14:paraId="3ECA9B80" w14:textId="77777777" w:rsidR="00D56A7F" w:rsidRPr="00924E13" w:rsidRDefault="00D56A7F" w:rsidP="00D56A7F">
      <w:pPr>
        <w:rPr>
          <w:rFonts w:ascii="Times New Roman" w:hAnsi="Times New Roman" w:cs="Times New Roman"/>
          <w:sz w:val="24"/>
          <w:szCs w:val="24"/>
        </w:rPr>
      </w:pPr>
      <w:r w:rsidRPr="00924E13">
        <w:rPr>
          <w:rFonts w:ascii="Times New Roman" w:hAnsi="Times New Roman" w:cs="Times New Roman"/>
          <w:sz w:val="24"/>
          <w:szCs w:val="24"/>
        </w:rPr>
        <w:br w:type="page"/>
      </w:r>
    </w:p>
    <w:p w14:paraId="7DBC5D7B" w14:textId="77777777" w:rsidR="00D56A7F" w:rsidRPr="00695502" w:rsidRDefault="00D56A7F" w:rsidP="00D56A7F">
      <w:pPr>
        <w:pStyle w:val="Heading1"/>
        <w:jc w:val="center"/>
        <w:rPr>
          <w:rFonts w:ascii="Times New Roman" w:hAnsi="Times New Roman" w:cs="Times New Roman"/>
          <w:b/>
          <w:bCs/>
          <w:color w:val="000000" w:themeColor="text1"/>
          <w:sz w:val="28"/>
          <w:szCs w:val="28"/>
        </w:rPr>
      </w:pPr>
      <w:bookmarkStart w:id="0" w:name="_Toc1872901521"/>
      <w:r w:rsidRPr="04F86BB4">
        <w:rPr>
          <w:rFonts w:ascii="Times New Roman" w:hAnsi="Times New Roman" w:cs="Times New Roman"/>
          <w:b/>
          <w:bCs/>
          <w:color w:val="000000" w:themeColor="text1"/>
          <w:sz w:val="28"/>
          <w:szCs w:val="28"/>
        </w:rPr>
        <w:lastRenderedPageBreak/>
        <w:t>Ievads</w:t>
      </w:r>
      <w:bookmarkEnd w:id="0"/>
    </w:p>
    <w:p w14:paraId="3E5B2BAC" w14:textId="3208BE7F" w:rsidR="00D56A7F" w:rsidRPr="0036436F" w:rsidRDefault="00D56A7F" w:rsidP="00D56A7F">
      <w:pPr>
        <w:tabs>
          <w:tab w:val="left" w:pos="1605"/>
        </w:tabs>
        <w:spacing w:after="0" w:line="240" w:lineRule="atLeast"/>
        <w:ind w:firstLine="709"/>
        <w:jc w:val="both"/>
        <w:rPr>
          <w:rFonts w:ascii="Times New Roman" w:hAnsi="Times New Roman" w:cs="Times New Roman"/>
          <w:sz w:val="28"/>
          <w:szCs w:val="28"/>
          <w:shd w:val="clear" w:color="auto" w:fill="FFFFFF"/>
        </w:rPr>
      </w:pPr>
      <w:r w:rsidRPr="04F86BB4">
        <w:rPr>
          <w:rFonts w:ascii="Times New Roman" w:hAnsi="Times New Roman" w:cs="Times New Roman"/>
          <w:sz w:val="28"/>
          <w:szCs w:val="28"/>
        </w:rPr>
        <w:t xml:space="preserve">Metodikas mērķis ir skaidrot specifiskus komercdarbības atbalsta piemērošanas aspektus </w:t>
      </w:r>
      <w:r w:rsidR="009B64F6" w:rsidRPr="04F86BB4">
        <w:rPr>
          <w:rFonts w:ascii="Times New Roman" w:hAnsi="Times New Roman" w:cs="Times New Roman"/>
          <w:sz w:val="28"/>
          <w:szCs w:val="28"/>
        </w:rPr>
        <w:t>kultūrizglītības</w:t>
      </w:r>
      <w:r w:rsidRPr="04F86BB4">
        <w:rPr>
          <w:rFonts w:ascii="Times New Roman" w:hAnsi="Times New Roman" w:cs="Times New Roman"/>
          <w:sz w:val="28"/>
          <w:szCs w:val="28"/>
        </w:rPr>
        <w:t xml:space="preserve"> projektu ieviešanā un uzraudzībā, kas izriet no Eiropas Komisijas (turpmāk – EK) skaidrojuma par komercdarbības atbalsta piemērošanu kultūras nozarē</w:t>
      </w:r>
      <w:r w:rsidR="00F43CDC" w:rsidRPr="04F86BB4">
        <w:rPr>
          <w:rFonts w:ascii="Times New Roman" w:hAnsi="Times New Roman" w:cs="Times New Roman"/>
          <w:sz w:val="28"/>
          <w:szCs w:val="28"/>
        </w:rPr>
        <w:t xml:space="preserve"> </w:t>
      </w:r>
      <w:r w:rsidR="0052593C" w:rsidRPr="04F86BB4">
        <w:rPr>
          <w:rFonts w:ascii="Times New Roman" w:hAnsi="Times New Roman" w:cs="Times New Roman"/>
          <w:sz w:val="28"/>
          <w:szCs w:val="28"/>
        </w:rPr>
        <w:t>un tālāk tiek integrēti Ministru kabineta (turpmāk – MK) noteikumos par konkrēto specifisko atbalsta mērķa (turpmāk – SAM) ieviešanu</w:t>
      </w:r>
      <w:r w:rsidRPr="04F86BB4">
        <w:rPr>
          <w:rFonts w:ascii="Times New Roman" w:hAnsi="Times New Roman" w:cs="Times New Roman"/>
          <w:sz w:val="28"/>
          <w:szCs w:val="28"/>
        </w:rPr>
        <w:t>.</w:t>
      </w:r>
    </w:p>
    <w:p w14:paraId="4AA74637" w14:textId="77777777" w:rsidR="00D56A7F" w:rsidRPr="0036436F" w:rsidRDefault="00D56A7F" w:rsidP="00D56A7F">
      <w:pPr>
        <w:spacing w:after="0"/>
        <w:rPr>
          <w:rFonts w:ascii="Times New Roman" w:hAnsi="Times New Roman" w:cs="Times New Roman"/>
          <w:sz w:val="28"/>
          <w:szCs w:val="28"/>
        </w:rPr>
      </w:pPr>
    </w:p>
    <w:p w14:paraId="0E3D98EE" w14:textId="77777777" w:rsidR="00D56A7F" w:rsidRPr="0036436F" w:rsidRDefault="00D56A7F" w:rsidP="00D56A7F">
      <w:pPr>
        <w:spacing w:after="0"/>
        <w:jc w:val="both"/>
        <w:rPr>
          <w:rFonts w:ascii="Times New Roman" w:hAnsi="Times New Roman" w:cs="Times New Roman"/>
          <w:sz w:val="28"/>
          <w:szCs w:val="28"/>
        </w:rPr>
      </w:pPr>
      <w:r w:rsidRPr="0036436F">
        <w:rPr>
          <w:rFonts w:ascii="Times New Roman" w:hAnsi="Times New Roman" w:cs="Times New Roman"/>
          <w:sz w:val="28"/>
          <w:szCs w:val="28"/>
        </w:rPr>
        <w:t>Metodika ir paredzēta šādiem lietotājiem:</w:t>
      </w:r>
    </w:p>
    <w:p w14:paraId="6C2099FB" w14:textId="2F0C6617" w:rsidR="00D56A7F" w:rsidRPr="0036436F" w:rsidRDefault="00D56A7F" w:rsidP="00D56A7F">
      <w:pPr>
        <w:pStyle w:val="ListParagraph"/>
        <w:numPr>
          <w:ilvl w:val="0"/>
          <w:numId w:val="1"/>
        </w:numPr>
        <w:spacing w:before="120" w:after="0" w:line="240" w:lineRule="auto"/>
        <w:contextualSpacing w:val="0"/>
        <w:jc w:val="both"/>
        <w:rPr>
          <w:rFonts w:ascii="Times New Roman" w:hAnsi="Times New Roman" w:cs="Times New Roman"/>
          <w:sz w:val="28"/>
          <w:szCs w:val="28"/>
        </w:rPr>
      </w:pPr>
      <w:bookmarkStart w:id="1" w:name="_Toc508123591"/>
      <w:r w:rsidRPr="0036436F">
        <w:rPr>
          <w:rFonts w:ascii="Times New Roman" w:hAnsi="Times New Roman" w:cs="Times New Roman"/>
          <w:sz w:val="28"/>
          <w:szCs w:val="28"/>
        </w:rPr>
        <w:t xml:space="preserve">Par </w:t>
      </w:r>
      <w:r w:rsidR="001707F3">
        <w:rPr>
          <w:rFonts w:ascii="Times New Roman" w:hAnsi="Times New Roman" w:cs="Times New Roman"/>
          <w:sz w:val="28"/>
          <w:szCs w:val="28"/>
        </w:rPr>
        <w:t xml:space="preserve">kultūrizglītības </w:t>
      </w:r>
      <w:r w:rsidR="00BE027B">
        <w:rPr>
          <w:rFonts w:ascii="Times New Roman" w:hAnsi="Times New Roman" w:cs="Times New Roman"/>
          <w:sz w:val="28"/>
          <w:szCs w:val="28"/>
        </w:rPr>
        <w:t>jomu</w:t>
      </w:r>
      <w:r w:rsidRPr="0036436F">
        <w:rPr>
          <w:rFonts w:ascii="Times New Roman" w:hAnsi="Times New Roman" w:cs="Times New Roman"/>
          <w:sz w:val="28"/>
          <w:szCs w:val="28"/>
        </w:rPr>
        <w:t xml:space="preserve"> atbildīgajai iestādei </w:t>
      </w:r>
      <w:r w:rsidR="00BE027B">
        <w:rPr>
          <w:rFonts w:ascii="Times New Roman" w:hAnsi="Times New Roman" w:cs="Times New Roman"/>
          <w:sz w:val="28"/>
          <w:szCs w:val="28"/>
        </w:rPr>
        <w:t>–</w:t>
      </w:r>
      <w:r w:rsidRPr="0036436F">
        <w:rPr>
          <w:rFonts w:ascii="Times New Roman" w:hAnsi="Times New Roman" w:cs="Times New Roman"/>
          <w:sz w:val="28"/>
          <w:szCs w:val="28"/>
        </w:rPr>
        <w:t xml:space="preserve"> </w:t>
      </w:r>
      <w:r w:rsidR="00BE027B">
        <w:rPr>
          <w:rFonts w:ascii="Times New Roman" w:hAnsi="Times New Roman" w:cs="Times New Roman"/>
          <w:sz w:val="28"/>
          <w:szCs w:val="28"/>
        </w:rPr>
        <w:t>Kultūras ministrijai</w:t>
      </w:r>
      <w:r w:rsidRPr="0036436F">
        <w:rPr>
          <w:rFonts w:ascii="Times New Roman" w:hAnsi="Times New Roman" w:cs="Times New Roman"/>
          <w:sz w:val="28"/>
          <w:szCs w:val="28"/>
        </w:rPr>
        <w:t xml:space="preserve"> un tās darbiniekiem, </w:t>
      </w:r>
      <w:bookmarkStart w:id="2" w:name="_Hlk65750330"/>
      <w:r w:rsidRPr="0036436F">
        <w:rPr>
          <w:rFonts w:ascii="Times New Roman" w:hAnsi="Times New Roman" w:cs="Times New Roman"/>
          <w:sz w:val="28"/>
          <w:szCs w:val="28"/>
        </w:rPr>
        <w:t>lai nodrošinātu skaidrus principus un vienotu pieeju komercdarbības atbalsta kontroles normu piemērošanai Eiropas Savienības (turpmāk – ES) fondu līdzfinansētajos kultūr</w:t>
      </w:r>
      <w:r w:rsidR="00BE027B">
        <w:rPr>
          <w:rFonts w:ascii="Times New Roman" w:hAnsi="Times New Roman" w:cs="Times New Roman"/>
          <w:sz w:val="28"/>
          <w:szCs w:val="28"/>
        </w:rPr>
        <w:t xml:space="preserve">izglītības </w:t>
      </w:r>
      <w:r w:rsidR="006C6BDB">
        <w:rPr>
          <w:rFonts w:ascii="Times New Roman" w:hAnsi="Times New Roman" w:cs="Times New Roman"/>
          <w:sz w:val="28"/>
          <w:szCs w:val="28"/>
        </w:rPr>
        <w:t xml:space="preserve">iestāžu </w:t>
      </w:r>
      <w:r w:rsidR="00444367">
        <w:rPr>
          <w:rFonts w:ascii="Times New Roman" w:hAnsi="Times New Roman" w:cs="Times New Roman"/>
          <w:sz w:val="28"/>
          <w:szCs w:val="28"/>
        </w:rPr>
        <w:t xml:space="preserve">infrastruktūras </w:t>
      </w:r>
      <w:r w:rsidRPr="0036436F">
        <w:rPr>
          <w:rFonts w:ascii="Times New Roman" w:hAnsi="Times New Roman" w:cs="Times New Roman"/>
          <w:sz w:val="28"/>
          <w:szCs w:val="28"/>
        </w:rPr>
        <w:t>projektos</w:t>
      </w:r>
      <w:bookmarkEnd w:id="2"/>
      <w:r w:rsidRPr="0036436F">
        <w:rPr>
          <w:rFonts w:ascii="Times New Roman" w:hAnsi="Times New Roman" w:cs="Times New Roman"/>
          <w:sz w:val="28"/>
          <w:szCs w:val="28"/>
        </w:rPr>
        <w:t>;</w:t>
      </w:r>
    </w:p>
    <w:p w14:paraId="39C022E0" w14:textId="3738A3B5" w:rsidR="00D56A7F" w:rsidRPr="0036436F" w:rsidRDefault="00D56A7F" w:rsidP="00D56A7F">
      <w:pPr>
        <w:pStyle w:val="ListParagraph"/>
        <w:numPr>
          <w:ilvl w:val="0"/>
          <w:numId w:val="1"/>
        </w:numPr>
        <w:spacing w:before="120" w:after="0" w:line="240" w:lineRule="auto"/>
        <w:contextualSpacing w:val="0"/>
        <w:jc w:val="both"/>
        <w:rPr>
          <w:rFonts w:ascii="Times New Roman" w:hAnsi="Times New Roman" w:cs="Times New Roman"/>
          <w:sz w:val="28"/>
          <w:szCs w:val="28"/>
        </w:rPr>
      </w:pPr>
      <w:r w:rsidRPr="0036436F">
        <w:rPr>
          <w:rFonts w:ascii="Times New Roman" w:hAnsi="Times New Roman" w:cs="Times New Roman"/>
          <w:sz w:val="28"/>
          <w:szCs w:val="28"/>
        </w:rPr>
        <w:t>SAM sadarbības iestādei – Centrālajai finanšu un līgumu aģentūrai (turpmāk – CFLA), lai nodrošinātu skaidrus principus un vienotu pieeju komercdarbības atbalsta kontroles normu piemērošanai ES fondu līdzfinansētajos kultūr</w:t>
      </w:r>
      <w:r w:rsidR="00444367">
        <w:rPr>
          <w:rFonts w:ascii="Times New Roman" w:hAnsi="Times New Roman" w:cs="Times New Roman"/>
          <w:sz w:val="28"/>
          <w:szCs w:val="28"/>
        </w:rPr>
        <w:t>izglītības</w:t>
      </w:r>
      <w:r w:rsidRPr="0036436F">
        <w:rPr>
          <w:rFonts w:ascii="Times New Roman" w:hAnsi="Times New Roman" w:cs="Times New Roman"/>
          <w:sz w:val="28"/>
          <w:szCs w:val="28"/>
        </w:rPr>
        <w:t xml:space="preserve"> </w:t>
      </w:r>
      <w:r w:rsidR="00D329B3">
        <w:rPr>
          <w:rFonts w:ascii="Times New Roman" w:hAnsi="Times New Roman" w:cs="Times New Roman"/>
          <w:sz w:val="28"/>
          <w:szCs w:val="28"/>
        </w:rPr>
        <w:t xml:space="preserve">iestāžu </w:t>
      </w:r>
      <w:r w:rsidR="00444367">
        <w:rPr>
          <w:rFonts w:ascii="Times New Roman" w:hAnsi="Times New Roman" w:cs="Times New Roman"/>
          <w:sz w:val="28"/>
          <w:szCs w:val="28"/>
        </w:rPr>
        <w:t xml:space="preserve">infrastruktūras </w:t>
      </w:r>
      <w:r w:rsidRPr="0036436F">
        <w:rPr>
          <w:rFonts w:ascii="Times New Roman" w:hAnsi="Times New Roman" w:cs="Times New Roman"/>
          <w:sz w:val="28"/>
          <w:szCs w:val="28"/>
        </w:rPr>
        <w:t>projektos un nodrošinātu finansējuma saņēmēju uzraudzību, tostarp iesniegtās dokumentācijas pārbaudi iepriekš minēto normu piemērošanā;</w:t>
      </w:r>
    </w:p>
    <w:p w14:paraId="1B06CC69" w14:textId="1CE12A3A" w:rsidR="00D56A7F" w:rsidRPr="0036436F" w:rsidRDefault="00D56A7F" w:rsidP="00D56A7F">
      <w:pPr>
        <w:pStyle w:val="ListParagraph"/>
        <w:numPr>
          <w:ilvl w:val="0"/>
          <w:numId w:val="1"/>
        </w:numPr>
        <w:spacing w:before="120" w:after="0" w:line="240" w:lineRule="auto"/>
        <w:contextualSpacing w:val="0"/>
        <w:jc w:val="both"/>
        <w:rPr>
          <w:rFonts w:ascii="Times New Roman" w:hAnsi="Times New Roman" w:cs="Times New Roman"/>
          <w:sz w:val="28"/>
          <w:szCs w:val="28"/>
        </w:rPr>
      </w:pPr>
      <w:r w:rsidRPr="0036436F">
        <w:rPr>
          <w:rFonts w:ascii="Times New Roman" w:hAnsi="Times New Roman" w:cs="Times New Roman"/>
          <w:sz w:val="28"/>
          <w:szCs w:val="28"/>
        </w:rPr>
        <w:t>SAM finansējuma saņēmējiem – projekta iesniedzējiem/īstenotājiem un to sadarbības partneriem, lai</w:t>
      </w:r>
      <w:r>
        <w:rPr>
          <w:rFonts w:ascii="Times New Roman" w:hAnsi="Times New Roman" w:cs="Times New Roman"/>
          <w:sz w:val="28"/>
          <w:szCs w:val="28"/>
        </w:rPr>
        <w:t xml:space="preserve"> projektā</w:t>
      </w:r>
      <w:r w:rsidRPr="0036436F">
        <w:rPr>
          <w:rFonts w:ascii="Times New Roman" w:hAnsi="Times New Roman" w:cs="Times New Roman"/>
          <w:sz w:val="28"/>
          <w:szCs w:val="28"/>
        </w:rPr>
        <w:t xml:space="preserve"> nodrošinātu </w:t>
      </w:r>
      <w:r>
        <w:rPr>
          <w:rFonts w:ascii="Times New Roman" w:hAnsi="Times New Roman" w:cs="Times New Roman"/>
          <w:sz w:val="28"/>
          <w:szCs w:val="28"/>
        </w:rPr>
        <w:t xml:space="preserve">valsts atbalsta nosacījumu ievērošanu, </w:t>
      </w:r>
      <w:r w:rsidRPr="0036436F">
        <w:rPr>
          <w:rFonts w:ascii="Times New Roman" w:hAnsi="Times New Roman" w:cs="Times New Roman"/>
          <w:sz w:val="28"/>
          <w:szCs w:val="28"/>
        </w:rPr>
        <w:t>nepieciešamo datu uzkrāšanu un iesniegšanu CFLA par iepriekš minēto normu piemērošanu un atskaitīšanās kārtību.</w:t>
      </w:r>
    </w:p>
    <w:bookmarkEnd w:id="1"/>
    <w:p w14:paraId="6EDC943C" w14:textId="77777777" w:rsidR="00D56A7F" w:rsidRPr="00695502" w:rsidRDefault="00D56A7F" w:rsidP="00D56A7F">
      <w:pPr>
        <w:tabs>
          <w:tab w:val="left" w:pos="1605"/>
        </w:tabs>
        <w:rPr>
          <w:rFonts w:ascii="Times New Roman" w:hAnsi="Times New Roman" w:cs="Times New Roman"/>
          <w:b/>
          <w:bCs/>
          <w:color w:val="000000" w:themeColor="text1"/>
          <w:sz w:val="24"/>
          <w:szCs w:val="24"/>
        </w:rPr>
      </w:pPr>
    </w:p>
    <w:p w14:paraId="1F2FB590" w14:textId="4F239832" w:rsidR="00D56A7F" w:rsidRPr="00695502" w:rsidRDefault="00D56A7F" w:rsidP="00D56A7F">
      <w:pPr>
        <w:pStyle w:val="Heading1"/>
        <w:keepLines w:val="0"/>
        <w:numPr>
          <w:ilvl w:val="0"/>
          <w:numId w:val="5"/>
        </w:numPr>
        <w:spacing w:before="0" w:after="0" w:line="240" w:lineRule="auto"/>
        <w:ind w:left="714" w:hanging="357"/>
        <w:jc w:val="center"/>
        <w:rPr>
          <w:rFonts w:ascii="Times New Roman" w:hAnsi="Times New Roman" w:cs="Times New Roman"/>
          <w:b/>
          <w:bCs/>
          <w:color w:val="000000" w:themeColor="text1"/>
          <w:sz w:val="28"/>
          <w:szCs w:val="28"/>
        </w:rPr>
      </w:pPr>
      <w:bookmarkStart w:id="3" w:name="_Toc805061951"/>
      <w:r w:rsidRPr="04F86BB4">
        <w:rPr>
          <w:rFonts w:ascii="Times New Roman" w:hAnsi="Times New Roman" w:cs="Times New Roman"/>
          <w:b/>
          <w:bCs/>
          <w:color w:val="000000" w:themeColor="text1"/>
          <w:sz w:val="28"/>
          <w:szCs w:val="28"/>
        </w:rPr>
        <w:t xml:space="preserve">Komercdarbības atbalsta piemērošanas nosacījumi kultūras </w:t>
      </w:r>
      <w:r w:rsidR="002F6B4A" w:rsidRPr="04F86BB4">
        <w:rPr>
          <w:rFonts w:ascii="Times New Roman" w:hAnsi="Times New Roman" w:cs="Times New Roman"/>
          <w:b/>
          <w:bCs/>
          <w:color w:val="000000" w:themeColor="text1"/>
          <w:sz w:val="28"/>
          <w:szCs w:val="28"/>
        </w:rPr>
        <w:t xml:space="preserve">un izglītības </w:t>
      </w:r>
      <w:r w:rsidRPr="04F86BB4">
        <w:rPr>
          <w:rFonts w:ascii="Times New Roman" w:hAnsi="Times New Roman" w:cs="Times New Roman"/>
          <w:b/>
          <w:bCs/>
          <w:color w:val="000000" w:themeColor="text1"/>
          <w:sz w:val="28"/>
          <w:szCs w:val="28"/>
        </w:rPr>
        <w:t>nozarē – EK skaidrojums</w:t>
      </w:r>
      <w:bookmarkEnd w:id="3"/>
    </w:p>
    <w:p w14:paraId="04552138" w14:textId="77777777" w:rsidR="00D56A7F" w:rsidRDefault="00D56A7F" w:rsidP="00D56A7F">
      <w:pPr>
        <w:pStyle w:val="Default"/>
        <w:ind w:firstLine="720"/>
        <w:jc w:val="both"/>
      </w:pPr>
    </w:p>
    <w:p w14:paraId="50E814E5" w14:textId="4AE4B69E" w:rsidR="00D56A7F" w:rsidRDefault="00D56A7F" w:rsidP="00D56A7F">
      <w:pPr>
        <w:pStyle w:val="Default"/>
        <w:ind w:firstLine="720"/>
        <w:jc w:val="both"/>
        <w:rPr>
          <w:sz w:val="28"/>
          <w:szCs w:val="28"/>
        </w:rPr>
      </w:pPr>
      <w:r w:rsidRPr="04F86BB4">
        <w:rPr>
          <w:sz w:val="28"/>
          <w:szCs w:val="28"/>
        </w:rPr>
        <w:t xml:space="preserve">Valsts atbalsts jeb komercdarbības atbalsts ir jebkuram saimnieciskās darbības veicējam no valsts, pašvaldības vai </w:t>
      </w:r>
      <w:r w:rsidR="00770F54">
        <w:rPr>
          <w:sz w:val="28"/>
          <w:szCs w:val="28"/>
        </w:rPr>
        <w:t>ES</w:t>
      </w:r>
      <w:r w:rsidR="007C1612">
        <w:rPr>
          <w:sz w:val="28"/>
          <w:szCs w:val="28"/>
        </w:rPr>
        <w:t xml:space="preserve"> fondu </w:t>
      </w:r>
      <w:r w:rsidRPr="04F86BB4">
        <w:rPr>
          <w:sz w:val="28"/>
          <w:szCs w:val="28"/>
        </w:rPr>
        <w:t xml:space="preserve">līdzekļiem sniegta tieša vai pastarpināta finansiāla palīdzība (valsts līdzekļu nodošana), kas tam dod zināmas </w:t>
      </w:r>
      <w:r w:rsidR="007C1612">
        <w:rPr>
          <w:sz w:val="28"/>
          <w:szCs w:val="28"/>
        </w:rPr>
        <w:t xml:space="preserve">selektīvas </w:t>
      </w:r>
      <w:r w:rsidRPr="04F86BB4">
        <w:rPr>
          <w:sz w:val="28"/>
          <w:szCs w:val="28"/>
        </w:rPr>
        <w:t>priekšrocības un rada vai var radīt konkurences ierobežojumus.</w:t>
      </w:r>
    </w:p>
    <w:p w14:paraId="72766DD4" w14:textId="109B552E" w:rsidR="00D56A7F" w:rsidRPr="0036436F" w:rsidRDefault="00D56A7F" w:rsidP="00D56A7F">
      <w:pPr>
        <w:tabs>
          <w:tab w:val="left" w:pos="1605"/>
        </w:tabs>
        <w:spacing w:after="0" w:line="240" w:lineRule="auto"/>
        <w:ind w:firstLine="851"/>
        <w:jc w:val="both"/>
        <w:rPr>
          <w:rFonts w:ascii="Times New Roman" w:hAnsi="Times New Roman" w:cs="Times New Roman"/>
          <w:sz w:val="28"/>
          <w:szCs w:val="28"/>
        </w:rPr>
      </w:pPr>
      <w:r w:rsidRPr="0036436F">
        <w:rPr>
          <w:rFonts w:ascii="Times New Roman" w:hAnsi="Times New Roman" w:cs="Times New Roman"/>
          <w:sz w:val="28"/>
          <w:szCs w:val="28"/>
        </w:rPr>
        <w:t xml:space="preserve">ES tiesu judikatūrā par </w:t>
      </w:r>
      <w:r w:rsidRPr="00F03987">
        <w:rPr>
          <w:rFonts w:ascii="Times New Roman" w:hAnsi="Times New Roman" w:cs="Times New Roman"/>
          <w:b/>
          <w:bCs/>
          <w:sz w:val="28"/>
          <w:szCs w:val="28"/>
        </w:rPr>
        <w:t xml:space="preserve">saimnieciskās darbības veicēju konsekventi </w:t>
      </w:r>
      <w:r w:rsidR="545D3F5D" w:rsidRPr="00F03987">
        <w:rPr>
          <w:rFonts w:ascii="Times New Roman" w:hAnsi="Times New Roman" w:cs="Times New Roman"/>
          <w:b/>
          <w:bCs/>
          <w:sz w:val="28"/>
          <w:szCs w:val="28"/>
        </w:rPr>
        <w:t>tiek</w:t>
      </w:r>
      <w:r w:rsidRPr="00F03987">
        <w:rPr>
          <w:rFonts w:ascii="Times New Roman" w:hAnsi="Times New Roman" w:cs="Times New Roman"/>
          <w:b/>
          <w:bCs/>
          <w:sz w:val="28"/>
          <w:szCs w:val="28"/>
        </w:rPr>
        <w:t xml:space="preserve"> uzskatīts saimnieciskā darbībā iesaistīts subjekts neatkarīgi no tā juridiskā statusa un finansēšanas veida, kurš ir iesaistīts saimnieciskās darbības/ekonomiskās aktivitātes veikšanā, piedāvājot preces vai pakalpojumus tirgū</w:t>
      </w:r>
      <w:r>
        <w:rPr>
          <w:rStyle w:val="FootnoteReference"/>
          <w:rFonts w:ascii="Times New Roman" w:hAnsi="Times New Roman" w:cs="Times New Roman"/>
          <w:sz w:val="28"/>
          <w:szCs w:val="28"/>
        </w:rPr>
        <w:footnoteReference w:id="2"/>
      </w:r>
      <w:r w:rsidRPr="0036436F">
        <w:rPr>
          <w:rFonts w:ascii="Times New Roman" w:hAnsi="Times New Roman" w:cs="Times New Roman"/>
          <w:sz w:val="28"/>
          <w:szCs w:val="28"/>
        </w:rPr>
        <w:t xml:space="preserve">. Turklāt valsts atbalsta noteikumu piemērošana nav atkarīga no tā, vai subjekts ir izveidots ar mērķi gūt peļņu. </w:t>
      </w:r>
      <w:r w:rsidRPr="001A26A6">
        <w:rPr>
          <w:rFonts w:ascii="Times New Roman" w:hAnsi="Times New Roman" w:cs="Times New Roman"/>
          <w:b/>
          <w:bCs/>
          <w:sz w:val="28"/>
          <w:szCs w:val="28"/>
        </w:rPr>
        <w:t>Arī bezpeļņas subjekti var tirgū piedāvāt preces un pakalpojumus</w:t>
      </w:r>
      <w:r w:rsidRPr="0036436F">
        <w:rPr>
          <w:rFonts w:ascii="Times New Roman" w:hAnsi="Times New Roman" w:cs="Times New Roman"/>
          <w:sz w:val="28"/>
          <w:szCs w:val="28"/>
        </w:rPr>
        <w:t>.</w:t>
      </w:r>
    </w:p>
    <w:p w14:paraId="446059A6" w14:textId="44C81333" w:rsidR="00D56A7F" w:rsidRPr="0036436F" w:rsidRDefault="00D56A7F" w:rsidP="00D56A7F">
      <w:pPr>
        <w:pStyle w:val="Default"/>
        <w:ind w:firstLine="720"/>
        <w:jc w:val="both"/>
        <w:rPr>
          <w:sz w:val="28"/>
          <w:szCs w:val="28"/>
        </w:rPr>
      </w:pPr>
      <w:r w:rsidRPr="04F86BB4">
        <w:rPr>
          <w:sz w:val="28"/>
          <w:szCs w:val="28"/>
        </w:rPr>
        <w:lastRenderedPageBreak/>
        <w:t>Lai nodrošinātu atbilstošu komercdarbības atbalsta kontroles normu piemērošanu ES fondu (Eiropas Reģionālās attīstības fonda) līdzfinansētajos kultūr</w:t>
      </w:r>
      <w:r w:rsidR="00CC61A6" w:rsidRPr="04F86BB4">
        <w:rPr>
          <w:sz w:val="28"/>
          <w:szCs w:val="28"/>
        </w:rPr>
        <w:t>izglītības</w:t>
      </w:r>
      <w:r w:rsidRPr="04F86BB4">
        <w:rPr>
          <w:sz w:val="28"/>
          <w:szCs w:val="28"/>
        </w:rPr>
        <w:t xml:space="preserve"> projektos, nepieciešams sākotnēji sniegt vispārēju skaidrojumu komercdarbības izvērtēšanai un piemērošanai kultūras nozarē kopumā, kas sniegts EK sagatavotajos dokumentos. </w:t>
      </w:r>
    </w:p>
    <w:p w14:paraId="3F5C040E" w14:textId="27C06D69" w:rsidR="00D56A7F" w:rsidRPr="0036436F" w:rsidRDefault="00D56A7F" w:rsidP="00D56A7F">
      <w:pPr>
        <w:pStyle w:val="Default"/>
        <w:ind w:firstLine="720"/>
        <w:jc w:val="both"/>
        <w:rPr>
          <w:sz w:val="28"/>
          <w:szCs w:val="28"/>
        </w:rPr>
      </w:pPr>
      <w:r w:rsidRPr="0036436F">
        <w:rPr>
          <w:sz w:val="28"/>
          <w:szCs w:val="28"/>
        </w:rPr>
        <w:t>Līguma par ES darbību 107.panta 1.punkts</w:t>
      </w:r>
      <w:r>
        <w:rPr>
          <w:rStyle w:val="FootnoteReference"/>
          <w:sz w:val="28"/>
          <w:szCs w:val="28"/>
        </w:rPr>
        <w:footnoteReference w:id="3"/>
      </w:r>
      <w:r w:rsidRPr="0036436F">
        <w:rPr>
          <w:sz w:val="28"/>
          <w:szCs w:val="28"/>
        </w:rPr>
        <w:t>, kas tālāk interpretēts ES tiesu judikatūrā, definē kritērijus, kuriem izpildoties, valsts īstenots pasākums kvalificēja</w:t>
      </w:r>
      <w:r w:rsidR="007C1612">
        <w:rPr>
          <w:sz w:val="28"/>
          <w:szCs w:val="28"/>
        </w:rPr>
        <w:t>m</w:t>
      </w:r>
      <w:r w:rsidRPr="0036436F">
        <w:rPr>
          <w:sz w:val="28"/>
          <w:szCs w:val="28"/>
        </w:rPr>
        <w:t>s kā valsts atbalsts. Tikai tādi valsts īstenoti pasākumi, kuri vienlaicīgi izpilda visus šī Līguma 107.panta 1.punkta nosacījumus, ir pakļauti valsts atbalsta kontrolei</w:t>
      </w:r>
      <w:r>
        <w:rPr>
          <w:rStyle w:val="FootnoteReference"/>
          <w:sz w:val="28"/>
          <w:szCs w:val="28"/>
        </w:rPr>
        <w:footnoteReference w:id="4"/>
      </w:r>
      <w:r w:rsidRPr="0036436F">
        <w:rPr>
          <w:sz w:val="28"/>
          <w:szCs w:val="28"/>
        </w:rPr>
        <w:t>.</w:t>
      </w:r>
    </w:p>
    <w:p w14:paraId="48146341" w14:textId="457B192B" w:rsidR="00D56A7F" w:rsidRDefault="00D56A7F" w:rsidP="00D56A7F">
      <w:pPr>
        <w:pStyle w:val="Default"/>
        <w:ind w:firstLine="720"/>
        <w:jc w:val="both"/>
        <w:rPr>
          <w:sz w:val="28"/>
          <w:szCs w:val="28"/>
        </w:rPr>
      </w:pPr>
      <w:r w:rsidRPr="0036436F">
        <w:rPr>
          <w:sz w:val="28"/>
          <w:szCs w:val="28"/>
        </w:rPr>
        <w:t xml:space="preserve">2016.gada 19.jūlijā tika pieņemts </w:t>
      </w:r>
      <w:r w:rsidRPr="0036436F">
        <w:rPr>
          <w:i/>
          <w:sz w:val="28"/>
          <w:szCs w:val="28"/>
        </w:rPr>
        <w:t xml:space="preserve">Eiropas Komisijas paziņojums par Līguma par Eiropas Savienības darbību 107.panta 1.punktā minēto valsts atbalsta jēdzienu </w:t>
      </w:r>
      <w:r w:rsidRPr="0036436F">
        <w:rPr>
          <w:sz w:val="28"/>
          <w:szCs w:val="28"/>
        </w:rPr>
        <w:t>(2016/c 262/01)</w:t>
      </w:r>
      <w:r>
        <w:rPr>
          <w:rStyle w:val="FootnoteReference"/>
          <w:sz w:val="28"/>
          <w:szCs w:val="28"/>
        </w:rPr>
        <w:footnoteReference w:id="5"/>
      </w:r>
      <w:r w:rsidRPr="0036436F">
        <w:rPr>
          <w:sz w:val="28"/>
          <w:szCs w:val="28"/>
        </w:rPr>
        <w:t xml:space="preserve"> (turpmāk – </w:t>
      </w:r>
      <w:bookmarkStart w:id="5" w:name="_Hlk66277051"/>
      <w:r w:rsidRPr="0036436F">
        <w:rPr>
          <w:sz w:val="28"/>
          <w:szCs w:val="28"/>
        </w:rPr>
        <w:t>Paziņojums par valsts atbalsta jēdzienu</w:t>
      </w:r>
      <w:bookmarkEnd w:id="5"/>
      <w:r w:rsidRPr="0036436F">
        <w:rPr>
          <w:sz w:val="28"/>
          <w:szCs w:val="28"/>
        </w:rPr>
        <w:t>), skaidrojot valsts atbalsta</w:t>
      </w:r>
      <w:r w:rsidRPr="0036436F">
        <w:rPr>
          <w:rStyle w:val="FootnoteReference"/>
          <w:sz w:val="28"/>
          <w:szCs w:val="28"/>
        </w:rPr>
        <w:footnoteReference w:id="6"/>
      </w:r>
      <w:r w:rsidRPr="0036436F">
        <w:rPr>
          <w:sz w:val="28"/>
          <w:szCs w:val="28"/>
        </w:rPr>
        <w:t xml:space="preserve"> nosacījumu piemērošanu atsevišķu nozaru ietvaros, tostarp kultūrai</w:t>
      </w:r>
      <w:r w:rsidR="00D83DD8">
        <w:rPr>
          <w:sz w:val="28"/>
          <w:szCs w:val="28"/>
        </w:rPr>
        <w:t>,</w:t>
      </w:r>
      <w:r w:rsidRPr="0036436F">
        <w:rPr>
          <w:sz w:val="28"/>
          <w:szCs w:val="28"/>
        </w:rPr>
        <w:t xml:space="preserve"> kultūrvēsturiskā mantojuma saglabāšanai</w:t>
      </w:r>
      <w:r w:rsidR="0082773A">
        <w:rPr>
          <w:sz w:val="28"/>
          <w:szCs w:val="28"/>
        </w:rPr>
        <w:t>,</w:t>
      </w:r>
      <w:r w:rsidR="00ED6656">
        <w:rPr>
          <w:sz w:val="28"/>
          <w:szCs w:val="28"/>
        </w:rPr>
        <w:t xml:space="preserve"> </w:t>
      </w:r>
      <w:r w:rsidR="00F813B7">
        <w:rPr>
          <w:sz w:val="28"/>
          <w:szCs w:val="28"/>
        </w:rPr>
        <w:t>kultūras un mākslas izglītības pasākumiem</w:t>
      </w:r>
      <w:r w:rsidR="004B531B">
        <w:rPr>
          <w:sz w:val="28"/>
          <w:szCs w:val="28"/>
        </w:rPr>
        <w:t xml:space="preserve"> u.c. jomās</w:t>
      </w:r>
      <w:r w:rsidRPr="0036436F">
        <w:rPr>
          <w:sz w:val="28"/>
          <w:szCs w:val="28"/>
        </w:rPr>
        <w:t xml:space="preserve">. </w:t>
      </w:r>
    </w:p>
    <w:p w14:paraId="4850869E" w14:textId="7B4DCBB6" w:rsidR="00586FD3" w:rsidRPr="00482FFE" w:rsidRDefault="00586FD3" w:rsidP="00482FFE">
      <w:pPr>
        <w:spacing w:after="0" w:line="240" w:lineRule="auto"/>
        <w:ind w:firstLine="567"/>
        <w:jc w:val="both"/>
        <w:rPr>
          <w:rFonts w:ascii="Times New Roman" w:hAnsi="Times New Roman" w:cs="Times New Roman"/>
          <w:sz w:val="28"/>
          <w:szCs w:val="28"/>
        </w:rPr>
      </w:pPr>
      <w:r w:rsidRPr="04F86BB4">
        <w:rPr>
          <w:rFonts w:ascii="Times New Roman" w:hAnsi="Times New Roman" w:cs="Times New Roman"/>
          <w:sz w:val="28"/>
          <w:szCs w:val="28"/>
        </w:rPr>
        <w:t>Atbilstoši Paziņojuma par valsts atbalsta jēdzienu 33. un 34.punktā iekļautajiem EK skaidrojumiem, pamatojoties uz ES Tiesu praksi, kultūras un kultūrvēsturiskā mantojuma saglabāšanas jomā ietilpst ļoti plašs mērķu un darbību loks</w:t>
      </w:r>
      <w:r w:rsidR="00DB267B">
        <w:rPr>
          <w:rFonts w:ascii="Times New Roman" w:hAnsi="Times New Roman" w:cs="Times New Roman"/>
          <w:sz w:val="28"/>
          <w:szCs w:val="28"/>
        </w:rPr>
        <w:t>,</w:t>
      </w:r>
      <w:r w:rsidRPr="04F86BB4">
        <w:rPr>
          <w:rFonts w:ascii="Times New Roman" w:hAnsi="Times New Roman" w:cs="Times New Roman"/>
          <w:b/>
          <w:bCs/>
          <w:sz w:val="28"/>
          <w:szCs w:val="28"/>
        </w:rPr>
        <w:t xml:space="preserve"> arī kultūras un mākslas izglītības pasākumi</w:t>
      </w:r>
      <w:r w:rsidRPr="04F86BB4">
        <w:rPr>
          <w:rFonts w:ascii="Times New Roman" w:hAnsi="Times New Roman" w:cs="Times New Roman"/>
          <w:sz w:val="28"/>
          <w:szCs w:val="28"/>
        </w:rPr>
        <w:t xml:space="preserve">. </w:t>
      </w:r>
    </w:p>
    <w:p w14:paraId="51308A1B" w14:textId="5CDC1FEC" w:rsidR="00D56A7F" w:rsidRPr="0036436F" w:rsidRDefault="00D56A7F" w:rsidP="00D56A7F">
      <w:pPr>
        <w:pStyle w:val="Default"/>
        <w:ind w:firstLine="720"/>
        <w:jc w:val="both"/>
        <w:rPr>
          <w:sz w:val="28"/>
          <w:szCs w:val="28"/>
        </w:rPr>
      </w:pPr>
      <w:r>
        <w:rPr>
          <w:sz w:val="28"/>
          <w:szCs w:val="28"/>
        </w:rPr>
        <w:t xml:space="preserve">Paziņojumā par valsts atbalsta jēdzienu </w:t>
      </w:r>
      <w:r w:rsidRPr="0036436F">
        <w:rPr>
          <w:sz w:val="28"/>
          <w:szCs w:val="28"/>
        </w:rPr>
        <w:t xml:space="preserve">EK ir norādījusi, ka atsevišķas ar kultūru saistītas darbības var būt organizētas nekomerciāli un tādējādi tās ir tādas, kurām nav saimnieciska rakstura, līdz ar to publiskais finansējums, kas tām piešķirts, var nebūt valsts atbalsts. </w:t>
      </w:r>
    </w:p>
    <w:p w14:paraId="7EB80C4A" w14:textId="7A7E6D32" w:rsidR="00D56A7F" w:rsidRPr="0036436F" w:rsidRDefault="00D56A7F" w:rsidP="00D56A7F">
      <w:pPr>
        <w:pStyle w:val="Default"/>
        <w:numPr>
          <w:ilvl w:val="0"/>
          <w:numId w:val="2"/>
        </w:numPr>
        <w:jc w:val="both"/>
        <w:rPr>
          <w:sz w:val="28"/>
          <w:szCs w:val="28"/>
        </w:rPr>
      </w:pPr>
      <w:r w:rsidRPr="0036436F">
        <w:rPr>
          <w:b/>
          <w:bCs/>
          <w:sz w:val="28"/>
          <w:szCs w:val="28"/>
        </w:rPr>
        <w:t>publiskā</w:t>
      </w:r>
      <w:r w:rsidRPr="0036436F">
        <w:rPr>
          <w:sz w:val="28"/>
          <w:szCs w:val="28"/>
        </w:rPr>
        <w:t xml:space="preserve"> </w:t>
      </w:r>
      <w:r w:rsidRPr="0036436F">
        <w:rPr>
          <w:b/>
          <w:bCs/>
          <w:sz w:val="28"/>
          <w:szCs w:val="28"/>
        </w:rPr>
        <w:t>finansējuma piešķiršana kultūras un kultūrvēsturiskā mantojuma saglabāšanas pasākumam, kas visai sabiedrībai ir pieejams bez maksas, kalpo tīri sociālam un kultūras mērķim, kam nav saimnieciska rakstura</w:t>
      </w:r>
      <w:r w:rsidRPr="0036436F">
        <w:rPr>
          <w:rStyle w:val="FootnoteReference"/>
          <w:sz w:val="28"/>
          <w:szCs w:val="28"/>
        </w:rPr>
        <w:footnoteReference w:id="7"/>
      </w:r>
      <w:r w:rsidRPr="0036436F">
        <w:rPr>
          <w:sz w:val="28"/>
          <w:szCs w:val="28"/>
        </w:rPr>
        <w:t xml:space="preserve">. </w:t>
      </w:r>
    </w:p>
    <w:p w14:paraId="5A587C26" w14:textId="3E2F4148" w:rsidR="00D56A7F" w:rsidRPr="00EE038B" w:rsidRDefault="00D56A7F" w:rsidP="00EE038B">
      <w:pPr>
        <w:pStyle w:val="Default"/>
        <w:numPr>
          <w:ilvl w:val="0"/>
          <w:numId w:val="2"/>
        </w:numPr>
        <w:jc w:val="both"/>
        <w:rPr>
          <w:sz w:val="28"/>
          <w:szCs w:val="28"/>
        </w:rPr>
      </w:pPr>
      <w:r w:rsidRPr="0036436F">
        <w:rPr>
          <w:b/>
          <w:bCs/>
          <w:sz w:val="28"/>
          <w:szCs w:val="28"/>
        </w:rPr>
        <w:t>Arī tad, ja no kultūras iestādes apmeklētājiem vai sabiedrībai pieejama kultūras vai kultūrvēsturiskā mantojuma saglabāšanas pasākuma dalībniekiem tiek prasīta samaksa, kas sedz tikai daļu no faktiskajām izmaksām</w:t>
      </w:r>
      <w:r w:rsidRPr="0036436F">
        <w:rPr>
          <w:rStyle w:val="FootnoteReference"/>
          <w:b/>
          <w:bCs/>
          <w:sz w:val="28"/>
          <w:szCs w:val="28"/>
        </w:rPr>
        <w:footnoteReference w:id="8"/>
      </w:r>
      <w:r w:rsidRPr="0036436F">
        <w:rPr>
          <w:b/>
          <w:bCs/>
          <w:sz w:val="28"/>
          <w:szCs w:val="28"/>
        </w:rPr>
        <w:t xml:space="preserve">, šim pasākumam tik un tā nav saimnieciska rakstura, jo šādu samaksu nevar uzskatīt par reālu atlīdzību par sniegto pakalpojumu. </w:t>
      </w:r>
    </w:p>
    <w:p w14:paraId="0F9F9DA4" w14:textId="6DC8484E" w:rsidR="00D56A7F" w:rsidRDefault="00D56A7F" w:rsidP="00D56A7F">
      <w:pPr>
        <w:pStyle w:val="Default"/>
        <w:ind w:firstLine="720"/>
        <w:jc w:val="both"/>
        <w:rPr>
          <w:sz w:val="28"/>
          <w:szCs w:val="28"/>
        </w:rPr>
      </w:pPr>
      <w:r w:rsidRPr="0036436F">
        <w:rPr>
          <w:sz w:val="28"/>
          <w:szCs w:val="28"/>
        </w:rPr>
        <w:t xml:space="preserve">Turpretī tādi kultūras vai kultūrvēsturiskā mantojuma saglabāšanas pasākumi (tostarp dabas aizsardzība), kurus pārsvarā finansē no apmeklētāju vai lietotāju maksām vai ar citiem komerciāliem līdzekļiem (piemēram, komerciālas </w:t>
      </w:r>
      <w:r w:rsidRPr="0036436F">
        <w:rPr>
          <w:sz w:val="28"/>
          <w:szCs w:val="28"/>
        </w:rPr>
        <w:lastRenderedPageBreak/>
        <w:t>izstādes, kinoteātri, komerciāli koncerti un festivāli, mākslas skolas, kuras pārsvarā finansē no mācību maksas), būtu jākvalificē kā saimnieciska rakstura pasākumi</w:t>
      </w:r>
      <w:r w:rsidR="004352F2">
        <w:rPr>
          <w:rStyle w:val="FootnoteReference"/>
          <w:sz w:val="28"/>
          <w:szCs w:val="28"/>
        </w:rPr>
        <w:footnoteReference w:id="9"/>
      </w:r>
      <w:r w:rsidRPr="0036436F">
        <w:rPr>
          <w:sz w:val="28"/>
          <w:szCs w:val="28"/>
        </w:rPr>
        <w:t xml:space="preserve">. </w:t>
      </w:r>
    </w:p>
    <w:p w14:paraId="0B579565" w14:textId="77777777" w:rsidR="00C72EEF" w:rsidRDefault="00D56A7F" w:rsidP="00A467BD">
      <w:pPr>
        <w:pStyle w:val="Default"/>
        <w:ind w:firstLine="720"/>
        <w:jc w:val="both"/>
        <w:rPr>
          <w:sz w:val="28"/>
          <w:szCs w:val="28"/>
        </w:rPr>
      </w:pPr>
      <w:bookmarkStart w:id="7" w:name="_Hlk76129822"/>
      <w:r w:rsidRPr="0036436F">
        <w:rPr>
          <w:sz w:val="28"/>
          <w:szCs w:val="28"/>
        </w:rPr>
        <w:t xml:space="preserve">EK </w:t>
      </w:r>
      <w:r w:rsidRPr="00624BCC">
        <w:rPr>
          <w:sz w:val="28"/>
          <w:szCs w:val="28"/>
        </w:rPr>
        <w:t>Paziņojumā par valsts atbalsta jēdzienu ir</w:t>
      </w:r>
      <w:r w:rsidRPr="0036436F">
        <w:rPr>
          <w:sz w:val="28"/>
          <w:szCs w:val="28"/>
        </w:rPr>
        <w:t xml:space="preserve"> norādījusi, ka publiskais finansējums parastajiem papildpakalpojumiem, kurus sniedz saistībā ar kultūras un kultūrvēsturiskā mantojuma saglabāšanas nesaimnieciskajām darbībām (</w:t>
      </w:r>
      <w:r w:rsidRPr="00EA1C6B">
        <w:rPr>
          <w:color w:val="auto"/>
          <w:sz w:val="28"/>
          <w:szCs w:val="28"/>
        </w:rPr>
        <w:t xml:space="preserve">piemēram, suvenīru veikalam, bāram, restorānam, maksas garderobei muzejā, maksas autostāvvietai), parasti neietekmē tirdzniecību starp dalībvalstīm, </w:t>
      </w:r>
      <w:r w:rsidRPr="00EA1C6B">
        <w:rPr>
          <w:color w:val="auto"/>
          <w:sz w:val="28"/>
          <w:szCs w:val="28"/>
          <w:shd w:val="clear" w:color="auto" w:fill="FFFFFF"/>
        </w:rPr>
        <w:t xml:space="preserve">jo šie parastie papildpakalpojumi diez vai piesaistītu citu dalībvalstu klientus un to finansēšana diez vai izraisītu būtisku ietekmi uz pārrobežu ieguldījumiem vai </w:t>
      </w:r>
      <w:r w:rsidRPr="00BC5608">
        <w:rPr>
          <w:color w:val="auto"/>
          <w:sz w:val="28"/>
          <w:szCs w:val="28"/>
          <w:shd w:val="clear" w:color="auto" w:fill="FFFFFF"/>
        </w:rPr>
        <w:t>uzņēmējdarbību</w:t>
      </w:r>
      <w:bookmarkEnd w:id="7"/>
      <w:r w:rsidRPr="00BC5608">
        <w:rPr>
          <w:rStyle w:val="FootnoteReference"/>
          <w:sz w:val="28"/>
          <w:szCs w:val="28"/>
        </w:rPr>
        <w:footnoteReference w:id="10"/>
      </w:r>
      <w:r w:rsidRPr="00BC5608">
        <w:rPr>
          <w:sz w:val="28"/>
          <w:szCs w:val="28"/>
        </w:rPr>
        <w:t>.</w:t>
      </w:r>
      <w:r>
        <w:rPr>
          <w:sz w:val="28"/>
          <w:szCs w:val="28"/>
        </w:rPr>
        <w:t xml:space="preserve"> Papildpakalpojumi var tikt organizēti arī caur nomas tiesībām, t.i., iznomājot telpas/teritoriju saimnieciskās darbības veicējam, kas attiecīgi nodrošina papildpakalpojumu sniegšanu (piemēram, ēdināšanas vai autostāvvietas pakalpojumi). </w:t>
      </w:r>
    </w:p>
    <w:p w14:paraId="5DCEF9E6" w14:textId="33E24AAD" w:rsidR="00A467BD" w:rsidRPr="00A467BD" w:rsidRDefault="00A467BD" w:rsidP="00A467BD">
      <w:pPr>
        <w:pStyle w:val="Default"/>
        <w:ind w:firstLine="720"/>
        <w:jc w:val="both"/>
        <w:rPr>
          <w:sz w:val="28"/>
          <w:szCs w:val="28"/>
        </w:rPr>
      </w:pPr>
      <w:r>
        <w:rPr>
          <w:sz w:val="28"/>
          <w:szCs w:val="28"/>
        </w:rPr>
        <w:t>Papildus sekojoši sniedzam īsu izglītības nozares raksturojumu, kurai arī var piemērot 50% ieņēmumu/izdevumu slieksni, tāpat kā kultūras nozarei, ņemot vērā to, ka metodika skaidro kultūrizglītības valsts atbalsta piemērošanas nosacījumus un izglītības iestāžu izvērtējums šajā metodikā lietots kultūrizglītības iestāžu kontekstā.</w:t>
      </w:r>
    </w:p>
    <w:p w14:paraId="0F5BC942" w14:textId="77777777" w:rsidR="00A467BD" w:rsidRDefault="00A467BD" w:rsidP="00A467BD">
      <w:pPr>
        <w:pStyle w:val="Default"/>
        <w:jc w:val="both"/>
        <w:rPr>
          <w:sz w:val="28"/>
          <w:szCs w:val="28"/>
        </w:rPr>
      </w:pPr>
    </w:p>
    <w:p w14:paraId="46E4004F" w14:textId="4821592B" w:rsidR="00A614DE" w:rsidRDefault="00427FA6" w:rsidP="00F0217E">
      <w:pPr>
        <w:pStyle w:val="Default"/>
        <w:ind w:left="360"/>
        <w:jc w:val="both"/>
        <w:rPr>
          <w:sz w:val="28"/>
          <w:szCs w:val="28"/>
        </w:rPr>
      </w:pPr>
      <w:r w:rsidRPr="0036436F">
        <w:rPr>
          <w:sz w:val="28"/>
          <w:szCs w:val="28"/>
        </w:rPr>
        <w:t>Tāpat EK uzskata, ka</w:t>
      </w:r>
      <w:r w:rsidR="0085747F">
        <w:rPr>
          <w:sz w:val="28"/>
          <w:szCs w:val="28"/>
        </w:rPr>
        <w:t>:</w:t>
      </w:r>
      <w:r w:rsidRPr="0036436F">
        <w:rPr>
          <w:sz w:val="28"/>
          <w:szCs w:val="28"/>
        </w:rPr>
        <w:t xml:space="preserve"> </w:t>
      </w:r>
    </w:p>
    <w:p w14:paraId="2289AF97" w14:textId="544BDB90" w:rsidR="00427FA6" w:rsidRPr="001B4CBD" w:rsidRDefault="00427FA6" w:rsidP="00427FA6">
      <w:pPr>
        <w:pStyle w:val="Default"/>
        <w:numPr>
          <w:ilvl w:val="0"/>
          <w:numId w:val="11"/>
        </w:numPr>
        <w:jc w:val="both"/>
        <w:rPr>
          <w:sz w:val="28"/>
          <w:szCs w:val="28"/>
        </w:rPr>
      </w:pPr>
      <w:r w:rsidRPr="001B4CBD">
        <w:rPr>
          <w:sz w:val="28"/>
          <w:szCs w:val="28"/>
        </w:rPr>
        <w:t xml:space="preserve">Valsts izglītības sistēmas ietvaros nodrošināta valsts izglītība, ko finansē un uzrauga valsts, var tikt uzskatīta par nesaimniecisko darbību. Tiesa ir atzinusi, ka valsts, “izveidojot un uzturot </w:t>
      </w:r>
      <w:r w:rsidR="001B4CBD">
        <w:rPr>
          <w:sz w:val="28"/>
          <w:szCs w:val="28"/>
        </w:rPr>
        <w:t xml:space="preserve">šādu </w:t>
      </w:r>
      <w:r w:rsidRPr="001B4CBD">
        <w:rPr>
          <w:sz w:val="28"/>
          <w:szCs w:val="28"/>
        </w:rPr>
        <w:t>valsts izgl</w:t>
      </w:r>
      <w:r w:rsidR="001B4CBD">
        <w:rPr>
          <w:sz w:val="28"/>
          <w:szCs w:val="28"/>
        </w:rPr>
        <w:t>ītības</w:t>
      </w:r>
      <w:r w:rsidRPr="001B4CBD">
        <w:rPr>
          <w:sz w:val="28"/>
          <w:szCs w:val="28"/>
        </w:rPr>
        <w:t xml:space="preserve"> sist</w:t>
      </w:r>
      <w:r w:rsidR="001B4CBD">
        <w:rPr>
          <w:sz w:val="28"/>
          <w:szCs w:val="28"/>
        </w:rPr>
        <w:t>ē</w:t>
      </w:r>
      <w:r w:rsidRPr="001B4CBD">
        <w:rPr>
          <w:sz w:val="28"/>
          <w:szCs w:val="28"/>
        </w:rPr>
        <w:t xml:space="preserve">mu, kas </w:t>
      </w:r>
      <w:r w:rsidR="001B4CBD">
        <w:rPr>
          <w:sz w:val="28"/>
          <w:szCs w:val="28"/>
        </w:rPr>
        <w:t>finansējumu</w:t>
      </w:r>
      <w:r w:rsidRPr="001B4CBD">
        <w:rPr>
          <w:sz w:val="28"/>
          <w:szCs w:val="28"/>
        </w:rPr>
        <w:t xml:space="preserve"> galvenokārt sa</w:t>
      </w:r>
      <w:r w:rsidR="001B4CBD">
        <w:rPr>
          <w:sz w:val="28"/>
          <w:szCs w:val="28"/>
        </w:rPr>
        <w:t>ņ</w:t>
      </w:r>
      <w:r w:rsidRPr="001B4CBD">
        <w:rPr>
          <w:sz w:val="28"/>
          <w:szCs w:val="28"/>
        </w:rPr>
        <w:t>em no valsts bud</w:t>
      </w:r>
      <w:r w:rsidR="00A614DE">
        <w:rPr>
          <w:sz w:val="28"/>
          <w:szCs w:val="28"/>
        </w:rPr>
        <w:t>ž</w:t>
      </w:r>
      <w:r w:rsidRPr="001B4CBD">
        <w:rPr>
          <w:sz w:val="28"/>
          <w:szCs w:val="28"/>
        </w:rPr>
        <w:t>eta, nevis skol</w:t>
      </w:r>
      <w:r w:rsidR="00A614DE">
        <w:rPr>
          <w:sz w:val="28"/>
          <w:szCs w:val="28"/>
        </w:rPr>
        <w:t>ē</w:t>
      </w:r>
      <w:r w:rsidRPr="001B4CBD">
        <w:rPr>
          <w:sz w:val="28"/>
          <w:szCs w:val="28"/>
        </w:rPr>
        <w:t>niem vai vi</w:t>
      </w:r>
      <w:r w:rsidR="00A614DE">
        <w:rPr>
          <w:sz w:val="28"/>
          <w:szCs w:val="28"/>
        </w:rPr>
        <w:t>ņ</w:t>
      </w:r>
      <w:r w:rsidRPr="001B4CBD">
        <w:rPr>
          <w:sz w:val="28"/>
          <w:szCs w:val="28"/>
        </w:rPr>
        <w:t>u vecākiem (…), nev</w:t>
      </w:r>
      <w:r w:rsidR="00A614DE">
        <w:rPr>
          <w:sz w:val="28"/>
          <w:szCs w:val="28"/>
        </w:rPr>
        <w:t>ē</w:t>
      </w:r>
      <w:r w:rsidRPr="001B4CBD">
        <w:rPr>
          <w:sz w:val="28"/>
          <w:szCs w:val="28"/>
        </w:rPr>
        <w:t>las iesaist</w:t>
      </w:r>
      <w:r w:rsidR="00A614DE">
        <w:rPr>
          <w:sz w:val="28"/>
          <w:szCs w:val="28"/>
        </w:rPr>
        <w:t>ī</w:t>
      </w:r>
      <w:r w:rsidRPr="001B4CBD">
        <w:rPr>
          <w:sz w:val="28"/>
          <w:szCs w:val="28"/>
        </w:rPr>
        <w:t>ties dar</w:t>
      </w:r>
      <w:r w:rsidR="00A614DE">
        <w:rPr>
          <w:sz w:val="28"/>
          <w:szCs w:val="28"/>
        </w:rPr>
        <w:t>ī</w:t>
      </w:r>
      <w:r w:rsidRPr="001B4CBD">
        <w:rPr>
          <w:sz w:val="28"/>
          <w:szCs w:val="28"/>
        </w:rPr>
        <w:t>jumos par atl</w:t>
      </w:r>
      <w:r w:rsidR="00A614DE">
        <w:rPr>
          <w:sz w:val="28"/>
          <w:szCs w:val="28"/>
        </w:rPr>
        <w:t>ī</w:t>
      </w:r>
      <w:r w:rsidRPr="001B4CBD">
        <w:rPr>
          <w:sz w:val="28"/>
          <w:szCs w:val="28"/>
        </w:rPr>
        <w:t>dz</w:t>
      </w:r>
      <w:r w:rsidR="00A614DE">
        <w:rPr>
          <w:sz w:val="28"/>
          <w:szCs w:val="28"/>
        </w:rPr>
        <w:t>ī</w:t>
      </w:r>
      <w:r w:rsidRPr="001B4CBD">
        <w:rPr>
          <w:sz w:val="28"/>
          <w:szCs w:val="28"/>
        </w:rPr>
        <w:t xml:space="preserve">bu, bet </w:t>
      </w:r>
      <w:r w:rsidR="00A614DE">
        <w:rPr>
          <w:sz w:val="28"/>
          <w:szCs w:val="28"/>
        </w:rPr>
        <w:t>ī</w:t>
      </w:r>
      <w:r w:rsidRPr="001B4CBD">
        <w:rPr>
          <w:sz w:val="28"/>
          <w:szCs w:val="28"/>
        </w:rPr>
        <w:t>steno savus pienākumus pret iedz</w:t>
      </w:r>
      <w:r w:rsidR="00A614DE">
        <w:rPr>
          <w:sz w:val="28"/>
          <w:szCs w:val="28"/>
        </w:rPr>
        <w:t>ī</w:t>
      </w:r>
      <w:r w:rsidRPr="001B4CBD">
        <w:rPr>
          <w:sz w:val="28"/>
          <w:szCs w:val="28"/>
        </w:rPr>
        <w:t>votājiem sociālajā, kult</w:t>
      </w:r>
      <w:r w:rsidR="00A614DE">
        <w:rPr>
          <w:sz w:val="28"/>
          <w:szCs w:val="28"/>
        </w:rPr>
        <w:t>ū</w:t>
      </w:r>
      <w:r w:rsidRPr="001B4CBD">
        <w:rPr>
          <w:sz w:val="28"/>
          <w:szCs w:val="28"/>
        </w:rPr>
        <w:t>ras un izgl</w:t>
      </w:r>
      <w:r w:rsidR="00A614DE">
        <w:rPr>
          <w:sz w:val="28"/>
          <w:szCs w:val="28"/>
        </w:rPr>
        <w:t>ī</w:t>
      </w:r>
      <w:r w:rsidRPr="001B4CBD">
        <w:rPr>
          <w:sz w:val="28"/>
          <w:szCs w:val="28"/>
        </w:rPr>
        <w:t>t</w:t>
      </w:r>
      <w:r w:rsidR="00A614DE">
        <w:rPr>
          <w:sz w:val="28"/>
          <w:szCs w:val="28"/>
        </w:rPr>
        <w:t>ī</w:t>
      </w:r>
      <w:r w:rsidRPr="001B4CBD">
        <w:rPr>
          <w:sz w:val="28"/>
          <w:szCs w:val="28"/>
        </w:rPr>
        <w:t>bas jomā</w:t>
      </w:r>
      <w:r w:rsidR="00E87C49">
        <w:rPr>
          <w:rStyle w:val="FootnoteReference"/>
          <w:sz w:val="28"/>
          <w:szCs w:val="28"/>
        </w:rPr>
        <w:footnoteReference w:id="11"/>
      </w:r>
      <w:r w:rsidRPr="001B4CBD">
        <w:rPr>
          <w:sz w:val="28"/>
          <w:szCs w:val="28"/>
        </w:rPr>
        <w:t xml:space="preserve">”. </w:t>
      </w:r>
    </w:p>
    <w:p w14:paraId="139C2A1F" w14:textId="7956109E" w:rsidR="00D56A7F" w:rsidRPr="00FA5975" w:rsidRDefault="00B8647F" w:rsidP="0008386D">
      <w:pPr>
        <w:pStyle w:val="Default"/>
        <w:ind w:left="720"/>
        <w:jc w:val="both"/>
        <w:rPr>
          <w:sz w:val="28"/>
          <w:szCs w:val="28"/>
        </w:rPr>
      </w:pPr>
      <w:r w:rsidRPr="00F7598F">
        <w:rPr>
          <w:sz w:val="28"/>
          <w:szCs w:val="28"/>
        </w:rPr>
        <w:t>Faktu, ka valsts izgl</w:t>
      </w:r>
      <w:r w:rsidR="007A2863">
        <w:rPr>
          <w:sz w:val="28"/>
          <w:szCs w:val="28"/>
        </w:rPr>
        <w:t>ī</w:t>
      </w:r>
      <w:r w:rsidRPr="00F7598F">
        <w:rPr>
          <w:sz w:val="28"/>
          <w:szCs w:val="28"/>
        </w:rPr>
        <w:t>t</w:t>
      </w:r>
      <w:r w:rsidR="007A2863">
        <w:rPr>
          <w:sz w:val="28"/>
          <w:szCs w:val="28"/>
        </w:rPr>
        <w:t>ī</w:t>
      </w:r>
      <w:r w:rsidRPr="00F7598F">
        <w:rPr>
          <w:sz w:val="28"/>
          <w:szCs w:val="28"/>
        </w:rPr>
        <w:t>bas pakalpojumi p</w:t>
      </w:r>
      <w:r w:rsidR="007A2863">
        <w:rPr>
          <w:sz w:val="28"/>
          <w:szCs w:val="28"/>
        </w:rPr>
        <w:t>ē</w:t>
      </w:r>
      <w:r w:rsidRPr="00F7598F">
        <w:rPr>
          <w:sz w:val="28"/>
          <w:szCs w:val="28"/>
        </w:rPr>
        <w:t xml:space="preserve">c </w:t>
      </w:r>
      <w:r w:rsidR="007A2863">
        <w:rPr>
          <w:sz w:val="28"/>
          <w:szCs w:val="28"/>
        </w:rPr>
        <w:t>būtības</w:t>
      </w:r>
      <w:r w:rsidRPr="00F7598F">
        <w:rPr>
          <w:sz w:val="28"/>
          <w:szCs w:val="28"/>
        </w:rPr>
        <w:t xml:space="preserve"> nav saimnieciskā darb</w:t>
      </w:r>
      <w:r w:rsidR="007A2863">
        <w:rPr>
          <w:sz w:val="28"/>
          <w:szCs w:val="28"/>
        </w:rPr>
        <w:t>ī</w:t>
      </w:r>
      <w:r w:rsidRPr="00F7598F">
        <w:rPr>
          <w:sz w:val="28"/>
          <w:szCs w:val="28"/>
        </w:rPr>
        <w:t>ba, neietekm</w:t>
      </w:r>
      <w:r w:rsidR="007A2863">
        <w:rPr>
          <w:sz w:val="28"/>
          <w:szCs w:val="28"/>
        </w:rPr>
        <w:t>ē</w:t>
      </w:r>
      <w:r w:rsidRPr="00F7598F">
        <w:rPr>
          <w:sz w:val="28"/>
          <w:szCs w:val="28"/>
        </w:rPr>
        <w:t xml:space="preserve"> tas, ka skol</w:t>
      </w:r>
      <w:r w:rsidR="007A2863">
        <w:rPr>
          <w:sz w:val="28"/>
          <w:szCs w:val="28"/>
        </w:rPr>
        <w:t>ē</w:t>
      </w:r>
      <w:r w:rsidRPr="00F7598F">
        <w:rPr>
          <w:sz w:val="28"/>
          <w:szCs w:val="28"/>
        </w:rPr>
        <w:t>niem vai vi</w:t>
      </w:r>
      <w:r w:rsidR="007A2863">
        <w:rPr>
          <w:sz w:val="28"/>
          <w:szCs w:val="28"/>
        </w:rPr>
        <w:t>ņ</w:t>
      </w:r>
      <w:r w:rsidRPr="00F7598F">
        <w:rPr>
          <w:sz w:val="28"/>
          <w:szCs w:val="28"/>
        </w:rPr>
        <w:t>u vecākiem da</w:t>
      </w:r>
      <w:r w:rsidR="007A2863">
        <w:rPr>
          <w:sz w:val="28"/>
          <w:szCs w:val="28"/>
        </w:rPr>
        <w:t>ž</w:t>
      </w:r>
      <w:r w:rsidRPr="00F7598F">
        <w:rPr>
          <w:sz w:val="28"/>
          <w:szCs w:val="28"/>
        </w:rPr>
        <w:t>reiz jāmaksā māc</w:t>
      </w:r>
      <w:r w:rsidR="007A2863">
        <w:rPr>
          <w:sz w:val="28"/>
          <w:szCs w:val="28"/>
        </w:rPr>
        <w:t>ī</w:t>
      </w:r>
      <w:r w:rsidRPr="00F7598F">
        <w:rPr>
          <w:sz w:val="28"/>
          <w:szCs w:val="28"/>
        </w:rPr>
        <w:t xml:space="preserve">bu vai </w:t>
      </w:r>
      <w:r w:rsidR="007A2863" w:rsidRPr="00F7598F">
        <w:rPr>
          <w:sz w:val="28"/>
          <w:szCs w:val="28"/>
        </w:rPr>
        <w:t>uz</w:t>
      </w:r>
      <w:r w:rsidR="007A2863">
        <w:rPr>
          <w:sz w:val="28"/>
          <w:szCs w:val="28"/>
        </w:rPr>
        <w:t>ņemša</w:t>
      </w:r>
      <w:r w:rsidR="007A2863" w:rsidRPr="00F7598F">
        <w:rPr>
          <w:sz w:val="28"/>
          <w:szCs w:val="28"/>
        </w:rPr>
        <w:t>nas</w:t>
      </w:r>
      <w:r w:rsidRPr="00F7598F">
        <w:rPr>
          <w:sz w:val="28"/>
          <w:szCs w:val="28"/>
        </w:rPr>
        <w:t xml:space="preserve"> maksa, kas pal</w:t>
      </w:r>
      <w:r w:rsidR="007A2863">
        <w:rPr>
          <w:sz w:val="28"/>
          <w:szCs w:val="28"/>
        </w:rPr>
        <w:t>ī</w:t>
      </w:r>
      <w:r w:rsidRPr="00F7598F">
        <w:rPr>
          <w:sz w:val="28"/>
          <w:szCs w:val="28"/>
        </w:rPr>
        <w:t>dz segt sist</w:t>
      </w:r>
      <w:r w:rsidR="007A2863">
        <w:rPr>
          <w:sz w:val="28"/>
          <w:szCs w:val="28"/>
        </w:rPr>
        <w:t>ē</w:t>
      </w:r>
      <w:r w:rsidRPr="00F7598F">
        <w:rPr>
          <w:sz w:val="28"/>
          <w:szCs w:val="28"/>
        </w:rPr>
        <w:t>mas darb</w:t>
      </w:r>
      <w:r w:rsidR="007A2863">
        <w:rPr>
          <w:sz w:val="28"/>
          <w:szCs w:val="28"/>
        </w:rPr>
        <w:t>ī</w:t>
      </w:r>
      <w:r w:rsidRPr="00F7598F">
        <w:rPr>
          <w:sz w:val="28"/>
          <w:szCs w:val="28"/>
        </w:rPr>
        <w:t xml:space="preserve">bas izdevumus. </w:t>
      </w:r>
      <w:r w:rsidR="007A2863">
        <w:rPr>
          <w:sz w:val="28"/>
          <w:szCs w:val="28"/>
        </w:rPr>
        <w:t>Š</w:t>
      </w:r>
      <w:r w:rsidRPr="00F7598F">
        <w:rPr>
          <w:sz w:val="28"/>
          <w:szCs w:val="28"/>
        </w:rPr>
        <w:t>ādas iemaksas bie</w:t>
      </w:r>
      <w:r w:rsidR="007A2863">
        <w:rPr>
          <w:sz w:val="28"/>
          <w:szCs w:val="28"/>
        </w:rPr>
        <w:t>ž</w:t>
      </w:r>
      <w:r w:rsidRPr="00F7598F">
        <w:rPr>
          <w:sz w:val="28"/>
          <w:szCs w:val="28"/>
        </w:rPr>
        <w:t>i vien sedz tikai nelielu daļu no konkr</w:t>
      </w:r>
      <w:r w:rsidR="007A2863">
        <w:rPr>
          <w:sz w:val="28"/>
          <w:szCs w:val="28"/>
        </w:rPr>
        <w:t>ē</w:t>
      </w:r>
      <w:r w:rsidRPr="00F7598F">
        <w:rPr>
          <w:sz w:val="28"/>
          <w:szCs w:val="28"/>
        </w:rPr>
        <w:t>tā pakalpojuma patiesajām izmaksām un tād</w:t>
      </w:r>
      <w:r w:rsidR="007A2863">
        <w:rPr>
          <w:sz w:val="28"/>
          <w:szCs w:val="28"/>
        </w:rPr>
        <w:t>e</w:t>
      </w:r>
      <w:r w:rsidRPr="00F7598F">
        <w:rPr>
          <w:sz w:val="28"/>
          <w:szCs w:val="28"/>
        </w:rPr>
        <w:t>jādi nav uzskatāmas par atl</w:t>
      </w:r>
      <w:r w:rsidR="007A2863">
        <w:rPr>
          <w:sz w:val="28"/>
          <w:szCs w:val="28"/>
        </w:rPr>
        <w:t>ī</w:t>
      </w:r>
      <w:r w:rsidRPr="00F7598F">
        <w:rPr>
          <w:sz w:val="28"/>
          <w:szCs w:val="28"/>
        </w:rPr>
        <w:t>dz</w:t>
      </w:r>
      <w:r w:rsidR="007A2863">
        <w:rPr>
          <w:sz w:val="28"/>
          <w:szCs w:val="28"/>
        </w:rPr>
        <w:t>ī</w:t>
      </w:r>
      <w:r w:rsidRPr="00F7598F">
        <w:rPr>
          <w:sz w:val="28"/>
          <w:szCs w:val="28"/>
        </w:rPr>
        <w:t>bu par sniegto pakalpojumu</w:t>
      </w:r>
      <w:r w:rsidR="00B0648F">
        <w:rPr>
          <w:rStyle w:val="FootnoteReference"/>
          <w:sz w:val="28"/>
          <w:szCs w:val="28"/>
        </w:rPr>
        <w:footnoteReference w:id="12"/>
      </w:r>
      <w:r w:rsidRPr="00F7598F">
        <w:rPr>
          <w:sz w:val="28"/>
          <w:szCs w:val="28"/>
        </w:rPr>
        <w:t>. L</w:t>
      </w:r>
      <w:r w:rsidR="007A2863">
        <w:rPr>
          <w:sz w:val="28"/>
          <w:szCs w:val="28"/>
        </w:rPr>
        <w:t>ī</w:t>
      </w:r>
      <w:r w:rsidRPr="00F7598F">
        <w:rPr>
          <w:sz w:val="28"/>
          <w:szCs w:val="28"/>
        </w:rPr>
        <w:t>dz ar to min</w:t>
      </w:r>
      <w:r w:rsidR="007A2863">
        <w:rPr>
          <w:sz w:val="28"/>
          <w:szCs w:val="28"/>
        </w:rPr>
        <w:t>ē</w:t>
      </w:r>
      <w:r w:rsidRPr="00F7598F">
        <w:rPr>
          <w:sz w:val="28"/>
          <w:szCs w:val="28"/>
        </w:rPr>
        <w:t>tās iemaksas nemaina to, ka vispār</w:t>
      </w:r>
      <w:r w:rsidR="007A2863">
        <w:rPr>
          <w:sz w:val="28"/>
          <w:szCs w:val="28"/>
        </w:rPr>
        <w:t>ē</w:t>
      </w:r>
      <w:r w:rsidRPr="00F7598F">
        <w:rPr>
          <w:sz w:val="28"/>
          <w:szCs w:val="28"/>
        </w:rPr>
        <w:t>jās izgl</w:t>
      </w:r>
      <w:r w:rsidR="00A94035">
        <w:rPr>
          <w:sz w:val="28"/>
          <w:szCs w:val="28"/>
        </w:rPr>
        <w:t>ī</w:t>
      </w:r>
      <w:r w:rsidRPr="00F7598F">
        <w:rPr>
          <w:sz w:val="28"/>
          <w:szCs w:val="28"/>
        </w:rPr>
        <w:t>t</w:t>
      </w:r>
      <w:r w:rsidR="00A94035">
        <w:rPr>
          <w:sz w:val="28"/>
          <w:szCs w:val="28"/>
        </w:rPr>
        <w:t>ī</w:t>
      </w:r>
      <w:r w:rsidRPr="00F7598F">
        <w:rPr>
          <w:sz w:val="28"/>
          <w:szCs w:val="28"/>
        </w:rPr>
        <w:t>bas pakalpojumiem, ko pārsvarā finans</w:t>
      </w:r>
      <w:r w:rsidR="00A94035">
        <w:rPr>
          <w:sz w:val="28"/>
          <w:szCs w:val="28"/>
        </w:rPr>
        <w:t>ē</w:t>
      </w:r>
      <w:r w:rsidRPr="00F7598F">
        <w:rPr>
          <w:sz w:val="28"/>
          <w:szCs w:val="28"/>
        </w:rPr>
        <w:t xml:space="preserve"> valsts, nav saimnieciska rakstura</w:t>
      </w:r>
      <w:r w:rsidR="002714B1">
        <w:rPr>
          <w:rStyle w:val="FootnoteReference"/>
          <w:sz w:val="28"/>
          <w:szCs w:val="28"/>
        </w:rPr>
        <w:footnoteReference w:id="13"/>
      </w:r>
      <w:r w:rsidRPr="00F7598F">
        <w:rPr>
          <w:sz w:val="28"/>
          <w:szCs w:val="28"/>
        </w:rPr>
        <w:t xml:space="preserve">. </w:t>
      </w:r>
    </w:p>
    <w:p w14:paraId="69744B01" w14:textId="77777777" w:rsidR="00D56A7F" w:rsidRDefault="00D56A7F" w:rsidP="00D56A7F">
      <w:pPr>
        <w:pStyle w:val="tv213"/>
        <w:shd w:val="clear" w:color="auto" w:fill="FFFFFF"/>
        <w:spacing w:before="0" w:beforeAutospacing="0" w:after="0" w:afterAutospacing="0" w:line="240" w:lineRule="atLeast"/>
        <w:ind w:firstLine="720"/>
        <w:jc w:val="both"/>
      </w:pPr>
    </w:p>
    <w:p w14:paraId="7F26C88D" w14:textId="77777777" w:rsidR="00E7412A" w:rsidRDefault="00E7412A" w:rsidP="00D56A7F">
      <w:pPr>
        <w:pStyle w:val="tv213"/>
        <w:shd w:val="clear" w:color="auto" w:fill="FFFFFF"/>
        <w:spacing w:before="0" w:beforeAutospacing="0" w:after="0" w:afterAutospacing="0" w:line="240" w:lineRule="atLeast"/>
        <w:ind w:firstLine="720"/>
        <w:jc w:val="both"/>
      </w:pPr>
    </w:p>
    <w:p w14:paraId="2B6A8707" w14:textId="77777777" w:rsidR="00447B12" w:rsidRPr="00924E13" w:rsidRDefault="00447B12" w:rsidP="00D56A7F">
      <w:pPr>
        <w:pStyle w:val="tv213"/>
        <w:shd w:val="clear" w:color="auto" w:fill="FFFFFF"/>
        <w:spacing w:before="0" w:beforeAutospacing="0" w:after="0" w:afterAutospacing="0" w:line="240" w:lineRule="atLeast"/>
        <w:ind w:firstLine="720"/>
        <w:jc w:val="both"/>
      </w:pPr>
    </w:p>
    <w:p w14:paraId="2D6E5A07" w14:textId="4EBBB9D5" w:rsidR="00D56A7F" w:rsidRPr="000A221C" w:rsidRDefault="00A63C09" w:rsidP="04F86BB4">
      <w:pPr>
        <w:pStyle w:val="Heading1"/>
        <w:keepLines w:val="0"/>
        <w:spacing w:before="0" w:after="0" w:line="240" w:lineRule="auto"/>
        <w:ind w:left="360"/>
        <w:jc w:val="center"/>
        <w:rPr>
          <w:rFonts w:ascii="Times New Roman" w:hAnsi="Times New Roman" w:cs="Times New Roman"/>
          <w:b/>
          <w:bCs/>
          <w:color w:val="000000" w:themeColor="text1"/>
          <w:sz w:val="28"/>
          <w:szCs w:val="28"/>
        </w:rPr>
      </w:pPr>
      <w:bookmarkStart w:id="8" w:name="_Toc2105443789"/>
      <w:bookmarkStart w:id="9" w:name="_Toc82167918"/>
      <w:r w:rsidRPr="04F86BB4">
        <w:rPr>
          <w:rFonts w:ascii="Times New Roman" w:hAnsi="Times New Roman" w:cs="Times New Roman"/>
          <w:b/>
          <w:bCs/>
          <w:color w:val="000000" w:themeColor="text1"/>
          <w:sz w:val="28"/>
          <w:szCs w:val="28"/>
        </w:rPr>
        <w:lastRenderedPageBreak/>
        <w:t xml:space="preserve">2. </w:t>
      </w:r>
      <w:r w:rsidR="00D56A7F" w:rsidRPr="04F86BB4">
        <w:rPr>
          <w:rFonts w:ascii="Times New Roman" w:hAnsi="Times New Roman" w:cs="Times New Roman"/>
          <w:b/>
          <w:bCs/>
          <w:color w:val="000000" w:themeColor="text1"/>
          <w:sz w:val="28"/>
          <w:szCs w:val="28"/>
        </w:rPr>
        <w:t>Kultūras nozares kritēriju izvērtēšana</w:t>
      </w:r>
      <w:r w:rsidR="00312013" w:rsidRPr="04F86BB4">
        <w:rPr>
          <w:rFonts w:ascii="Times New Roman" w:hAnsi="Times New Roman" w:cs="Times New Roman"/>
          <w:b/>
          <w:bCs/>
          <w:color w:val="000000" w:themeColor="text1"/>
          <w:sz w:val="28"/>
          <w:szCs w:val="28"/>
        </w:rPr>
        <w:t xml:space="preserve"> un </w:t>
      </w:r>
      <w:r w:rsidR="00D56A7F" w:rsidRPr="04F86BB4">
        <w:rPr>
          <w:rFonts w:ascii="Times New Roman" w:hAnsi="Times New Roman" w:cs="Times New Roman"/>
          <w:b/>
          <w:bCs/>
          <w:color w:val="000000" w:themeColor="text1"/>
          <w:sz w:val="28"/>
          <w:szCs w:val="28"/>
        </w:rPr>
        <w:t>nepieciešamo datu uzskaite</w:t>
      </w:r>
      <w:bookmarkEnd w:id="8"/>
      <w:bookmarkEnd w:id="9"/>
    </w:p>
    <w:p w14:paraId="7D809143" w14:textId="77777777" w:rsidR="00D56A7F" w:rsidRPr="009A461E" w:rsidRDefault="00D56A7F" w:rsidP="00D56A7F">
      <w:pPr>
        <w:tabs>
          <w:tab w:val="left" w:pos="567"/>
        </w:tabs>
        <w:spacing w:after="0" w:line="240" w:lineRule="auto"/>
        <w:jc w:val="both"/>
        <w:rPr>
          <w:rFonts w:ascii="Times New Roman" w:hAnsi="Times New Roman" w:cs="Times New Roman"/>
          <w:sz w:val="28"/>
          <w:szCs w:val="28"/>
          <w:u w:val="single"/>
        </w:rPr>
      </w:pPr>
      <w:r>
        <w:rPr>
          <w:rFonts w:ascii="Times New Roman" w:hAnsi="Times New Roman" w:cs="Times New Roman"/>
          <w:sz w:val="24"/>
          <w:szCs w:val="24"/>
        </w:rPr>
        <w:tab/>
      </w:r>
    </w:p>
    <w:p w14:paraId="2D170859" w14:textId="157B23C4" w:rsidR="00EC29C2" w:rsidRDefault="3151C40C" w:rsidP="45C10B85">
      <w:pPr>
        <w:pStyle w:val="tv213"/>
        <w:shd w:val="clear" w:color="auto" w:fill="FFFFFF" w:themeFill="background1"/>
        <w:spacing w:before="0" w:beforeAutospacing="0" w:after="0" w:afterAutospacing="0" w:line="240" w:lineRule="atLeast"/>
        <w:ind w:firstLine="720"/>
        <w:jc w:val="both"/>
        <w:rPr>
          <w:sz w:val="28"/>
          <w:szCs w:val="28"/>
        </w:rPr>
      </w:pPr>
      <w:r w:rsidRPr="45C10B85">
        <w:rPr>
          <w:sz w:val="28"/>
          <w:szCs w:val="28"/>
        </w:rPr>
        <w:t xml:space="preserve">Lai nodrošinātu iepriekš minēto normu piemērošanu un uzraudzību, gadījumos, kad ES fondu līdzfinansētajos kultūras nozares, tostarp kultūrizglītības  projektos tiek veikta saimnieciskā darbība, taču tā nepārsniedz EK skaidrojumā noteikto robežvērtību (50%), vai arī vienlaikus neizpildās visi komercdarbības atbalsta kontroles kritēriji, šajā metodikā noteikts, kādu datu analīze un ar kādu regularitāti tiek piemērota, lai finansējuma saņēmējam būtu skaidri un saprotami datu analīzes un uzskaites pamatprincipi, kā arī informācijas apkopošanas un atskaites termiņi ES fondu īstenotā projekta uzraugošajām iestādēm. </w:t>
      </w:r>
    </w:p>
    <w:p w14:paraId="2734CA18" w14:textId="067FB744" w:rsidR="00EC29C2" w:rsidRDefault="00D56A7F" w:rsidP="00D56A7F">
      <w:pPr>
        <w:pStyle w:val="Default"/>
        <w:tabs>
          <w:tab w:val="left" w:pos="1134"/>
        </w:tabs>
        <w:ind w:firstLine="851"/>
        <w:jc w:val="both"/>
        <w:rPr>
          <w:sz w:val="28"/>
          <w:szCs w:val="28"/>
        </w:rPr>
      </w:pPr>
      <w:r w:rsidRPr="04F86BB4">
        <w:rPr>
          <w:sz w:val="28"/>
          <w:szCs w:val="28"/>
        </w:rPr>
        <w:t xml:space="preserve">Ņemot vērā EK sniegto skaidrojumu, kultūras nozarē par saimnieciskās darbības veicēju var uzskatīt jebkuru subjektu, kas nodrošina/sniedz kultūras preces vai pakalpojumus, par kuriem tiek veikta samaksa </w:t>
      </w:r>
      <w:r w:rsidR="000B6BB0" w:rsidRPr="04F86BB4">
        <w:rPr>
          <w:sz w:val="28"/>
          <w:szCs w:val="28"/>
        </w:rPr>
        <w:t xml:space="preserve">no apmeklētājiem </w:t>
      </w:r>
      <w:r w:rsidRPr="04F86BB4">
        <w:rPr>
          <w:sz w:val="28"/>
          <w:szCs w:val="28"/>
        </w:rPr>
        <w:t xml:space="preserve">jeb tiek iekasēta maksa </w:t>
      </w:r>
      <w:r w:rsidR="000B6BB0" w:rsidRPr="04F86BB4">
        <w:rPr>
          <w:sz w:val="28"/>
          <w:szCs w:val="28"/>
        </w:rPr>
        <w:t>no infrastruktūras</w:t>
      </w:r>
      <w:r w:rsidRPr="04F86BB4">
        <w:rPr>
          <w:sz w:val="28"/>
          <w:szCs w:val="28"/>
        </w:rPr>
        <w:t xml:space="preserve"> lietotājiem </w:t>
      </w:r>
      <w:r w:rsidR="000B6BB0" w:rsidRPr="04F86BB4">
        <w:rPr>
          <w:sz w:val="28"/>
          <w:szCs w:val="28"/>
        </w:rPr>
        <w:t xml:space="preserve">(kultūrizglītības </w:t>
      </w:r>
      <w:r w:rsidR="00644B4A" w:rsidRPr="04F86BB4">
        <w:rPr>
          <w:sz w:val="28"/>
          <w:szCs w:val="28"/>
        </w:rPr>
        <w:t xml:space="preserve">jomā) </w:t>
      </w:r>
      <w:r w:rsidRPr="04F86BB4">
        <w:rPr>
          <w:sz w:val="28"/>
          <w:szCs w:val="28"/>
        </w:rPr>
        <w:t xml:space="preserve">un kuram kopējie pašu ieņēmumi </w:t>
      </w:r>
      <w:r w:rsidRPr="00EE0F12">
        <w:rPr>
          <w:sz w:val="28"/>
          <w:szCs w:val="28"/>
        </w:rPr>
        <w:t>(metodikas i</w:t>
      </w:r>
      <w:r w:rsidR="00302754" w:rsidRPr="00EE0F12">
        <w:rPr>
          <w:sz w:val="28"/>
          <w:szCs w:val="28"/>
        </w:rPr>
        <w:t>zpratnē</w:t>
      </w:r>
      <w:r w:rsidRPr="00EE0F12">
        <w:rPr>
          <w:sz w:val="28"/>
          <w:szCs w:val="28"/>
        </w:rPr>
        <w:t xml:space="preserve"> </w:t>
      </w:r>
      <w:r w:rsidR="00E61076" w:rsidRPr="00EE0F12">
        <w:rPr>
          <w:sz w:val="28"/>
          <w:szCs w:val="28"/>
        </w:rPr>
        <w:t>–</w:t>
      </w:r>
      <w:r w:rsidRPr="00EE0F12">
        <w:rPr>
          <w:sz w:val="28"/>
          <w:szCs w:val="28"/>
        </w:rPr>
        <w:t xml:space="preserve"> </w:t>
      </w:r>
      <w:r w:rsidR="00E61076" w:rsidRPr="00EE0F12">
        <w:rPr>
          <w:sz w:val="28"/>
          <w:szCs w:val="28"/>
        </w:rPr>
        <w:t>iestādes infrastruktūra kopumā</w:t>
      </w:r>
      <w:r w:rsidR="0014229E">
        <w:rPr>
          <w:rStyle w:val="FootnoteReference"/>
          <w:sz w:val="28"/>
          <w:szCs w:val="28"/>
        </w:rPr>
        <w:footnoteReference w:id="14"/>
      </w:r>
      <w:r w:rsidRPr="04F86BB4">
        <w:rPr>
          <w:sz w:val="28"/>
          <w:szCs w:val="28"/>
        </w:rPr>
        <w:t xml:space="preserve">) pārsniedz 50% robežvērtību pret kopējiem izdevumiem. </w:t>
      </w:r>
    </w:p>
    <w:p w14:paraId="4851A58F" w14:textId="42F6B045" w:rsidR="00D56A7F" w:rsidRPr="0036436F" w:rsidRDefault="00D56A7F" w:rsidP="00D56A7F">
      <w:pPr>
        <w:pStyle w:val="Default"/>
        <w:tabs>
          <w:tab w:val="left" w:pos="1134"/>
        </w:tabs>
        <w:ind w:firstLine="851"/>
        <w:jc w:val="both"/>
        <w:rPr>
          <w:sz w:val="28"/>
          <w:szCs w:val="28"/>
        </w:rPr>
      </w:pPr>
      <w:r w:rsidRPr="0036436F">
        <w:rPr>
          <w:sz w:val="28"/>
          <w:szCs w:val="28"/>
        </w:rPr>
        <w:t xml:space="preserve">Turpretī, </w:t>
      </w:r>
      <w:r w:rsidRPr="009D018D">
        <w:rPr>
          <w:bCs/>
          <w:sz w:val="28"/>
          <w:szCs w:val="28"/>
        </w:rPr>
        <w:t>ja no kultūras iestādes apmeklētājiem vai sabiedrībai pieejama kultūras pasākuma dalībniekiem tiek prasīta samaksa, kas sedz tikai daļu no faktiskajām izmaksām, šim pasākumam nav saimnieciska rakstura, jo šādu samaksu nevar uzskatīt par reālu atlīdzību par sniegto pakalpojumu.</w:t>
      </w:r>
      <w:r w:rsidRPr="0036436F">
        <w:rPr>
          <w:sz w:val="28"/>
          <w:szCs w:val="28"/>
        </w:rPr>
        <w:t xml:space="preserve"> EK ekspertu skaidrojumā – „</w:t>
      </w:r>
      <w:r w:rsidRPr="0036436F">
        <w:rPr>
          <w:i/>
          <w:sz w:val="28"/>
          <w:szCs w:val="28"/>
        </w:rPr>
        <w:t>daļa no faktiskajām izmaksām</w:t>
      </w:r>
      <w:r w:rsidRPr="0036436F">
        <w:rPr>
          <w:sz w:val="28"/>
          <w:szCs w:val="28"/>
        </w:rPr>
        <w:t>” ir ne vairāk kā 50% no pašu ieņēmumiem pret kopējiem iestādes</w:t>
      </w:r>
      <w:r w:rsidR="003672F2">
        <w:rPr>
          <w:sz w:val="28"/>
          <w:szCs w:val="28"/>
        </w:rPr>
        <w:t xml:space="preserve"> izdevumiem</w:t>
      </w:r>
      <w:r>
        <w:rPr>
          <w:sz w:val="28"/>
          <w:szCs w:val="28"/>
        </w:rPr>
        <w:t>.</w:t>
      </w:r>
      <w:r w:rsidRPr="0036436F">
        <w:rPr>
          <w:sz w:val="28"/>
          <w:szCs w:val="28"/>
        </w:rPr>
        <w:t xml:space="preserve"> </w:t>
      </w:r>
    </w:p>
    <w:p w14:paraId="3833E21F" w14:textId="7D112458" w:rsidR="00D56A7F" w:rsidRPr="00312013" w:rsidRDefault="00D56A7F" w:rsidP="00312013">
      <w:pPr>
        <w:pStyle w:val="tv2132"/>
        <w:widowControl w:val="0"/>
        <w:spacing w:line="240" w:lineRule="auto"/>
        <w:ind w:firstLine="720"/>
        <w:jc w:val="both"/>
        <w:rPr>
          <w:b/>
          <w:bCs/>
          <w:color w:val="auto"/>
          <w:sz w:val="28"/>
          <w:szCs w:val="28"/>
          <w:lang w:eastAsia="en-US"/>
        </w:rPr>
      </w:pPr>
      <w:r w:rsidRPr="04F86BB4">
        <w:rPr>
          <w:color w:val="auto"/>
          <w:sz w:val="28"/>
          <w:szCs w:val="28"/>
          <w:lang w:eastAsia="en-US"/>
        </w:rPr>
        <w:t xml:space="preserve">Ņemot vērā iepriekš minēto, </w:t>
      </w:r>
      <w:r w:rsidRPr="04F86BB4">
        <w:rPr>
          <w:b/>
          <w:bCs/>
          <w:color w:val="auto"/>
          <w:sz w:val="28"/>
          <w:szCs w:val="28"/>
          <w:lang w:eastAsia="en-US"/>
        </w:rPr>
        <w:t xml:space="preserve">nepieciešams noteikt secīgus izvērtēšanas soļus, lai analizētu iepriekš minēto kultūras nozares kritēriju piemērošanu </w:t>
      </w:r>
      <w:r w:rsidR="009D650C" w:rsidRPr="04F86BB4">
        <w:rPr>
          <w:b/>
          <w:bCs/>
          <w:color w:val="auto"/>
          <w:sz w:val="28"/>
          <w:szCs w:val="28"/>
          <w:lang w:eastAsia="en-US"/>
        </w:rPr>
        <w:t xml:space="preserve">ES fondu </w:t>
      </w:r>
      <w:r w:rsidR="00312013" w:rsidRPr="04F86BB4">
        <w:rPr>
          <w:b/>
          <w:bCs/>
          <w:color w:val="auto"/>
          <w:sz w:val="28"/>
          <w:szCs w:val="28"/>
          <w:lang w:eastAsia="en-US"/>
        </w:rPr>
        <w:t xml:space="preserve">līdzfinansētajā </w:t>
      </w:r>
      <w:r w:rsidRPr="04F86BB4">
        <w:rPr>
          <w:b/>
          <w:bCs/>
          <w:color w:val="auto"/>
          <w:sz w:val="28"/>
          <w:szCs w:val="28"/>
          <w:lang w:eastAsia="en-US"/>
        </w:rPr>
        <w:t>kultūr</w:t>
      </w:r>
      <w:r w:rsidR="00B91747" w:rsidRPr="04F86BB4">
        <w:rPr>
          <w:b/>
          <w:bCs/>
          <w:color w:val="auto"/>
          <w:sz w:val="28"/>
          <w:szCs w:val="28"/>
          <w:lang w:eastAsia="en-US"/>
        </w:rPr>
        <w:t>izglītības</w:t>
      </w:r>
      <w:r w:rsidRPr="04F86BB4">
        <w:rPr>
          <w:b/>
          <w:bCs/>
          <w:color w:val="auto"/>
          <w:sz w:val="28"/>
          <w:szCs w:val="28"/>
          <w:lang w:eastAsia="en-US"/>
        </w:rPr>
        <w:t xml:space="preserve"> </w:t>
      </w:r>
      <w:r w:rsidR="00312013" w:rsidRPr="04F86BB4">
        <w:rPr>
          <w:b/>
          <w:bCs/>
          <w:color w:val="auto"/>
          <w:sz w:val="28"/>
          <w:szCs w:val="28"/>
          <w:lang w:eastAsia="en-US"/>
        </w:rPr>
        <w:t xml:space="preserve">infrastruktūrā </w:t>
      </w:r>
      <w:r w:rsidR="00D504ED" w:rsidRPr="04F86BB4">
        <w:rPr>
          <w:color w:val="auto"/>
          <w:sz w:val="28"/>
          <w:szCs w:val="28"/>
          <w:lang w:eastAsia="en-US"/>
        </w:rPr>
        <w:t>komercdarbības atbalsta klātbūtnes konstatēšanā</w:t>
      </w:r>
      <w:r w:rsidRPr="04F86BB4">
        <w:rPr>
          <w:color w:val="auto"/>
          <w:sz w:val="28"/>
          <w:szCs w:val="28"/>
          <w:lang w:eastAsia="en-US"/>
        </w:rPr>
        <w:t>:</w:t>
      </w:r>
    </w:p>
    <w:p w14:paraId="3976A2B1" w14:textId="77777777" w:rsidR="00D56A7F" w:rsidRPr="0036436F" w:rsidRDefault="00D56A7F" w:rsidP="00D56A7F">
      <w:pPr>
        <w:pStyle w:val="tv2132"/>
        <w:widowControl w:val="0"/>
        <w:spacing w:line="240" w:lineRule="auto"/>
        <w:jc w:val="both"/>
        <w:rPr>
          <w:b/>
          <w:bCs/>
          <w:color w:val="auto"/>
          <w:sz w:val="28"/>
          <w:szCs w:val="28"/>
          <w:lang w:eastAsia="en-US"/>
        </w:rPr>
      </w:pPr>
      <w:bookmarkStart w:id="10" w:name="_Hlk55210337"/>
    </w:p>
    <w:p w14:paraId="174C3B91" w14:textId="0FDC1ACC" w:rsidR="00D56A7F" w:rsidRPr="0036436F" w:rsidRDefault="00D56A7F" w:rsidP="00E33CCE">
      <w:pPr>
        <w:pStyle w:val="tv2132"/>
        <w:widowControl w:val="0"/>
        <w:numPr>
          <w:ilvl w:val="0"/>
          <w:numId w:val="12"/>
        </w:numPr>
        <w:spacing w:line="240" w:lineRule="auto"/>
        <w:jc w:val="both"/>
        <w:rPr>
          <w:color w:val="auto"/>
          <w:sz w:val="28"/>
          <w:szCs w:val="28"/>
          <w:lang w:eastAsia="en-US"/>
        </w:rPr>
      </w:pPr>
      <w:r w:rsidRPr="0EE0729C">
        <w:rPr>
          <w:b/>
          <w:bCs/>
          <w:color w:val="auto"/>
          <w:sz w:val="28"/>
          <w:szCs w:val="28"/>
          <w:lang w:eastAsia="en-US"/>
        </w:rPr>
        <w:t>Izvērtēšanu vienmēr sāk ar saimnieciskās darbības kritēriju</w:t>
      </w:r>
      <w:r w:rsidRPr="0EE0729C">
        <w:rPr>
          <w:color w:val="auto"/>
          <w:sz w:val="28"/>
          <w:szCs w:val="28"/>
          <w:lang w:eastAsia="en-US"/>
        </w:rPr>
        <w:t>, nosakot, vai kultūr</w:t>
      </w:r>
      <w:r w:rsidR="009A4179" w:rsidRPr="0EE0729C">
        <w:rPr>
          <w:color w:val="auto"/>
          <w:sz w:val="28"/>
          <w:szCs w:val="28"/>
          <w:lang w:eastAsia="en-US"/>
        </w:rPr>
        <w:t xml:space="preserve">izglītības </w:t>
      </w:r>
      <w:r w:rsidR="00312013" w:rsidRPr="0EE0729C">
        <w:rPr>
          <w:color w:val="auto"/>
          <w:sz w:val="28"/>
          <w:szCs w:val="28"/>
          <w:lang w:eastAsia="en-US"/>
        </w:rPr>
        <w:t xml:space="preserve">infrastruktūrā </w:t>
      </w:r>
      <w:r w:rsidRPr="0EE0729C">
        <w:rPr>
          <w:color w:val="auto"/>
          <w:sz w:val="28"/>
          <w:szCs w:val="28"/>
          <w:lang w:eastAsia="en-US"/>
        </w:rPr>
        <w:t>saimnieciskās darbības</w:t>
      </w:r>
      <w:r w:rsidR="008201AE" w:rsidRPr="0EE0729C">
        <w:rPr>
          <w:color w:val="auto"/>
          <w:sz w:val="28"/>
          <w:szCs w:val="28"/>
          <w:lang w:eastAsia="en-US"/>
        </w:rPr>
        <w:t xml:space="preserve"> pašu</w:t>
      </w:r>
      <w:r w:rsidRPr="0EE0729C">
        <w:rPr>
          <w:color w:val="auto"/>
          <w:sz w:val="28"/>
          <w:szCs w:val="28"/>
          <w:lang w:eastAsia="en-US"/>
        </w:rPr>
        <w:t xml:space="preserve"> ieņēmumi</w:t>
      </w:r>
      <w:r w:rsidR="008201AE" w:rsidRPr="0EE0729C">
        <w:rPr>
          <w:color w:val="auto"/>
          <w:sz w:val="28"/>
          <w:szCs w:val="28"/>
          <w:lang w:eastAsia="en-US"/>
        </w:rPr>
        <w:t xml:space="preserve"> (piemēram, maksa par studijām, telpu noma)</w:t>
      </w:r>
      <w:r w:rsidRPr="0EE0729C">
        <w:rPr>
          <w:color w:val="auto"/>
          <w:sz w:val="28"/>
          <w:szCs w:val="28"/>
          <w:lang w:eastAsia="en-US"/>
        </w:rPr>
        <w:t xml:space="preserve"> pārsniedz 50 % robežvērtību pret </w:t>
      </w:r>
      <w:r w:rsidRPr="00BA2C50">
        <w:rPr>
          <w:color w:val="auto"/>
          <w:sz w:val="28"/>
          <w:szCs w:val="28"/>
          <w:lang w:eastAsia="en-US"/>
        </w:rPr>
        <w:t xml:space="preserve">kopējiem </w:t>
      </w:r>
      <w:r w:rsidR="009A4179" w:rsidRPr="00BA2C50">
        <w:rPr>
          <w:color w:val="auto"/>
          <w:sz w:val="28"/>
          <w:szCs w:val="28"/>
          <w:lang w:eastAsia="en-US"/>
        </w:rPr>
        <w:t>iestādes iz</w:t>
      </w:r>
      <w:r w:rsidR="00731967" w:rsidRPr="00BA2C50">
        <w:rPr>
          <w:color w:val="auto"/>
          <w:sz w:val="28"/>
          <w:szCs w:val="28"/>
          <w:lang w:eastAsia="en-US"/>
        </w:rPr>
        <w:t>d</w:t>
      </w:r>
      <w:r w:rsidR="009A4179" w:rsidRPr="00BA2C50">
        <w:rPr>
          <w:color w:val="auto"/>
          <w:sz w:val="28"/>
          <w:szCs w:val="28"/>
          <w:lang w:eastAsia="en-US"/>
        </w:rPr>
        <w:t>evumiem</w:t>
      </w:r>
      <w:r w:rsidRPr="0EE0729C">
        <w:rPr>
          <w:color w:val="auto"/>
          <w:sz w:val="28"/>
          <w:szCs w:val="28"/>
          <w:lang w:eastAsia="en-US"/>
        </w:rPr>
        <w:t xml:space="preserve"> (piemēram, uzturēšanas izdevumi</w:t>
      </w:r>
      <w:r w:rsidR="00731967" w:rsidRPr="0EE0729C">
        <w:rPr>
          <w:color w:val="auto"/>
          <w:sz w:val="28"/>
          <w:szCs w:val="28"/>
          <w:lang w:eastAsia="en-US"/>
        </w:rPr>
        <w:t>, administratīvie izdevumi u.c.</w:t>
      </w:r>
      <w:r w:rsidR="006437CF" w:rsidRPr="0EE0729C">
        <w:rPr>
          <w:color w:val="auto"/>
          <w:sz w:val="28"/>
          <w:szCs w:val="28"/>
          <w:lang w:eastAsia="en-US"/>
        </w:rPr>
        <w:t>, kā, piemēram, norādīts</w:t>
      </w:r>
      <w:r w:rsidRPr="0EE0729C">
        <w:rPr>
          <w:color w:val="auto"/>
          <w:sz w:val="28"/>
          <w:szCs w:val="28"/>
          <w:lang w:eastAsia="en-US"/>
        </w:rPr>
        <w:t xml:space="preserve"> šīs metodikas </w:t>
      </w:r>
      <w:r w:rsidR="00A11AD4" w:rsidRPr="0EE0729C">
        <w:rPr>
          <w:color w:val="auto"/>
          <w:sz w:val="28"/>
          <w:szCs w:val="28"/>
          <w:lang w:eastAsia="en-US"/>
        </w:rPr>
        <w:t>1</w:t>
      </w:r>
      <w:r w:rsidRPr="0EE0729C">
        <w:rPr>
          <w:color w:val="auto"/>
          <w:sz w:val="28"/>
          <w:szCs w:val="28"/>
          <w:lang w:eastAsia="en-US"/>
        </w:rPr>
        <w:t xml:space="preserve">.pielikumā </w:t>
      </w:r>
      <w:r w:rsidR="006437CF" w:rsidRPr="0EE0729C">
        <w:rPr>
          <w:color w:val="auto"/>
          <w:sz w:val="28"/>
          <w:szCs w:val="28"/>
          <w:lang w:eastAsia="en-US"/>
        </w:rPr>
        <w:t xml:space="preserve">iekļautajā </w:t>
      </w:r>
      <w:r w:rsidRPr="0EE0729C">
        <w:rPr>
          <w:color w:val="auto"/>
          <w:sz w:val="28"/>
          <w:szCs w:val="28"/>
          <w:lang w:eastAsia="en-US"/>
        </w:rPr>
        <w:t>paraug</w:t>
      </w:r>
      <w:r w:rsidR="006437CF" w:rsidRPr="0EE0729C">
        <w:rPr>
          <w:color w:val="auto"/>
          <w:sz w:val="28"/>
          <w:szCs w:val="28"/>
          <w:lang w:eastAsia="en-US"/>
        </w:rPr>
        <w:t>ā</w:t>
      </w:r>
      <w:r w:rsidRPr="0EE0729C">
        <w:rPr>
          <w:color w:val="auto"/>
          <w:sz w:val="28"/>
          <w:szCs w:val="28"/>
          <w:lang w:eastAsia="en-US"/>
        </w:rPr>
        <w:t xml:space="preserve"> kultūras </w:t>
      </w:r>
      <w:r w:rsidR="00A976EB" w:rsidRPr="0EE0729C">
        <w:rPr>
          <w:color w:val="auto"/>
          <w:sz w:val="28"/>
          <w:szCs w:val="28"/>
          <w:lang w:eastAsia="en-US"/>
        </w:rPr>
        <w:t xml:space="preserve">infrastruktūras </w:t>
      </w:r>
      <w:r w:rsidRPr="0EE0729C">
        <w:rPr>
          <w:color w:val="auto"/>
          <w:sz w:val="28"/>
          <w:szCs w:val="28"/>
          <w:lang w:eastAsia="en-US"/>
        </w:rPr>
        <w:t>objekta budžeta informācijas apkopošanai.</w:t>
      </w:r>
      <w:r w:rsidR="006437CF" w:rsidRPr="0EE0729C">
        <w:rPr>
          <w:color w:val="auto"/>
          <w:sz w:val="28"/>
          <w:szCs w:val="28"/>
          <w:lang w:eastAsia="en-US"/>
        </w:rPr>
        <w:t>)</w:t>
      </w:r>
    </w:p>
    <w:p w14:paraId="2BB0A310" w14:textId="3C484D51" w:rsidR="00D56A7F" w:rsidRPr="007E1D92" w:rsidRDefault="00D56A7F" w:rsidP="007E1D92">
      <w:pPr>
        <w:pStyle w:val="tv2132"/>
        <w:widowControl w:val="0"/>
        <w:numPr>
          <w:ilvl w:val="1"/>
          <w:numId w:val="12"/>
        </w:numPr>
        <w:spacing w:line="240" w:lineRule="auto"/>
        <w:jc w:val="both"/>
        <w:rPr>
          <w:color w:val="auto"/>
          <w:sz w:val="28"/>
          <w:szCs w:val="28"/>
          <w:lang w:eastAsia="en-US"/>
        </w:rPr>
      </w:pPr>
      <w:r w:rsidRPr="782999A8">
        <w:rPr>
          <w:b/>
          <w:bCs/>
          <w:color w:val="auto"/>
          <w:sz w:val="28"/>
          <w:szCs w:val="28"/>
          <w:lang w:eastAsia="en-US"/>
        </w:rPr>
        <w:t>Ja</w:t>
      </w:r>
      <w:r w:rsidRPr="782999A8">
        <w:rPr>
          <w:color w:val="auto"/>
          <w:sz w:val="28"/>
          <w:szCs w:val="28"/>
          <w:lang w:eastAsia="en-US"/>
        </w:rPr>
        <w:t xml:space="preserve"> pēc izvērtēšanas secināms, ka </w:t>
      </w:r>
      <w:r w:rsidRPr="782999A8">
        <w:rPr>
          <w:b/>
          <w:bCs/>
          <w:color w:val="auto"/>
          <w:sz w:val="28"/>
          <w:szCs w:val="28"/>
          <w:lang w:eastAsia="en-US"/>
        </w:rPr>
        <w:t>saimnieciskās darbības kritērijs neizpildās</w:t>
      </w:r>
      <w:r w:rsidRPr="782999A8">
        <w:rPr>
          <w:color w:val="auto"/>
          <w:sz w:val="28"/>
          <w:szCs w:val="28"/>
          <w:lang w:eastAsia="en-US"/>
        </w:rPr>
        <w:t xml:space="preserve">, t.i., ieņēmumi nepārsniedz 50% robežvērtību pret </w:t>
      </w:r>
      <w:r w:rsidRPr="00D05415">
        <w:rPr>
          <w:color w:val="auto"/>
          <w:sz w:val="28"/>
          <w:szCs w:val="28"/>
          <w:lang w:eastAsia="en-US"/>
        </w:rPr>
        <w:t>kopēj</w:t>
      </w:r>
      <w:r w:rsidR="00BA2C50" w:rsidRPr="00D05415">
        <w:rPr>
          <w:color w:val="auto"/>
          <w:sz w:val="28"/>
          <w:szCs w:val="28"/>
          <w:lang w:eastAsia="en-US"/>
        </w:rPr>
        <w:t>iem</w:t>
      </w:r>
      <w:r w:rsidRPr="00D05415">
        <w:rPr>
          <w:color w:val="auto"/>
          <w:sz w:val="28"/>
          <w:szCs w:val="28"/>
          <w:lang w:eastAsia="en-US"/>
        </w:rPr>
        <w:t xml:space="preserve">  </w:t>
      </w:r>
      <w:r w:rsidR="00A976EB" w:rsidRPr="00D05415">
        <w:rPr>
          <w:color w:val="auto"/>
          <w:sz w:val="28"/>
          <w:szCs w:val="28"/>
          <w:lang w:eastAsia="en-US"/>
        </w:rPr>
        <w:t>kultūras</w:t>
      </w:r>
      <w:r w:rsidR="00BA2C50" w:rsidRPr="00D05415">
        <w:rPr>
          <w:color w:val="auto"/>
          <w:sz w:val="28"/>
          <w:szCs w:val="28"/>
          <w:lang w:eastAsia="en-US"/>
        </w:rPr>
        <w:t xml:space="preserve"> vai kultūrizglītības</w:t>
      </w:r>
      <w:r w:rsidR="00A976EB" w:rsidRPr="00D05415">
        <w:rPr>
          <w:color w:val="auto"/>
          <w:sz w:val="28"/>
          <w:szCs w:val="28"/>
          <w:lang w:eastAsia="en-US"/>
        </w:rPr>
        <w:t xml:space="preserve"> iestādes </w:t>
      </w:r>
      <w:r w:rsidR="00BA2C50">
        <w:rPr>
          <w:color w:val="auto"/>
          <w:sz w:val="28"/>
          <w:szCs w:val="28"/>
          <w:lang w:eastAsia="en-US"/>
        </w:rPr>
        <w:t>izdevumiem</w:t>
      </w:r>
      <w:r w:rsidR="006F34FB">
        <w:rPr>
          <w:color w:val="auto"/>
          <w:sz w:val="28"/>
          <w:szCs w:val="28"/>
          <w:lang w:eastAsia="en-US"/>
        </w:rPr>
        <w:t xml:space="preserve"> (vērtējot </w:t>
      </w:r>
      <w:r w:rsidR="005473C5">
        <w:rPr>
          <w:color w:val="auto"/>
          <w:sz w:val="28"/>
          <w:szCs w:val="28"/>
          <w:lang w:eastAsia="en-US"/>
        </w:rPr>
        <w:lastRenderedPageBreak/>
        <w:t>gada griezumā un projekta pārskata periodā)</w:t>
      </w:r>
      <w:r w:rsidR="002C6B85">
        <w:rPr>
          <w:rStyle w:val="FootnoteReference"/>
          <w:color w:val="auto"/>
          <w:sz w:val="28"/>
          <w:szCs w:val="28"/>
          <w:lang w:eastAsia="en-US"/>
        </w:rPr>
        <w:footnoteReference w:id="15"/>
      </w:r>
      <w:r w:rsidRPr="782999A8">
        <w:rPr>
          <w:color w:val="auto"/>
          <w:sz w:val="28"/>
          <w:szCs w:val="28"/>
          <w:lang w:eastAsia="en-US"/>
        </w:rPr>
        <w:t xml:space="preserve">, piešķirtais līdzfinansējums netiek uzskatīts par atbalstu saimnieciskai darbībai, un </w:t>
      </w:r>
      <w:r w:rsidRPr="00B37B08">
        <w:rPr>
          <w:b/>
          <w:bCs/>
          <w:color w:val="auto"/>
          <w:sz w:val="28"/>
          <w:szCs w:val="28"/>
          <w:lang w:eastAsia="en-US"/>
        </w:rPr>
        <w:t xml:space="preserve">tālāka izvērtēšana pēc komercdarbības atbalstu raksturojošām pazīmēm nav jāveic, tostarp nav jāpierāda </w:t>
      </w:r>
      <w:r w:rsidR="00F60D05" w:rsidRPr="00B37B08">
        <w:rPr>
          <w:b/>
          <w:bCs/>
          <w:color w:val="auto"/>
          <w:sz w:val="28"/>
          <w:szCs w:val="28"/>
          <w:lang w:eastAsia="en-US"/>
        </w:rPr>
        <w:t>vietējās ietekmes</w:t>
      </w:r>
      <w:r w:rsidRPr="00B37B08">
        <w:rPr>
          <w:b/>
          <w:bCs/>
          <w:color w:val="auto"/>
          <w:sz w:val="28"/>
          <w:szCs w:val="28"/>
          <w:lang w:eastAsia="en-US"/>
        </w:rPr>
        <w:t xml:space="preserve"> kritērijs</w:t>
      </w:r>
      <w:r w:rsidR="00F60D05" w:rsidRPr="782999A8">
        <w:rPr>
          <w:color w:val="auto"/>
          <w:sz w:val="28"/>
          <w:szCs w:val="28"/>
          <w:lang w:eastAsia="en-US"/>
        </w:rPr>
        <w:t>.</w:t>
      </w:r>
    </w:p>
    <w:p w14:paraId="5EDA34FD" w14:textId="527BE6E9" w:rsidR="00ED4993" w:rsidRPr="00DB54F8" w:rsidRDefault="00D56A7F" w:rsidP="007E1D92">
      <w:pPr>
        <w:pStyle w:val="xmsonormal"/>
        <w:numPr>
          <w:ilvl w:val="1"/>
          <w:numId w:val="12"/>
        </w:numPr>
        <w:jc w:val="both"/>
        <w:rPr>
          <w:sz w:val="28"/>
          <w:szCs w:val="28"/>
          <w:lang w:eastAsia="en-US"/>
        </w:rPr>
      </w:pPr>
      <w:r w:rsidRPr="0EE0729C">
        <w:rPr>
          <w:b/>
          <w:bCs/>
          <w:sz w:val="28"/>
          <w:szCs w:val="28"/>
          <w:lang w:eastAsia="en-US"/>
        </w:rPr>
        <w:t>Ja</w:t>
      </w:r>
      <w:r w:rsidRPr="0EE0729C">
        <w:rPr>
          <w:sz w:val="28"/>
          <w:szCs w:val="28"/>
          <w:lang w:eastAsia="en-US"/>
        </w:rPr>
        <w:t xml:space="preserve"> </w:t>
      </w:r>
      <w:r w:rsidRPr="0EE0729C">
        <w:rPr>
          <w:b/>
          <w:bCs/>
          <w:sz w:val="28"/>
          <w:szCs w:val="28"/>
          <w:lang w:eastAsia="en-US"/>
        </w:rPr>
        <w:t>saimnieciskās darbības kritērijs izpildās</w:t>
      </w:r>
      <w:r w:rsidRPr="0EE0729C">
        <w:rPr>
          <w:sz w:val="28"/>
          <w:szCs w:val="28"/>
          <w:lang w:eastAsia="en-US"/>
        </w:rPr>
        <w:t>, t.i., ieņēmumi pārsniedz 50% robežvērtību pret kultūr</w:t>
      </w:r>
      <w:r w:rsidR="0038212D" w:rsidRPr="0EE0729C">
        <w:rPr>
          <w:sz w:val="28"/>
          <w:szCs w:val="28"/>
          <w:lang w:eastAsia="en-US"/>
        </w:rPr>
        <w:t xml:space="preserve">izglītības </w:t>
      </w:r>
      <w:r w:rsidR="00C970DB">
        <w:rPr>
          <w:sz w:val="28"/>
          <w:szCs w:val="28"/>
          <w:lang w:eastAsia="en-US"/>
        </w:rPr>
        <w:t>iestādes</w:t>
      </w:r>
      <w:r w:rsidR="00C970DB" w:rsidRPr="0EE0729C">
        <w:rPr>
          <w:sz w:val="28"/>
          <w:szCs w:val="28"/>
          <w:lang w:eastAsia="en-US"/>
        </w:rPr>
        <w:t xml:space="preserve"> </w:t>
      </w:r>
      <w:r w:rsidRPr="00BA2C50">
        <w:rPr>
          <w:sz w:val="28"/>
          <w:szCs w:val="28"/>
          <w:lang w:eastAsia="en-US"/>
        </w:rPr>
        <w:t>kopējiem izdevumiem,</w:t>
      </w:r>
      <w:r w:rsidRPr="0EE0729C">
        <w:rPr>
          <w:sz w:val="28"/>
          <w:szCs w:val="28"/>
          <w:lang w:eastAsia="en-US"/>
        </w:rPr>
        <w:t xml:space="preserve"> papildus vērtē, vai objektam var piemērot</w:t>
      </w:r>
      <w:r w:rsidR="00386578" w:rsidRPr="0EE0729C">
        <w:rPr>
          <w:sz w:val="28"/>
          <w:szCs w:val="28"/>
          <w:lang w:eastAsia="en-US"/>
        </w:rPr>
        <w:t xml:space="preserve"> vietējās ietekmes</w:t>
      </w:r>
      <w:r w:rsidRPr="0EE0729C">
        <w:rPr>
          <w:sz w:val="28"/>
          <w:szCs w:val="28"/>
          <w:lang w:eastAsia="en-US"/>
        </w:rPr>
        <w:t xml:space="preserve"> kritēriju</w:t>
      </w:r>
      <w:r w:rsidR="00ED4993" w:rsidRPr="0EE0729C">
        <w:rPr>
          <w:sz w:val="28"/>
          <w:szCs w:val="28"/>
          <w:lang w:eastAsia="en-US"/>
        </w:rPr>
        <w:t>,</w:t>
      </w:r>
      <w:r w:rsidR="00666910">
        <w:rPr>
          <w:sz w:val="28"/>
          <w:szCs w:val="28"/>
          <w:lang w:eastAsia="en-US"/>
        </w:rPr>
        <w:t xml:space="preserve"> proti, </w:t>
      </w:r>
      <w:r w:rsidR="00666910" w:rsidRPr="00666910">
        <w:rPr>
          <w:sz w:val="28"/>
          <w:szCs w:val="28"/>
          <w:lang w:eastAsia="en-US"/>
        </w:rPr>
        <w:t xml:space="preserve">projektam ir saimniecisks raksturs, tomēr tas </w:t>
      </w:r>
      <w:r w:rsidR="00442835">
        <w:rPr>
          <w:sz w:val="28"/>
          <w:szCs w:val="28"/>
          <w:lang w:eastAsia="en-US"/>
        </w:rPr>
        <w:t>var ne</w:t>
      </w:r>
      <w:r w:rsidR="00666910" w:rsidRPr="00666910">
        <w:rPr>
          <w:sz w:val="28"/>
          <w:szCs w:val="28"/>
          <w:lang w:eastAsia="en-US"/>
        </w:rPr>
        <w:t>kvalificē</w:t>
      </w:r>
      <w:r w:rsidR="00442835">
        <w:rPr>
          <w:sz w:val="28"/>
          <w:szCs w:val="28"/>
          <w:lang w:eastAsia="en-US"/>
        </w:rPr>
        <w:t>ties</w:t>
      </w:r>
      <w:r w:rsidR="00666910" w:rsidRPr="00666910">
        <w:rPr>
          <w:sz w:val="28"/>
          <w:szCs w:val="28"/>
          <w:lang w:eastAsia="en-US"/>
        </w:rPr>
        <w:t xml:space="preserve"> kā atbalsts komercdarbībai, ja projektam nav ietekmes uz konkurenci un tirdzniecību </w:t>
      </w:r>
      <w:r w:rsidR="00442835">
        <w:rPr>
          <w:sz w:val="28"/>
          <w:szCs w:val="28"/>
          <w:lang w:eastAsia="en-US"/>
        </w:rPr>
        <w:t>ES</w:t>
      </w:r>
      <w:r w:rsidR="00666910" w:rsidRPr="00666910">
        <w:rPr>
          <w:sz w:val="28"/>
          <w:szCs w:val="28"/>
          <w:lang w:eastAsia="en-US"/>
        </w:rPr>
        <w:t xml:space="preserve"> iekšējā tirgū,</w:t>
      </w:r>
      <w:r w:rsidR="00ED4993" w:rsidRPr="0EE0729C">
        <w:rPr>
          <w:sz w:val="28"/>
          <w:szCs w:val="28"/>
          <w:lang w:eastAsia="en-US"/>
        </w:rPr>
        <w:t xml:space="preserve"> kuru pamato ar kādu no šiem </w:t>
      </w:r>
      <w:r w:rsidR="00ED4993" w:rsidRPr="00DB54F8">
        <w:rPr>
          <w:sz w:val="28"/>
          <w:szCs w:val="28"/>
          <w:lang w:eastAsia="en-US"/>
        </w:rPr>
        <w:t>datiem:</w:t>
      </w:r>
    </w:p>
    <w:p w14:paraId="02E486B0" w14:textId="56804248" w:rsidR="00561117" w:rsidRPr="00DB54F8" w:rsidRDefault="00AC7C31" w:rsidP="00F35D8E">
      <w:pPr>
        <w:pStyle w:val="xmsonormal"/>
        <w:numPr>
          <w:ilvl w:val="2"/>
          <w:numId w:val="12"/>
        </w:numPr>
        <w:ind w:left="2268"/>
        <w:jc w:val="both"/>
        <w:rPr>
          <w:sz w:val="28"/>
          <w:szCs w:val="28"/>
          <w:lang w:eastAsia="en-US"/>
        </w:rPr>
      </w:pPr>
      <w:r w:rsidRPr="00DB54F8">
        <w:rPr>
          <w:sz w:val="28"/>
          <w:szCs w:val="28"/>
          <w:shd w:val="clear" w:color="auto" w:fill="F9F9F9"/>
        </w:rPr>
        <w:t>no visiem kultūras jomā sniegto pakalpojumu saņēmējiem vai  projektā atbalstītās infrastruktūras apmeklētājiem</w:t>
      </w:r>
      <w:r w:rsidR="00CA5889" w:rsidRPr="00DB54F8">
        <w:rPr>
          <w:sz w:val="28"/>
          <w:szCs w:val="28"/>
          <w:shd w:val="clear" w:color="auto" w:fill="F9F9F9"/>
        </w:rPr>
        <w:t xml:space="preserve">, </w:t>
      </w:r>
      <w:r w:rsidR="00F44354" w:rsidRPr="00DB54F8">
        <w:rPr>
          <w:sz w:val="28"/>
          <w:szCs w:val="28"/>
        </w:rPr>
        <w:t>vai kultūrizglītības iestāžu audzēkņiem</w:t>
      </w:r>
      <w:r w:rsidR="00CA5889" w:rsidRPr="00DB54F8">
        <w:rPr>
          <w:sz w:val="28"/>
          <w:szCs w:val="28"/>
          <w:shd w:val="clear" w:color="auto" w:fill="F9F9F9"/>
        </w:rPr>
        <w:t xml:space="preserve"> </w:t>
      </w:r>
      <w:r w:rsidRPr="00DB54F8">
        <w:rPr>
          <w:sz w:val="28"/>
          <w:szCs w:val="28"/>
          <w:shd w:val="clear" w:color="auto" w:fill="F9F9F9"/>
        </w:rPr>
        <w:t>gadā 85 procenti vai vairāk ir Latvijas iedzīvotāji</w:t>
      </w:r>
      <w:r w:rsidR="007C7D9D" w:rsidRPr="00DB54F8">
        <w:rPr>
          <w:sz w:val="28"/>
          <w:szCs w:val="28"/>
        </w:rPr>
        <w:t>;</w:t>
      </w:r>
    </w:p>
    <w:p w14:paraId="183B3CEC" w14:textId="74FD372D" w:rsidR="00FE5213" w:rsidRPr="00DB54F8" w:rsidRDefault="00120E58" w:rsidP="000F7249">
      <w:pPr>
        <w:pStyle w:val="xmsonormal"/>
        <w:numPr>
          <w:ilvl w:val="2"/>
          <w:numId w:val="12"/>
        </w:numPr>
        <w:tabs>
          <w:tab w:val="left" w:pos="2268"/>
        </w:tabs>
        <w:ind w:left="2268" w:hanging="708"/>
        <w:jc w:val="both"/>
        <w:rPr>
          <w:sz w:val="28"/>
          <w:szCs w:val="28"/>
          <w:shd w:val="clear" w:color="auto" w:fill="F9F9F9"/>
        </w:rPr>
      </w:pPr>
      <w:r w:rsidRPr="00DB54F8">
        <w:rPr>
          <w:sz w:val="28"/>
          <w:szCs w:val="28"/>
          <w:shd w:val="clear" w:color="auto" w:fill="F9F9F9"/>
        </w:rPr>
        <w:t>īstenotie kultūras un kultūrizglītības pasākumi pārsvarā notiek latviešu valodā</w:t>
      </w:r>
      <w:r w:rsidR="00FE5213" w:rsidRPr="00DB54F8">
        <w:rPr>
          <w:sz w:val="28"/>
          <w:szCs w:val="28"/>
          <w:shd w:val="clear" w:color="auto" w:fill="F9F9F9"/>
        </w:rPr>
        <w:t>;</w:t>
      </w:r>
    </w:p>
    <w:p w14:paraId="416620CB" w14:textId="79A3928F" w:rsidR="00561117" w:rsidRPr="00DB54F8" w:rsidRDefault="00C2538F" w:rsidP="000F7249">
      <w:pPr>
        <w:pStyle w:val="xmsonormal"/>
        <w:numPr>
          <w:ilvl w:val="2"/>
          <w:numId w:val="12"/>
        </w:numPr>
        <w:tabs>
          <w:tab w:val="left" w:pos="2268"/>
          <w:tab w:val="left" w:pos="2552"/>
        </w:tabs>
        <w:ind w:left="2268" w:hanging="708"/>
        <w:jc w:val="both"/>
        <w:rPr>
          <w:sz w:val="28"/>
          <w:szCs w:val="28"/>
          <w:lang w:eastAsia="en-US"/>
        </w:rPr>
      </w:pPr>
      <w:r w:rsidRPr="00DB54F8">
        <w:rPr>
          <w:sz w:val="28"/>
          <w:szCs w:val="28"/>
          <w:shd w:val="clear" w:color="auto" w:fill="F9F9F9"/>
        </w:rPr>
        <w:t>projektā atbalstītā infrastruktūra netiek plaši reklamēta ārpus Latvijas teritorijas, tai skaitā netiek veiktas starptautiskas mārketinga aktivitātes un citas darbības pārrobežu reklāmas jomā</w:t>
      </w:r>
      <w:r w:rsidR="007C7D9D" w:rsidRPr="00DB54F8">
        <w:rPr>
          <w:sz w:val="28"/>
          <w:szCs w:val="28"/>
          <w:lang w:eastAsia="en-US"/>
        </w:rPr>
        <w:t>.</w:t>
      </w:r>
    </w:p>
    <w:p w14:paraId="03788DB9" w14:textId="77777777" w:rsidR="00561117" w:rsidRPr="00561117" w:rsidRDefault="00561117" w:rsidP="00F35D8E">
      <w:pPr>
        <w:pStyle w:val="xmsonormal"/>
        <w:ind w:left="2268"/>
        <w:jc w:val="both"/>
        <w:rPr>
          <w:sz w:val="28"/>
          <w:szCs w:val="28"/>
          <w:lang w:eastAsia="en-US"/>
        </w:rPr>
      </w:pPr>
    </w:p>
    <w:p w14:paraId="326C7228" w14:textId="2965BBC1" w:rsidR="00D56A7F" w:rsidRDefault="00D56A7F" w:rsidP="00F35D8E">
      <w:pPr>
        <w:pStyle w:val="xmsonormal"/>
        <w:jc w:val="both"/>
        <w:rPr>
          <w:sz w:val="28"/>
          <w:szCs w:val="28"/>
          <w:lang w:eastAsia="en-US"/>
        </w:rPr>
      </w:pPr>
      <w:r w:rsidRPr="007D6BDA">
        <w:rPr>
          <w:sz w:val="28"/>
          <w:szCs w:val="28"/>
        </w:rPr>
        <w:t xml:space="preserve">Šajā situācijā, lai pamatotu, ka pasākumam ir vietējs raksturs, nepieciešama informācija, kura, piemēram, ietver finansējuma saņēmēja uzkrātus datus par </w:t>
      </w:r>
      <w:r w:rsidR="008E520B" w:rsidRPr="007D6BDA">
        <w:rPr>
          <w:sz w:val="28"/>
          <w:szCs w:val="28"/>
        </w:rPr>
        <w:t>apmeklētāju/</w:t>
      </w:r>
      <w:r w:rsidR="00716337" w:rsidRPr="007D6BDA">
        <w:rPr>
          <w:sz w:val="28"/>
          <w:szCs w:val="28"/>
        </w:rPr>
        <w:t>izglītojamo</w:t>
      </w:r>
      <w:r w:rsidRPr="007D6BDA">
        <w:rPr>
          <w:sz w:val="28"/>
          <w:szCs w:val="28"/>
        </w:rPr>
        <w:t xml:space="preserve"> sadalījum</w:t>
      </w:r>
      <w:r w:rsidR="00716337" w:rsidRPr="007D6BDA">
        <w:rPr>
          <w:sz w:val="28"/>
          <w:szCs w:val="28"/>
        </w:rPr>
        <w:t xml:space="preserve">u </w:t>
      </w:r>
      <w:r w:rsidRPr="007D6BDA">
        <w:rPr>
          <w:sz w:val="28"/>
          <w:szCs w:val="28"/>
        </w:rPr>
        <w:t xml:space="preserve">vietējie/ārvalstu </w:t>
      </w:r>
      <w:r w:rsidR="00716337" w:rsidRPr="007D6BDA">
        <w:rPr>
          <w:sz w:val="28"/>
          <w:szCs w:val="28"/>
        </w:rPr>
        <w:t>skolēni/studenti</w:t>
      </w:r>
      <w:r w:rsidRPr="007D6BDA">
        <w:rPr>
          <w:sz w:val="28"/>
          <w:szCs w:val="28"/>
        </w:rPr>
        <w:t>. Datiem ir jābūt pārbaudāmiem un ticamiem</w:t>
      </w:r>
      <w:r w:rsidR="001B0E5B" w:rsidRPr="007D6BDA">
        <w:rPr>
          <w:sz w:val="28"/>
          <w:szCs w:val="28"/>
        </w:rPr>
        <w:t xml:space="preserve"> </w:t>
      </w:r>
      <w:r w:rsidR="001B0E5B" w:rsidRPr="004B1562">
        <w:rPr>
          <w:sz w:val="28"/>
          <w:szCs w:val="28"/>
        </w:rPr>
        <w:t xml:space="preserve">(Pamatojumā ir izmantojami </w:t>
      </w:r>
      <w:r w:rsidR="00B02921" w:rsidRPr="004B1562">
        <w:rPr>
          <w:sz w:val="28"/>
          <w:szCs w:val="28"/>
        </w:rPr>
        <w:t xml:space="preserve">aktuālie </w:t>
      </w:r>
      <w:r w:rsidR="001B0E5B" w:rsidRPr="004B1562">
        <w:rPr>
          <w:sz w:val="28"/>
          <w:szCs w:val="28"/>
        </w:rPr>
        <w:t>dati, kas iekļauj informāciju</w:t>
      </w:r>
      <w:r w:rsidR="00B02921" w:rsidRPr="004B1562">
        <w:rPr>
          <w:sz w:val="28"/>
          <w:szCs w:val="28"/>
        </w:rPr>
        <w:t>, piemēram,</w:t>
      </w:r>
      <w:r w:rsidR="001B0E5B" w:rsidRPr="004B1562">
        <w:rPr>
          <w:sz w:val="28"/>
          <w:szCs w:val="28"/>
        </w:rPr>
        <w:t xml:space="preserve"> par diviem </w:t>
      </w:r>
      <w:r w:rsidR="00616E43" w:rsidRPr="004B1562">
        <w:rPr>
          <w:sz w:val="28"/>
          <w:szCs w:val="28"/>
        </w:rPr>
        <w:t>iepriekšējiem gadiem un sniedz prognozi</w:t>
      </w:r>
      <w:r w:rsidR="00054660" w:rsidRPr="004B1562">
        <w:rPr>
          <w:sz w:val="28"/>
          <w:szCs w:val="28"/>
        </w:rPr>
        <w:t xml:space="preserve"> </w:t>
      </w:r>
      <w:r w:rsidR="001B67FF" w:rsidRPr="004B1562">
        <w:rPr>
          <w:sz w:val="28"/>
          <w:szCs w:val="28"/>
        </w:rPr>
        <w:t>tekošā gada ietvaros</w:t>
      </w:r>
      <w:r w:rsidR="00131A25" w:rsidRPr="004B1562">
        <w:rPr>
          <w:sz w:val="28"/>
          <w:szCs w:val="28"/>
        </w:rPr>
        <w:t xml:space="preserve">. Šos datus uzkrāj gan par </w:t>
      </w:r>
      <w:r w:rsidR="007836E6" w:rsidRPr="004B1562">
        <w:rPr>
          <w:sz w:val="28"/>
          <w:szCs w:val="28"/>
        </w:rPr>
        <w:t xml:space="preserve">1. </w:t>
      </w:r>
      <w:r w:rsidR="00CD46F6" w:rsidRPr="004B1562">
        <w:rPr>
          <w:sz w:val="28"/>
          <w:szCs w:val="28"/>
        </w:rPr>
        <w:t xml:space="preserve">punktā minēto izvērtējumu – ieņēmumu/izdevumu sadalījumu, </w:t>
      </w:r>
      <w:r w:rsidR="00852D92" w:rsidRPr="004B1562">
        <w:rPr>
          <w:sz w:val="28"/>
          <w:szCs w:val="28"/>
        </w:rPr>
        <w:t xml:space="preserve">gan par </w:t>
      </w:r>
      <w:r w:rsidR="00131A25" w:rsidRPr="004B1562">
        <w:rPr>
          <w:sz w:val="28"/>
          <w:szCs w:val="28"/>
        </w:rPr>
        <w:t xml:space="preserve">1.2. apakšpunktā </w:t>
      </w:r>
      <w:r w:rsidR="007836E6" w:rsidRPr="004B1562">
        <w:rPr>
          <w:sz w:val="28"/>
          <w:szCs w:val="28"/>
        </w:rPr>
        <w:t xml:space="preserve">minēto, </w:t>
      </w:r>
      <w:r w:rsidR="00852D92" w:rsidRPr="004B1562">
        <w:rPr>
          <w:sz w:val="28"/>
          <w:szCs w:val="28"/>
        </w:rPr>
        <w:t>ja attiecināms</w:t>
      </w:r>
      <w:r w:rsidR="00FA0185" w:rsidRPr="004B1562">
        <w:rPr>
          <w:sz w:val="28"/>
          <w:szCs w:val="28"/>
        </w:rPr>
        <w:t>)</w:t>
      </w:r>
      <w:r w:rsidRPr="007D6BDA">
        <w:rPr>
          <w:sz w:val="28"/>
          <w:szCs w:val="28"/>
        </w:rPr>
        <w:t>, lai uzraugošās iestādes varētu pārliecināties par minētā kritērija piemērošanu konkrētajā situācijā</w:t>
      </w:r>
      <w:r w:rsidRPr="00E02FC0">
        <w:rPr>
          <w:sz w:val="28"/>
          <w:szCs w:val="28"/>
        </w:rPr>
        <w:t xml:space="preserve">. </w:t>
      </w:r>
    </w:p>
    <w:p w14:paraId="05643E1A" w14:textId="77777777" w:rsidR="00D56A7F" w:rsidRPr="00C94B6B" w:rsidRDefault="00D56A7F" w:rsidP="00D56A7F">
      <w:pPr>
        <w:pStyle w:val="xmsonormal"/>
        <w:jc w:val="both"/>
        <w:rPr>
          <w:sz w:val="28"/>
          <w:szCs w:val="28"/>
          <w:lang w:eastAsia="en-US"/>
        </w:rPr>
      </w:pPr>
    </w:p>
    <w:p w14:paraId="11707FC6" w14:textId="77777777" w:rsidR="00D56A7F" w:rsidRPr="004847F6" w:rsidRDefault="00D56A7F" w:rsidP="00D56A7F">
      <w:pPr>
        <w:pStyle w:val="tv2132"/>
        <w:widowControl w:val="0"/>
        <w:spacing w:line="240" w:lineRule="auto"/>
        <w:ind w:left="720" w:firstLine="0"/>
        <w:jc w:val="both"/>
        <w:rPr>
          <w:sz w:val="28"/>
          <w:szCs w:val="28"/>
          <w:lang w:eastAsia="en-US"/>
        </w:rPr>
      </w:pPr>
    </w:p>
    <w:tbl>
      <w:tblPr>
        <w:tblW w:w="949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5E5C31" w14:paraId="4C938DCC" w14:textId="77777777" w:rsidTr="782999A8">
        <w:trPr>
          <w:trHeight w:val="10120"/>
        </w:trPr>
        <w:tc>
          <w:tcPr>
            <w:tcW w:w="9493" w:type="dxa"/>
          </w:tcPr>
          <w:bookmarkEnd w:id="10"/>
          <w:p w14:paraId="53B39A75" w14:textId="5A34979D" w:rsidR="005E5C31" w:rsidRPr="00966E27" w:rsidRDefault="464A7D3D" w:rsidP="00B6302A">
            <w:pPr>
              <w:pStyle w:val="paragraph"/>
              <w:spacing w:before="0" w:beforeAutospacing="0" w:after="0" w:afterAutospacing="0"/>
              <w:ind w:left="194" w:firstLine="360"/>
              <w:jc w:val="both"/>
              <w:textAlignment w:val="baseline"/>
              <w:rPr>
                <w:rFonts w:eastAsiaTheme="majorEastAsia"/>
                <w:sz w:val="28"/>
                <w:szCs w:val="28"/>
              </w:rPr>
            </w:pPr>
            <w:r w:rsidRPr="782999A8">
              <w:rPr>
                <w:sz w:val="28"/>
                <w:szCs w:val="28"/>
                <w:lang w:eastAsia="en-US"/>
              </w:rPr>
              <w:lastRenderedPageBreak/>
              <w:t>L</w:t>
            </w:r>
            <w:r w:rsidRPr="782999A8">
              <w:rPr>
                <w:rStyle w:val="normaltextrun"/>
                <w:rFonts w:eastAsiaTheme="majorEastAsia"/>
                <w:sz w:val="28"/>
                <w:szCs w:val="28"/>
              </w:rPr>
              <w:t>ai pārliecinātos, ka projekts</w:t>
            </w:r>
            <w:r w:rsidR="00442835">
              <w:rPr>
                <w:rStyle w:val="normaltextrun"/>
                <w:rFonts w:eastAsiaTheme="majorEastAsia"/>
                <w:sz w:val="28"/>
                <w:szCs w:val="28"/>
              </w:rPr>
              <w:t xml:space="preserve"> kultūras un kultūrizglītības jomā</w:t>
            </w:r>
            <w:r w:rsidRPr="782999A8">
              <w:rPr>
                <w:rStyle w:val="normaltextrun"/>
                <w:rFonts w:eastAsiaTheme="majorEastAsia"/>
                <w:sz w:val="28"/>
                <w:szCs w:val="28"/>
              </w:rPr>
              <w:t xml:space="preserve"> aizvien ir brīvs no atbalsta komercdarbībai,</w:t>
            </w:r>
            <w:r w:rsidRPr="782999A8">
              <w:rPr>
                <w:b/>
                <w:bCs/>
                <w:sz w:val="28"/>
                <w:szCs w:val="28"/>
                <w:lang w:eastAsia="en-US"/>
              </w:rPr>
              <w:t xml:space="preserve"> </w:t>
            </w:r>
            <w:r w:rsidR="00442835">
              <w:rPr>
                <w:b/>
                <w:bCs/>
                <w:sz w:val="28"/>
                <w:szCs w:val="28"/>
                <w:lang w:eastAsia="en-US"/>
              </w:rPr>
              <w:t>f</w:t>
            </w:r>
            <w:r w:rsidRPr="782999A8">
              <w:rPr>
                <w:b/>
                <w:bCs/>
                <w:sz w:val="28"/>
                <w:szCs w:val="28"/>
                <w:lang w:eastAsia="en-US"/>
              </w:rPr>
              <w:t>inansējuma saņēmējs atbilstoši pašdeklarācijas principam un iepriekš sniegtajiem izvērtēšanas soļiem</w:t>
            </w:r>
            <w:r w:rsidRPr="782999A8">
              <w:rPr>
                <w:sz w:val="28"/>
                <w:szCs w:val="28"/>
                <w:lang w:eastAsia="en-US"/>
              </w:rPr>
              <w:t xml:space="preserve"> </w:t>
            </w:r>
            <w:r w:rsidRPr="782999A8">
              <w:rPr>
                <w:rStyle w:val="normaltextrun"/>
                <w:rFonts w:eastAsiaTheme="majorEastAsia"/>
                <w:sz w:val="28"/>
                <w:szCs w:val="28"/>
              </w:rPr>
              <w:t xml:space="preserve">visā projekta dzīves cikla laikā </w:t>
            </w:r>
            <w:r w:rsidRPr="782999A8">
              <w:rPr>
                <w:rStyle w:val="normaltextrun"/>
                <w:rFonts w:eastAsiaTheme="majorEastAsia"/>
                <w:b/>
                <w:bCs/>
                <w:sz w:val="28"/>
                <w:szCs w:val="28"/>
              </w:rPr>
              <w:t>reizi gadā līdz kārtējā gada 1.jūnijam</w:t>
            </w:r>
            <w:r w:rsidRPr="782999A8">
              <w:rPr>
                <w:rStyle w:val="normaltextrun"/>
                <w:rFonts w:eastAsiaTheme="majorEastAsia"/>
                <w:sz w:val="28"/>
                <w:szCs w:val="28"/>
              </w:rPr>
              <w:t xml:space="preserve"> izvērtē  ieņēmumu (piemēram, ieņēmumi no nomas, pasākumu biļešu tirdzniecības, studiju maksas u.c.) un kopējo izdevumu attiecību atbalstītajā infrastruktūrā. </w:t>
            </w:r>
            <w:r w:rsidRPr="782999A8">
              <w:rPr>
                <w:rStyle w:val="eop"/>
                <w:rFonts w:eastAsiaTheme="majorEastAsia"/>
                <w:sz w:val="28"/>
                <w:szCs w:val="28"/>
              </w:rPr>
              <w:t> </w:t>
            </w:r>
          </w:p>
          <w:p w14:paraId="2C39620E" w14:textId="4DCCB98B" w:rsidR="005E5C31" w:rsidRPr="001C547E" w:rsidRDefault="7163016B" w:rsidP="782999A8">
            <w:pPr>
              <w:pStyle w:val="paragraph"/>
              <w:spacing w:before="0" w:beforeAutospacing="0" w:after="0" w:afterAutospacing="0"/>
              <w:ind w:left="194" w:firstLine="709"/>
              <w:jc w:val="both"/>
              <w:textAlignment w:val="baseline"/>
              <w:rPr>
                <w:sz w:val="28"/>
                <w:szCs w:val="28"/>
              </w:rPr>
            </w:pPr>
            <w:r w:rsidRPr="782999A8">
              <w:rPr>
                <w:rStyle w:val="normaltextrun"/>
                <w:rFonts w:eastAsiaTheme="majorEastAsia"/>
                <w:b/>
                <w:bCs/>
                <w:color w:val="FF0000"/>
                <w:sz w:val="32"/>
                <w:szCs w:val="32"/>
              </w:rPr>
              <w:t>!</w:t>
            </w:r>
            <w:r w:rsidRPr="782999A8">
              <w:rPr>
                <w:rStyle w:val="normaltextrun"/>
                <w:rFonts w:eastAsiaTheme="majorEastAsia"/>
                <w:sz w:val="32"/>
                <w:szCs w:val="32"/>
              </w:rPr>
              <w:t xml:space="preserve"> </w:t>
            </w:r>
            <w:r w:rsidRPr="00105E38">
              <w:rPr>
                <w:rStyle w:val="normaltextrun"/>
                <w:rFonts w:eastAsiaTheme="majorEastAsia"/>
                <w:b/>
                <w:bCs/>
                <w:sz w:val="28"/>
                <w:szCs w:val="28"/>
              </w:rPr>
              <w:t xml:space="preserve">Ja ieņēmumu attiecība </w:t>
            </w:r>
            <w:r w:rsidRPr="00105E38">
              <w:rPr>
                <w:rStyle w:val="normaltextrun"/>
                <w:rFonts w:eastAsiaTheme="majorEastAsia"/>
                <w:b/>
                <w:bCs/>
                <w:sz w:val="28"/>
                <w:szCs w:val="28"/>
                <w:u w:val="single"/>
              </w:rPr>
              <w:t>nepārsniedz 50%</w:t>
            </w:r>
            <w:r w:rsidRPr="00105E38">
              <w:rPr>
                <w:rStyle w:val="normaltextrun"/>
                <w:rFonts w:eastAsiaTheme="majorEastAsia"/>
                <w:b/>
                <w:bCs/>
                <w:sz w:val="28"/>
                <w:szCs w:val="28"/>
              </w:rPr>
              <w:t xml:space="preserve"> pret iestādes kopējiem izdevumiem, tad projekts nav kvalificējams kā atbalsts </w:t>
            </w:r>
            <w:r w:rsidR="00442835">
              <w:rPr>
                <w:rStyle w:val="normaltextrun"/>
                <w:rFonts w:eastAsiaTheme="majorEastAsia"/>
                <w:b/>
                <w:bCs/>
                <w:sz w:val="28"/>
                <w:szCs w:val="28"/>
              </w:rPr>
              <w:t>saimnieciskai darbībai</w:t>
            </w:r>
            <w:r w:rsidR="00442835" w:rsidRPr="00105E38">
              <w:rPr>
                <w:rStyle w:val="normaltextrun"/>
                <w:rFonts w:eastAsiaTheme="majorEastAsia"/>
                <w:b/>
                <w:bCs/>
                <w:sz w:val="28"/>
                <w:szCs w:val="28"/>
              </w:rPr>
              <w:t xml:space="preserve"> </w:t>
            </w:r>
            <w:r w:rsidRPr="00105E38">
              <w:rPr>
                <w:rStyle w:val="normaltextrun"/>
                <w:rFonts w:eastAsiaTheme="majorEastAsia"/>
                <w:b/>
                <w:bCs/>
                <w:sz w:val="28"/>
                <w:szCs w:val="28"/>
              </w:rPr>
              <w:t xml:space="preserve">un turpmāka izvērtēšana </w:t>
            </w:r>
            <w:r w:rsidR="00442835">
              <w:rPr>
                <w:rStyle w:val="normaltextrun"/>
                <w:rFonts w:eastAsiaTheme="majorEastAsia"/>
                <w:b/>
                <w:bCs/>
                <w:sz w:val="28"/>
                <w:szCs w:val="28"/>
              </w:rPr>
              <w:t xml:space="preserve">komercdarbības atbalsta kontekstā </w:t>
            </w:r>
            <w:r w:rsidRPr="00105E38">
              <w:rPr>
                <w:rStyle w:val="normaltextrun"/>
                <w:rFonts w:eastAsiaTheme="majorEastAsia"/>
                <w:b/>
                <w:bCs/>
                <w:sz w:val="28"/>
                <w:szCs w:val="28"/>
              </w:rPr>
              <w:t>nav jāveic</w:t>
            </w:r>
            <w:r w:rsidRPr="782999A8">
              <w:rPr>
                <w:rStyle w:val="normaltextrun"/>
                <w:rFonts w:eastAsiaTheme="majorEastAsia"/>
                <w:sz w:val="28"/>
                <w:szCs w:val="28"/>
              </w:rPr>
              <w:t>.</w:t>
            </w:r>
            <w:r w:rsidRPr="782999A8">
              <w:rPr>
                <w:rStyle w:val="eop"/>
                <w:rFonts w:eastAsiaTheme="majorEastAsia"/>
                <w:sz w:val="28"/>
                <w:szCs w:val="28"/>
              </w:rPr>
              <w:t> </w:t>
            </w:r>
          </w:p>
          <w:p w14:paraId="5C1A6FF5" w14:textId="3BF820AA" w:rsidR="005E5C31" w:rsidRPr="001C547E" w:rsidRDefault="005E5C31" w:rsidP="007D43F9">
            <w:pPr>
              <w:pStyle w:val="paragraph"/>
              <w:spacing w:before="0" w:beforeAutospacing="0" w:after="0" w:afterAutospacing="0"/>
              <w:ind w:left="194" w:firstLine="709"/>
              <w:jc w:val="both"/>
              <w:textAlignment w:val="baseline"/>
              <w:rPr>
                <w:sz w:val="28"/>
                <w:szCs w:val="28"/>
              </w:rPr>
            </w:pPr>
            <w:r w:rsidRPr="005E5C31">
              <w:rPr>
                <w:rStyle w:val="normaltextrun"/>
                <w:rFonts w:eastAsiaTheme="majorEastAsia"/>
                <w:b/>
                <w:bCs/>
                <w:color w:val="FF0000"/>
                <w:sz w:val="32"/>
                <w:szCs w:val="32"/>
              </w:rPr>
              <w:t>!</w:t>
            </w:r>
            <w:r w:rsidRPr="001C547E">
              <w:rPr>
                <w:rStyle w:val="normaltextrun"/>
                <w:rFonts w:eastAsiaTheme="majorEastAsia"/>
                <w:sz w:val="28"/>
                <w:szCs w:val="28"/>
              </w:rPr>
              <w:t xml:space="preserve"> Ja tā tuvojas 50% robežai, finansējuma saņēmējam ieteicams izvērtēt, vai 50% robežas pārsniegšanas gadījumā nākamajos gados projekta dzīves cikla laikā finansējuma saņēmēja rīcībā būs dati vietējas ietekmes pamatošanai, atbilstoši 1.2.apakšpunktā minētajiem kritērijiem.</w:t>
            </w:r>
            <w:r w:rsidRPr="001C547E">
              <w:rPr>
                <w:rStyle w:val="eop"/>
                <w:rFonts w:eastAsiaTheme="majorEastAsia"/>
                <w:sz w:val="28"/>
                <w:szCs w:val="28"/>
              </w:rPr>
              <w:t> </w:t>
            </w:r>
          </w:p>
          <w:p w14:paraId="7D45F66C" w14:textId="7063A788" w:rsidR="005E5C31" w:rsidRPr="001C547E" w:rsidRDefault="005E5C31" w:rsidP="005E5C31">
            <w:pPr>
              <w:pStyle w:val="paragraph"/>
              <w:spacing w:before="0" w:beforeAutospacing="0" w:after="0" w:afterAutospacing="0"/>
              <w:ind w:left="194" w:firstLine="709"/>
              <w:jc w:val="both"/>
              <w:textAlignment w:val="baseline"/>
              <w:rPr>
                <w:sz w:val="28"/>
                <w:szCs w:val="28"/>
              </w:rPr>
            </w:pPr>
            <w:r w:rsidRPr="005E5C31">
              <w:rPr>
                <w:rStyle w:val="normaltextrun"/>
                <w:rFonts w:eastAsiaTheme="majorEastAsia"/>
                <w:b/>
                <w:bCs/>
                <w:color w:val="FF0000"/>
                <w:sz w:val="32"/>
                <w:szCs w:val="32"/>
              </w:rPr>
              <w:t>!</w:t>
            </w:r>
            <w:r w:rsidRPr="001C547E">
              <w:rPr>
                <w:rStyle w:val="normaltextrun"/>
                <w:rFonts w:eastAsiaTheme="majorEastAsia"/>
                <w:b/>
                <w:bCs/>
                <w:sz w:val="28"/>
                <w:szCs w:val="28"/>
              </w:rPr>
              <w:t xml:space="preserve"> </w:t>
            </w:r>
            <w:r w:rsidRPr="001C547E">
              <w:rPr>
                <w:rStyle w:val="normaltextrun"/>
                <w:rFonts w:eastAsiaTheme="majorEastAsia"/>
                <w:sz w:val="28"/>
                <w:szCs w:val="28"/>
              </w:rPr>
              <w:t xml:space="preserve">Ja pašu ieņēmumu un izdevumu attiecība </w:t>
            </w:r>
            <w:r w:rsidRPr="001C547E">
              <w:rPr>
                <w:rStyle w:val="normaltextrun"/>
                <w:rFonts w:eastAsiaTheme="majorEastAsia"/>
                <w:sz w:val="28"/>
                <w:szCs w:val="28"/>
                <w:u w:val="single"/>
              </w:rPr>
              <w:t>pārsniedz 50%</w:t>
            </w:r>
            <w:r w:rsidRPr="001C547E">
              <w:rPr>
                <w:rStyle w:val="normaltextrun"/>
                <w:rFonts w:eastAsiaTheme="majorEastAsia"/>
                <w:sz w:val="28"/>
                <w:szCs w:val="28"/>
              </w:rPr>
              <w:t xml:space="preserve"> robežu, tad finansējuma saņēmējs vērtē iespējamo ietekmi uz konkurenci un tirdzniecību Eiropas Savienības iekšējā tirgū, atbilstoši Komercdarbības atbalsta kontroles likuma 5.panta 4) punktā minētajai pazīmei jeb 1.2.apakšpunktā minētajiem kritērijiem</w:t>
            </w:r>
            <w:r w:rsidR="00442835">
              <w:rPr>
                <w:rStyle w:val="normaltextrun"/>
                <w:rFonts w:eastAsiaTheme="majorEastAsia"/>
                <w:sz w:val="28"/>
                <w:szCs w:val="28"/>
              </w:rPr>
              <w:t xml:space="preserve"> (kultūras un kultūrizglītības jomā)</w:t>
            </w:r>
            <w:r w:rsidRPr="001C547E">
              <w:rPr>
                <w:rStyle w:val="normaltextrun"/>
                <w:rFonts w:eastAsiaTheme="majorEastAsia"/>
                <w:sz w:val="28"/>
                <w:szCs w:val="28"/>
              </w:rPr>
              <w:t>. </w:t>
            </w:r>
            <w:r w:rsidRPr="001C547E">
              <w:rPr>
                <w:rStyle w:val="eop"/>
                <w:rFonts w:eastAsiaTheme="majorEastAsia"/>
                <w:sz w:val="28"/>
                <w:szCs w:val="28"/>
              </w:rPr>
              <w:t> </w:t>
            </w:r>
          </w:p>
          <w:p w14:paraId="000B8712" w14:textId="41F6D746" w:rsidR="005E5C31" w:rsidRPr="001C547E" w:rsidRDefault="005E5C31" w:rsidP="005E5C31">
            <w:pPr>
              <w:pStyle w:val="paragraph"/>
              <w:spacing w:before="0" w:beforeAutospacing="0" w:after="0" w:afterAutospacing="0"/>
              <w:ind w:left="194" w:firstLine="709"/>
              <w:jc w:val="both"/>
              <w:textAlignment w:val="baseline"/>
              <w:rPr>
                <w:sz w:val="28"/>
                <w:szCs w:val="28"/>
              </w:rPr>
            </w:pPr>
            <w:bookmarkStart w:id="11" w:name="_Hlk190782352"/>
            <w:r w:rsidRPr="005E5C31">
              <w:rPr>
                <w:rStyle w:val="normaltextrun"/>
                <w:rFonts w:eastAsiaTheme="majorEastAsia"/>
                <w:b/>
                <w:bCs/>
                <w:color w:val="FF0000"/>
                <w:sz w:val="32"/>
                <w:szCs w:val="32"/>
              </w:rPr>
              <w:t>!</w:t>
            </w:r>
            <w:r w:rsidRPr="001C547E">
              <w:rPr>
                <w:rStyle w:val="normaltextrun"/>
                <w:rFonts w:eastAsiaTheme="majorEastAsia"/>
                <w:b/>
                <w:bCs/>
                <w:sz w:val="28"/>
                <w:szCs w:val="28"/>
              </w:rPr>
              <w:t xml:space="preserve"> </w:t>
            </w:r>
            <w:bookmarkEnd w:id="11"/>
            <w:r w:rsidRPr="001C547E">
              <w:rPr>
                <w:rStyle w:val="normaltextrun"/>
                <w:rFonts w:eastAsiaTheme="majorEastAsia"/>
                <w:b/>
                <w:bCs/>
                <w:sz w:val="28"/>
                <w:szCs w:val="28"/>
              </w:rPr>
              <w:t xml:space="preserve">Ja situācija atbilst vismaz vienam no 1.2. apakšpunktā minētajiem kritērijiem, tad ietekme uz konkurenci netiek konstatēta, un </w:t>
            </w:r>
            <w:r w:rsidR="00442835">
              <w:rPr>
                <w:rStyle w:val="normaltextrun"/>
                <w:rFonts w:eastAsiaTheme="majorEastAsia"/>
                <w:b/>
                <w:bCs/>
                <w:sz w:val="28"/>
                <w:szCs w:val="28"/>
              </w:rPr>
              <w:t xml:space="preserve">atbalsts </w:t>
            </w:r>
            <w:r w:rsidRPr="001C547E">
              <w:rPr>
                <w:rStyle w:val="normaltextrun"/>
                <w:rFonts w:eastAsiaTheme="majorEastAsia"/>
                <w:b/>
                <w:bCs/>
                <w:sz w:val="28"/>
                <w:szCs w:val="28"/>
              </w:rPr>
              <w:t>projekt</w:t>
            </w:r>
            <w:r w:rsidR="00442835">
              <w:rPr>
                <w:rStyle w:val="normaltextrun"/>
                <w:rFonts w:eastAsiaTheme="majorEastAsia"/>
                <w:b/>
                <w:bCs/>
                <w:sz w:val="28"/>
                <w:szCs w:val="28"/>
              </w:rPr>
              <w:t>am</w:t>
            </w:r>
            <w:r w:rsidRPr="001C547E">
              <w:rPr>
                <w:rStyle w:val="normaltextrun"/>
                <w:rFonts w:eastAsiaTheme="majorEastAsia"/>
                <w:b/>
                <w:bCs/>
                <w:sz w:val="28"/>
                <w:szCs w:val="28"/>
              </w:rPr>
              <w:t xml:space="preserve"> nav kvalificējams kā atbalsts komercdarbībai.</w:t>
            </w:r>
            <w:r w:rsidRPr="001C547E">
              <w:rPr>
                <w:rStyle w:val="normaltextrun"/>
                <w:rFonts w:eastAsiaTheme="majorEastAsia"/>
                <w:sz w:val="28"/>
                <w:szCs w:val="28"/>
              </w:rPr>
              <w:t> </w:t>
            </w:r>
            <w:r w:rsidRPr="001C547E">
              <w:rPr>
                <w:rStyle w:val="eop"/>
                <w:rFonts w:eastAsiaTheme="majorEastAsia"/>
                <w:sz w:val="28"/>
                <w:szCs w:val="28"/>
              </w:rPr>
              <w:t> </w:t>
            </w:r>
          </w:p>
          <w:p w14:paraId="55497E80" w14:textId="18E05721" w:rsidR="005E5C31" w:rsidRDefault="0025669C" w:rsidP="005E5C31">
            <w:pPr>
              <w:pStyle w:val="paragraph"/>
              <w:spacing w:before="0" w:beforeAutospacing="0" w:after="0" w:afterAutospacing="0"/>
              <w:ind w:left="194" w:firstLine="720"/>
              <w:jc w:val="both"/>
              <w:textAlignment w:val="baseline"/>
              <w:rPr>
                <w:rStyle w:val="eop"/>
                <w:rFonts w:eastAsiaTheme="majorEastAsia"/>
                <w:sz w:val="28"/>
                <w:szCs w:val="28"/>
              </w:rPr>
            </w:pPr>
            <w:r w:rsidRPr="005E5C31">
              <w:rPr>
                <w:rStyle w:val="normaltextrun"/>
                <w:rFonts w:eastAsiaTheme="majorEastAsia"/>
                <w:b/>
                <w:bCs/>
                <w:color w:val="FF0000"/>
                <w:sz w:val="32"/>
                <w:szCs w:val="32"/>
              </w:rPr>
              <w:t>!</w:t>
            </w:r>
            <w:r>
              <w:rPr>
                <w:rStyle w:val="normaltextrun"/>
                <w:rFonts w:eastAsiaTheme="majorEastAsia"/>
                <w:b/>
                <w:bCs/>
                <w:color w:val="FF0000"/>
                <w:sz w:val="32"/>
                <w:szCs w:val="32"/>
              </w:rPr>
              <w:t xml:space="preserve"> </w:t>
            </w:r>
            <w:r w:rsidR="005E5C31" w:rsidRPr="001C547E">
              <w:rPr>
                <w:rStyle w:val="normaltextrun"/>
                <w:rFonts w:eastAsiaTheme="majorEastAsia"/>
                <w:sz w:val="28"/>
                <w:szCs w:val="28"/>
              </w:rPr>
              <w:t>Ja neviens no vietējas ietekmes kritērijiem nav pierādāms, tad finansējuma saņēmējam jāinformē CFLA, ka sniegtais atbalsts uzskatāms par atbalstu komercdarbībai. Attiecīgi CFLA, sadarbojoties ar finansējuma saņēmēju, izvērtē iespēju piemērot Eiropas Komisijas regulas Nr.  </w:t>
            </w:r>
            <w:hyperlink r:id="rId11" w:tgtFrame="_blank" w:history="1">
              <w:r w:rsidR="005E5C31" w:rsidRPr="001C547E">
                <w:rPr>
                  <w:rStyle w:val="normaltextrun"/>
                  <w:rFonts w:eastAsiaTheme="majorEastAsia"/>
                  <w:color w:val="467886"/>
                  <w:sz w:val="28"/>
                  <w:szCs w:val="28"/>
                  <w:u w:val="single"/>
                </w:rPr>
                <w:t>651/2014</w:t>
              </w:r>
            </w:hyperlink>
            <w:r w:rsidR="005E5C31" w:rsidRPr="001C547E">
              <w:rPr>
                <w:rStyle w:val="normaltextrun"/>
                <w:rFonts w:eastAsiaTheme="majorEastAsia"/>
                <w:sz w:val="28"/>
                <w:szCs w:val="28"/>
              </w:rPr>
              <w:t> 53. pantu.</w:t>
            </w:r>
            <w:r w:rsidR="005E5C31" w:rsidRPr="001C547E">
              <w:rPr>
                <w:rStyle w:val="eop"/>
                <w:rFonts w:eastAsiaTheme="majorEastAsia"/>
                <w:sz w:val="28"/>
                <w:szCs w:val="28"/>
              </w:rPr>
              <w:t> </w:t>
            </w:r>
            <w:r w:rsidR="005E5C31" w:rsidRPr="001C547E">
              <w:rPr>
                <w:sz w:val="28"/>
                <w:szCs w:val="28"/>
              </w:rPr>
              <w:t xml:space="preserve"> </w:t>
            </w:r>
            <w:r w:rsidR="005E5C31" w:rsidRPr="001C547E">
              <w:rPr>
                <w:rStyle w:val="normaltextrun"/>
                <w:rFonts w:eastAsiaTheme="majorEastAsia"/>
                <w:sz w:val="28"/>
                <w:szCs w:val="28"/>
              </w:rPr>
              <w:t>Ja regulas Nr.  </w:t>
            </w:r>
            <w:hyperlink r:id="rId12" w:tgtFrame="_blank" w:history="1">
              <w:r w:rsidR="005E5C31" w:rsidRPr="001C547E">
                <w:rPr>
                  <w:rStyle w:val="normaltextrun"/>
                  <w:rFonts w:eastAsiaTheme="majorEastAsia"/>
                  <w:color w:val="467886"/>
                  <w:sz w:val="28"/>
                  <w:szCs w:val="28"/>
                  <w:u w:val="single"/>
                </w:rPr>
                <w:t>651/2014</w:t>
              </w:r>
            </w:hyperlink>
            <w:r w:rsidR="005E5C31" w:rsidRPr="001C547E">
              <w:rPr>
                <w:rStyle w:val="normaltextrun"/>
                <w:rFonts w:eastAsiaTheme="majorEastAsia"/>
                <w:sz w:val="28"/>
                <w:szCs w:val="28"/>
              </w:rPr>
              <w:t> 53. panta nosacījumus nav iespējams piemērot, piešķirtais atbalsts ir nelikumīgs komercdarbības atbalsts un CFLA piemēro  nelikumīgā komercdarbības atbalsta atgūšanas normas</w:t>
            </w:r>
            <w:r w:rsidR="00105E38">
              <w:rPr>
                <w:rStyle w:val="FootnoteReference"/>
                <w:rFonts w:eastAsiaTheme="majorEastAsia"/>
                <w:sz w:val="28"/>
                <w:szCs w:val="28"/>
              </w:rPr>
              <w:footnoteReference w:id="16"/>
            </w:r>
            <w:r w:rsidR="005E5C31" w:rsidRPr="001C547E">
              <w:rPr>
                <w:rStyle w:val="normaltextrun"/>
                <w:rFonts w:eastAsiaTheme="majorEastAsia"/>
                <w:sz w:val="28"/>
                <w:szCs w:val="28"/>
              </w:rPr>
              <w:t>.</w:t>
            </w:r>
            <w:r w:rsidR="005E5C31" w:rsidRPr="001C547E">
              <w:rPr>
                <w:rStyle w:val="eop"/>
                <w:rFonts w:eastAsiaTheme="majorEastAsia"/>
                <w:sz w:val="28"/>
                <w:szCs w:val="28"/>
              </w:rPr>
              <w:t> </w:t>
            </w:r>
          </w:p>
          <w:p w14:paraId="4137D192" w14:textId="77777777" w:rsidR="00B9427D" w:rsidRDefault="00B9427D" w:rsidP="005E5C31">
            <w:pPr>
              <w:pStyle w:val="paragraph"/>
              <w:spacing w:before="0" w:beforeAutospacing="0" w:after="0" w:afterAutospacing="0"/>
              <w:ind w:left="194" w:firstLine="720"/>
              <w:jc w:val="both"/>
              <w:textAlignment w:val="baseline"/>
              <w:rPr>
                <w:rStyle w:val="eop"/>
                <w:rFonts w:eastAsiaTheme="majorEastAsia"/>
                <w:sz w:val="28"/>
                <w:szCs w:val="28"/>
              </w:rPr>
            </w:pPr>
          </w:p>
          <w:p w14:paraId="4CEF5A2E" w14:textId="0D1BD88D" w:rsidR="00731029" w:rsidRDefault="00731029" w:rsidP="00731029">
            <w:pPr>
              <w:pStyle w:val="paragraph"/>
              <w:spacing w:before="0" w:beforeAutospacing="0" w:after="0" w:afterAutospacing="0"/>
              <w:ind w:left="194" w:firstLine="720"/>
              <w:jc w:val="both"/>
              <w:textAlignment w:val="baseline"/>
              <w:rPr>
                <w:sz w:val="28"/>
                <w:szCs w:val="28"/>
              </w:rPr>
            </w:pPr>
            <w:r w:rsidRPr="005E5C31">
              <w:rPr>
                <w:rStyle w:val="normaltextrun"/>
                <w:rFonts w:eastAsiaTheme="majorEastAsia"/>
                <w:b/>
                <w:bCs/>
                <w:color w:val="FF0000"/>
                <w:sz w:val="32"/>
                <w:szCs w:val="32"/>
              </w:rPr>
              <w:t>!</w:t>
            </w:r>
            <w:r w:rsidRPr="00731029">
              <w:rPr>
                <w:rStyle w:val="normaltextrun"/>
                <w:rFonts w:eastAsiaTheme="majorEastAsia"/>
                <w:b/>
                <w:color w:val="FF0000"/>
                <w:sz w:val="32"/>
              </w:rPr>
              <w:t xml:space="preserve"> </w:t>
            </w:r>
            <w:r w:rsidRPr="00567D7F">
              <w:rPr>
                <w:sz w:val="28"/>
                <w:szCs w:val="28"/>
              </w:rPr>
              <w:t>Kultūrizglītības iestādēs, kurās ir izveidota infrastruktūra ar koncertzāles funkciju un tajā darbojas 2 lietotāji (juridiskie subjekti), piemēram, gan kultūrizglītības iestāde, gan SIA, ieņēmumu/izdevumu sadaļu pēc kultūras nozares kritērijiem katra iestāde vērtē atsevišķi.</w:t>
            </w:r>
          </w:p>
          <w:p w14:paraId="0CD68125" w14:textId="77777777" w:rsidR="00B9427D" w:rsidRDefault="00B9427D" w:rsidP="00731029">
            <w:pPr>
              <w:pStyle w:val="paragraph"/>
              <w:spacing w:before="0" w:beforeAutospacing="0" w:after="0" w:afterAutospacing="0"/>
              <w:ind w:left="194" w:firstLine="720"/>
              <w:jc w:val="both"/>
              <w:textAlignment w:val="baseline"/>
              <w:rPr>
                <w:rStyle w:val="eop"/>
                <w:rFonts w:eastAsiaTheme="majorEastAsia"/>
                <w:sz w:val="28"/>
                <w:szCs w:val="28"/>
              </w:rPr>
            </w:pPr>
          </w:p>
          <w:p w14:paraId="10F72F2C" w14:textId="5723D602" w:rsidR="00FA1CEE" w:rsidRPr="001C547E" w:rsidRDefault="000F687B" w:rsidP="005E5C31">
            <w:pPr>
              <w:pStyle w:val="paragraph"/>
              <w:spacing w:before="0" w:beforeAutospacing="0" w:after="0" w:afterAutospacing="0"/>
              <w:ind w:left="194" w:firstLine="720"/>
              <w:jc w:val="both"/>
              <w:textAlignment w:val="baseline"/>
              <w:rPr>
                <w:sz w:val="28"/>
                <w:szCs w:val="28"/>
              </w:rPr>
            </w:pPr>
            <w:r w:rsidRPr="005E5C31">
              <w:rPr>
                <w:rStyle w:val="normaltextrun"/>
                <w:rFonts w:eastAsiaTheme="majorEastAsia"/>
                <w:b/>
                <w:bCs/>
                <w:color w:val="FF0000"/>
                <w:sz w:val="32"/>
                <w:szCs w:val="32"/>
              </w:rPr>
              <w:t>!</w:t>
            </w:r>
            <w:r w:rsidRPr="001C547E">
              <w:rPr>
                <w:rStyle w:val="normaltextrun"/>
                <w:rFonts w:eastAsiaTheme="majorEastAsia"/>
                <w:b/>
                <w:bCs/>
                <w:sz w:val="28"/>
                <w:szCs w:val="28"/>
              </w:rPr>
              <w:t xml:space="preserve"> </w:t>
            </w:r>
            <w:r>
              <w:rPr>
                <w:rStyle w:val="normaltextrun"/>
                <w:rFonts w:eastAsiaTheme="majorEastAsia"/>
                <w:b/>
                <w:bCs/>
                <w:sz w:val="28"/>
                <w:szCs w:val="28"/>
              </w:rPr>
              <w:t xml:space="preserve"> </w:t>
            </w:r>
            <w:r w:rsidR="00FA1CEE" w:rsidRPr="00C26D7B">
              <w:rPr>
                <w:rStyle w:val="eop"/>
                <w:rFonts w:eastAsiaTheme="majorEastAsia"/>
                <w:sz w:val="28"/>
                <w:szCs w:val="28"/>
              </w:rPr>
              <w:t xml:space="preserve">Finansējums saņēmējs uzkrāj datus par veikto izvērtēšanu un </w:t>
            </w:r>
            <w:r w:rsidR="00FA1CEE" w:rsidRPr="00966E27">
              <w:rPr>
                <w:sz w:val="28"/>
                <w:szCs w:val="28"/>
              </w:rPr>
              <w:t xml:space="preserve">nodrošina pārskatu un aprēķinus pamatojošo dokumentu pieejamību komercdarbības </w:t>
            </w:r>
            <w:r w:rsidR="00223850">
              <w:rPr>
                <w:sz w:val="28"/>
                <w:szCs w:val="28"/>
              </w:rPr>
              <w:lastRenderedPageBreak/>
              <w:t xml:space="preserve">nosacījumu piemērošanas </w:t>
            </w:r>
            <w:r w:rsidR="00FA1CEE" w:rsidRPr="00966E27">
              <w:rPr>
                <w:sz w:val="28"/>
                <w:szCs w:val="28"/>
              </w:rPr>
              <w:t>uzraudzībai CFLA</w:t>
            </w:r>
            <w:r w:rsidR="00FA1CEE">
              <w:rPr>
                <w:sz w:val="28"/>
                <w:szCs w:val="28"/>
              </w:rPr>
              <w:t>,</w:t>
            </w:r>
            <w:r w:rsidR="00FA1CEE">
              <w:t xml:space="preserve"> </w:t>
            </w:r>
            <w:r w:rsidR="00FA1CEE" w:rsidRPr="00966E27">
              <w:rPr>
                <w:sz w:val="28"/>
                <w:szCs w:val="28"/>
              </w:rPr>
              <w:t xml:space="preserve">ņemot vērā </w:t>
            </w:r>
            <w:r w:rsidR="00FA1CEE">
              <w:rPr>
                <w:sz w:val="28"/>
                <w:szCs w:val="28"/>
              </w:rPr>
              <w:t>iespējamās</w:t>
            </w:r>
            <w:r w:rsidR="00FA1CEE" w:rsidRPr="00966E27">
              <w:rPr>
                <w:sz w:val="28"/>
                <w:szCs w:val="28"/>
              </w:rPr>
              <w:t xml:space="preserve"> pārbaudes </w:t>
            </w:r>
            <w:r w:rsidR="00FA1CEE">
              <w:rPr>
                <w:sz w:val="28"/>
                <w:szCs w:val="28"/>
              </w:rPr>
              <w:t xml:space="preserve">projekta dzīves cikla laikā, </w:t>
            </w:r>
            <w:r w:rsidR="00FA1CEE" w:rsidRPr="00966E27">
              <w:rPr>
                <w:rStyle w:val="cf01"/>
                <w:rFonts w:ascii="Times New Roman" w:eastAsiaTheme="majorEastAsia" w:hAnsi="Times New Roman" w:cs="Times New Roman"/>
                <w:sz w:val="28"/>
                <w:szCs w:val="28"/>
              </w:rPr>
              <w:t>tai skaitā gadījumos, kad saņemta informācija par kultūras nosacījumu pārkāpumu no kompetentām iestādēm vai no trešajām personām</w:t>
            </w:r>
            <w:r>
              <w:rPr>
                <w:rStyle w:val="cf01"/>
                <w:rFonts w:ascii="Times New Roman" w:eastAsiaTheme="majorEastAsia" w:hAnsi="Times New Roman" w:cs="Times New Roman"/>
                <w:sz w:val="28"/>
                <w:szCs w:val="28"/>
              </w:rPr>
              <w:t>,</w:t>
            </w:r>
            <w:r>
              <w:rPr>
                <w:rStyle w:val="cf01"/>
                <w:rFonts w:ascii="Times New Roman" w:eastAsiaTheme="majorEastAsia" w:hAnsi="Times New Roman" w:cs="Times New Roman"/>
              </w:rPr>
              <w:t xml:space="preserve"> </w:t>
            </w:r>
            <w:r w:rsidR="00D607D1">
              <w:rPr>
                <w:rStyle w:val="cf01"/>
                <w:rFonts w:ascii="Times New Roman" w:eastAsiaTheme="majorEastAsia" w:hAnsi="Times New Roman" w:cs="Times New Roman"/>
                <w:sz w:val="28"/>
                <w:szCs w:val="28"/>
              </w:rPr>
              <w:t>kā arī</w:t>
            </w:r>
            <w:r w:rsidR="00994160">
              <w:rPr>
                <w:rStyle w:val="cf01"/>
                <w:rFonts w:ascii="Times New Roman" w:eastAsiaTheme="majorEastAsia" w:hAnsi="Times New Roman" w:cs="Times New Roman"/>
                <w:sz w:val="28"/>
                <w:szCs w:val="28"/>
              </w:rPr>
              <w:t>, lai nodrošinātu informāciju</w:t>
            </w:r>
            <w:r w:rsidR="00D607D1">
              <w:rPr>
                <w:rStyle w:val="cf01"/>
                <w:rFonts w:ascii="Times New Roman" w:eastAsiaTheme="majorEastAsia" w:hAnsi="Times New Roman" w:cs="Times New Roman"/>
                <w:sz w:val="28"/>
                <w:szCs w:val="28"/>
              </w:rPr>
              <w:t xml:space="preserve"> plānot</w:t>
            </w:r>
            <w:r w:rsidR="00994160">
              <w:rPr>
                <w:rStyle w:val="cf01"/>
                <w:rFonts w:ascii="Times New Roman" w:eastAsiaTheme="majorEastAsia" w:hAnsi="Times New Roman" w:cs="Times New Roman"/>
                <w:sz w:val="28"/>
                <w:szCs w:val="28"/>
              </w:rPr>
              <w:t>ajām</w:t>
            </w:r>
            <w:r w:rsidR="00D607D1">
              <w:rPr>
                <w:rStyle w:val="cf01"/>
                <w:rFonts w:ascii="Times New Roman" w:eastAsiaTheme="majorEastAsia" w:hAnsi="Times New Roman" w:cs="Times New Roman"/>
                <w:sz w:val="28"/>
                <w:szCs w:val="28"/>
              </w:rPr>
              <w:t xml:space="preserve"> </w:t>
            </w:r>
            <w:r w:rsidR="00FA1CEE" w:rsidRPr="00966E27">
              <w:rPr>
                <w:sz w:val="28"/>
                <w:szCs w:val="28"/>
              </w:rPr>
              <w:t xml:space="preserve">izlases veida </w:t>
            </w:r>
            <w:r w:rsidR="00E20CA4">
              <w:rPr>
                <w:sz w:val="28"/>
                <w:szCs w:val="28"/>
              </w:rPr>
              <w:t>pārbaud</w:t>
            </w:r>
            <w:r w:rsidR="00994160">
              <w:rPr>
                <w:sz w:val="28"/>
                <w:szCs w:val="28"/>
              </w:rPr>
              <w:t>ēm</w:t>
            </w:r>
            <w:r w:rsidR="00E20CA4">
              <w:rPr>
                <w:sz w:val="28"/>
                <w:szCs w:val="28"/>
              </w:rPr>
              <w:t xml:space="preserve"> pēc</w:t>
            </w:r>
            <w:r w:rsidR="00FA1CEE" w:rsidRPr="00966E27">
              <w:rPr>
                <w:sz w:val="28"/>
                <w:szCs w:val="28"/>
              </w:rPr>
              <w:t xml:space="preserve"> projekta dzīves cikla beigām.</w:t>
            </w:r>
          </w:p>
          <w:p w14:paraId="06858D8A" w14:textId="77777777" w:rsidR="005E5C31" w:rsidRDefault="005E5C31" w:rsidP="005E5C31">
            <w:pPr>
              <w:pStyle w:val="paragraph"/>
              <w:spacing w:before="0" w:after="0"/>
              <w:ind w:left="194" w:firstLine="360"/>
              <w:jc w:val="both"/>
              <w:textAlignment w:val="baseline"/>
              <w:rPr>
                <w:sz w:val="28"/>
                <w:szCs w:val="28"/>
                <w:lang w:eastAsia="en-US"/>
              </w:rPr>
            </w:pPr>
          </w:p>
        </w:tc>
      </w:tr>
    </w:tbl>
    <w:p w14:paraId="1E10257A" w14:textId="323A2780" w:rsidR="001977D9" w:rsidRPr="001977D9" w:rsidRDefault="001977D9" w:rsidP="001977D9">
      <w:pPr>
        <w:tabs>
          <w:tab w:val="left" w:pos="1080"/>
        </w:tabs>
        <w:rPr>
          <w:rFonts w:ascii="Times New Roman" w:hAnsi="Times New Roman" w:cs="Times New Roman"/>
          <w:sz w:val="28"/>
          <w:szCs w:val="28"/>
        </w:rPr>
        <w:sectPr w:rsidR="001977D9" w:rsidRPr="001977D9" w:rsidSect="00D56A7F">
          <w:footerReference w:type="default" r:id="rId13"/>
          <w:pgSz w:w="11906" w:h="16838"/>
          <w:pgMar w:top="1418" w:right="1134" w:bottom="1134" w:left="1701" w:header="708" w:footer="708" w:gutter="0"/>
          <w:cols w:space="708"/>
          <w:titlePg/>
          <w:docGrid w:linePitch="360"/>
        </w:sectPr>
      </w:pPr>
      <w:r>
        <w:rPr>
          <w:rFonts w:ascii="Times New Roman" w:hAnsi="Times New Roman" w:cs="Times New Roman"/>
          <w:sz w:val="28"/>
          <w:szCs w:val="28"/>
        </w:rPr>
        <w:lastRenderedPageBreak/>
        <w:tab/>
      </w:r>
    </w:p>
    <w:p w14:paraId="6C0A2D3F" w14:textId="77777777" w:rsidR="00D56A7F" w:rsidRDefault="00D56A7F" w:rsidP="00D56A7F">
      <w:pPr>
        <w:rPr>
          <w:lang w:eastAsia="lv-LV"/>
        </w:rPr>
      </w:pPr>
      <w:bookmarkStart w:id="12" w:name="_1.pielikums"/>
      <w:bookmarkStart w:id="13" w:name="_2.pielikums"/>
      <w:bookmarkEnd w:id="12"/>
      <w:bookmarkEnd w:id="13"/>
    </w:p>
    <w:p w14:paraId="5D76B542" w14:textId="22FB7705" w:rsidR="00D56A7F" w:rsidRPr="00DD231F" w:rsidRDefault="00550DBA" w:rsidP="00D56A7F">
      <w:pPr>
        <w:pStyle w:val="Heading1"/>
        <w:ind w:left="432" w:hanging="432"/>
        <w:jc w:val="right"/>
        <w:rPr>
          <w:rFonts w:ascii="Times New Roman" w:hAnsi="Times New Roman" w:cs="Times New Roman"/>
          <w:sz w:val="28"/>
          <w:szCs w:val="28"/>
        </w:rPr>
      </w:pPr>
      <w:bookmarkStart w:id="14" w:name="_Toc82167920"/>
      <w:bookmarkStart w:id="15" w:name="_Toc1468900942"/>
      <w:r w:rsidRPr="04F86BB4">
        <w:rPr>
          <w:rFonts w:ascii="Times New Roman" w:hAnsi="Times New Roman" w:cs="Times New Roman"/>
          <w:sz w:val="28"/>
          <w:szCs w:val="28"/>
        </w:rPr>
        <w:t>1</w:t>
      </w:r>
      <w:r w:rsidR="00D56A7F" w:rsidRPr="04F86BB4">
        <w:rPr>
          <w:rFonts w:ascii="Times New Roman" w:hAnsi="Times New Roman" w:cs="Times New Roman"/>
          <w:sz w:val="28"/>
          <w:szCs w:val="28"/>
        </w:rPr>
        <w:t>.pielikums</w:t>
      </w:r>
      <w:bookmarkEnd w:id="14"/>
      <w:bookmarkEnd w:id="15"/>
    </w:p>
    <w:p w14:paraId="2E148A0E" w14:textId="782A07A4" w:rsidR="00D56A7F" w:rsidRDefault="00550DBA" w:rsidP="00E02FC0">
      <w:pPr>
        <w:jc w:val="center"/>
        <w:rPr>
          <w:rFonts w:ascii="Times New Roman" w:hAnsi="Times New Roman" w:cs="Times New Roman"/>
          <w:b/>
          <w:bCs/>
          <w:sz w:val="24"/>
          <w:szCs w:val="24"/>
        </w:rPr>
      </w:pPr>
      <w:r w:rsidRPr="04F86BB4">
        <w:rPr>
          <w:rFonts w:ascii="Times New Roman" w:hAnsi="Times New Roman" w:cs="Times New Roman"/>
          <w:b/>
          <w:bCs/>
          <w:sz w:val="24"/>
          <w:szCs w:val="24"/>
        </w:rPr>
        <w:t xml:space="preserve">ES fondu </w:t>
      </w:r>
      <w:r w:rsidR="00D56A7F" w:rsidRPr="04F86BB4">
        <w:rPr>
          <w:rFonts w:ascii="Times New Roman" w:hAnsi="Times New Roman" w:cs="Times New Roman"/>
          <w:b/>
          <w:bCs/>
          <w:sz w:val="24"/>
          <w:szCs w:val="24"/>
        </w:rPr>
        <w:t xml:space="preserve">finansējuma saņēmēja </w:t>
      </w:r>
      <w:r w:rsidR="380D9F9D" w:rsidRPr="04F86BB4">
        <w:rPr>
          <w:rFonts w:ascii="Times New Roman" w:hAnsi="Times New Roman" w:cs="Times New Roman"/>
          <w:b/>
          <w:bCs/>
          <w:sz w:val="24"/>
          <w:szCs w:val="24"/>
        </w:rPr>
        <w:t>apkopojamie</w:t>
      </w:r>
      <w:r w:rsidR="00D56A7F" w:rsidRPr="04F86BB4">
        <w:rPr>
          <w:rFonts w:ascii="Times New Roman" w:hAnsi="Times New Roman" w:cs="Times New Roman"/>
          <w:b/>
          <w:bCs/>
          <w:sz w:val="24"/>
          <w:szCs w:val="24"/>
        </w:rPr>
        <w:t xml:space="preserve"> dati </w:t>
      </w:r>
    </w:p>
    <w:p w14:paraId="64D99AFD" w14:textId="1560715B" w:rsidR="00A15886" w:rsidRPr="00924E13" w:rsidRDefault="00A15886" w:rsidP="00D56A7F">
      <w:pPr>
        <w:jc w:val="center"/>
        <w:rPr>
          <w:rFonts w:ascii="Times New Roman" w:hAnsi="Times New Roman" w:cs="Times New Roman"/>
          <w:b/>
          <w:sz w:val="24"/>
          <w:szCs w:val="24"/>
        </w:rPr>
      </w:pPr>
      <w:r>
        <w:rPr>
          <w:rFonts w:ascii="Times New Roman" w:hAnsi="Times New Roman" w:cs="Times New Roman"/>
          <w:b/>
          <w:sz w:val="24"/>
          <w:szCs w:val="24"/>
        </w:rPr>
        <w:t>PARAUGS</w:t>
      </w:r>
    </w:p>
    <w:p w14:paraId="65011632" w14:textId="3653B85C" w:rsidR="00D56A7F" w:rsidRDefault="00D56A7F" w:rsidP="00D56A7F">
      <w:pPr>
        <w:tabs>
          <w:tab w:val="left" w:pos="2430"/>
        </w:tabs>
        <w:rPr>
          <w:rFonts w:ascii="Times New Roman" w:hAnsi="Times New Roman" w:cs="Times New Roman"/>
          <w:sz w:val="24"/>
          <w:szCs w:val="24"/>
        </w:rPr>
      </w:pPr>
      <w:r>
        <w:rPr>
          <w:rFonts w:ascii="Times New Roman" w:hAnsi="Times New Roman" w:cs="Times New Roman"/>
          <w:sz w:val="24"/>
          <w:szCs w:val="24"/>
        </w:rPr>
        <w:t>Atskaites periods: par _______</w:t>
      </w:r>
      <w:r w:rsidR="004E2DAC">
        <w:rPr>
          <w:rFonts w:ascii="Times New Roman" w:hAnsi="Times New Roman" w:cs="Times New Roman"/>
          <w:sz w:val="24"/>
          <w:szCs w:val="24"/>
        </w:rPr>
        <w:t xml:space="preserve">. </w:t>
      </w:r>
      <w:r>
        <w:rPr>
          <w:rFonts w:ascii="Times New Roman" w:hAnsi="Times New Roman" w:cs="Times New Roman"/>
          <w:sz w:val="24"/>
          <w:szCs w:val="24"/>
        </w:rPr>
        <w:t>gadu</w:t>
      </w:r>
    </w:p>
    <w:p w14:paraId="75BD7791" w14:textId="77777777" w:rsidR="00D56A7F" w:rsidRDefault="00D56A7F" w:rsidP="00D56A7F">
      <w:pPr>
        <w:tabs>
          <w:tab w:val="left" w:pos="2430"/>
        </w:tabs>
        <w:rPr>
          <w:rFonts w:ascii="Times New Roman" w:hAnsi="Times New Roman" w:cs="Times New Roman"/>
          <w:sz w:val="24"/>
          <w:szCs w:val="24"/>
        </w:rPr>
      </w:pPr>
      <w:r>
        <w:rPr>
          <w:rFonts w:ascii="Times New Roman" w:hAnsi="Times New Roman" w:cs="Times New Roman"/>
          <w:sz w:val="24"/>
          <w:szCs w:val="24"/>
        </w:rPr>
        <w:t xml:space="preserve">Projekta numurs: </w:t>
      </w:r>
    </w:p>
    <w:p w14:paraId="25EB7220" w14:textId="2BBF98CE" w:rsidR="004E2DAC" w:rsidRDefault="004E2DAC" w:rsidP="00D56A7F">
      <w:pPr>
        <w:tabs>
          <w:tab w:val="left" w:pos="2430"/>
        </w:tabs>
        <w:rPr>
          <w:rFonts w:ascii="Times New Roman" w:hAnsi="Times New Roman" w:cs="Times New Roman"/>
          <w:sz w:val="24"/>
          <w:szCs w:val="24"/>
        </w:rPr>
      </w:pPr>
      <w:r>
        <w:rPr>
          <w:rFonts w:ascii="Times New Roman" w:hAnsi="Times New Roman" w:cs="Times New Roman"/>
          <w:sz w:val="24"/>
          <w:szCs w:val="24"/>
        </w:rPr>
        <w:t>Projekta nosaukums:</w:t>
      </w:r>
    </w:p>
    <w:p w14:paraId="00A0FC1A" w14:textId="77777777" w:rsidR="00D56A7F" w:rsidRPr="00924E13" w:rsidRDefault="00D56A7F" w:rsidP="00D56A7F">
      <w:pPr>
        <w:tabs>
          <w:tab w:val="left" w:pos="2430"/>
        </w:tabs>
        <w:rPr>
          <w:rFonts w:ascii="Times New Roman" w:hAnsi="Times New Roman" w:cs="Times New Roman"/>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gridCol w:w="1701"/>
        <w:gridCol w:w="2126"/>
        <w:gridCol w:w="1985"/>
      </w:tblGrid>
      <w:tr w:rsidR="00827618" w:rsidRPr="00DA353F" w14:paraId="0188A9F9" w14:textId="77777777" w:rsidTr="00827618">
        <w:trPr>
          <w:trHeight w:val="1515"/>
          <w:jc w:val="center"/>
        </w:trPr>
        <w:tc>
          <w:tcPr>
            <w:tcW w:w="2830" w:type="dxa"/>
            <w:vAlign w:val="center"/>
            <w:hideMark/>
          </w:tcPr>
          <w:p w14:paraId="3AF41FD4" w14:textId="2BBFC2CC" w:rsidR="00C42A9A" w:rsidRPr="00CB3129" w:rsidRDefault="00C42A9A" w:rsidP="0096385C">
            <w:pPr>
              <w:spacing w:after="0"/>
              <w:jc w:val="center"/>
              <w:rPr>
                <w:rFonts w:ascii="Times New Roman" w:hAnsi="Times New Roman" w:cs="Times New Roman"/>
                <w:color w:val="000000"/>
              </w:rPr>
            </w:pPr>
            <w:r w:rsidRPr="04F86BB4">
              <w:rPr>
                <w:rFonts w:ascii="Times New Roman" w:hAnsi="Times New Roman" w:cs="Times New Roman"/>
                <w:color w:val="000000" w:themeColor="text1"/>
              </w:rPr>
              <w:t>Kultūrizglītības i</w:t>
            </w:r>
            <w:r w:rsidR="007F463C">
              <w:rPr>
                <w:rFonts w:ascii="Times New Roman" w:hAnsi="Times New Roman" w:cs="Times New Roman"/>
                <w:color w:val="000000" w:themeColor="text1"/>
              </w:rPr>
              <w:t>estāde</w:t>
            </w:r>
            <w:r w:rsidRPr="04F86BB4">
              <w:rPr>
                <w:rFonts w:ascii="Times New Roman" w:hAnsi="Times New Roman" w:cs="Times New Roman"/>
                <w:color w:val="000000" w:themeColor="text1"/>
              </w:rPr>
              <w:t xml:space="preserve">, kurā veiktas investīcijas </w:t>
            </w:r>
          </w:p>
        </w:tc>
        <w:tc>
          <w:tcPr>
            <w:tcW w:w="1985" w:type="dxa"/>
            <w:vAlign w:val="center"/>
          </w:tcPr>
          <w:p w14:paraId="4275CC34" w14:textId="4956C76B" w:rsidR="00C42A9A" w:rsidRPr="00CB3129" w:rsidRDefault="00C42A9A" w:rsidP="0096385C">
            <w:pPr>
              <w:spacing w:after="0"/>
              <w:jc w:val="center"/>
              <w:rPr>
                <w:rFonts w:ascii="Times New Roman" w:hAnsi="Times New Roman" w:cs="Times New Roman"/>
                <w:color w:val="000000"/>
              </w:rPr>
            </w:pPr>
            <w:r w:rsidRPr="782999A8">
              <w:rPr>
                <w:rFonts w:ascii="Times New Roman" w:hAnsi="Times New Roman" w:cs="Times New Roman"/>
                <w:color w:val="000000" w:themeColor="text1"/>
              </w:rPr>
              <w:t xml:space="preserve">Finansējuma saņēmējs </w:t>
            </w:r>
          </w:p>
        </w:tc>
        <w:tc>
          <w:tcPr>
            <w:tcW w:w="1701" w:type="dxa"/>
            <w:vAlign w:val="center"/>
            <w:hideMark/>
          </w:tcPr>
          <w:p w14:paraId="3C27B112" w14:textId="2DE0A7F2" w:rsidR="00C42A9A" w:rsidRPr="00CB3129" w:rsidRDefault="00C42A9A" w:rsidP="0096385C">
            <w:pPr>
              <w:spacing w:after="0"/>
              <w:jc w:val="center"/>
              <w:rPr>
                <w:rFonts w:ascii="Times New Roman" w:hAnsi="Times New Roman" w:cs="Times New Roman"/>
                <w:color w:val="000000"/>
              </w:rPr>
            </w:pPr>
            <w:r w:rsidRPr="04F86BB4">
              <w:rPr>
                <w:rFonts w:ascii="Times New Roman" w:hAnsi="Times New Roman" w:cs="Times New Roman"/>
                <w:color w:val="000000" w:themeColor="text1"/>
              </w:rPr>
              <w:t xml:space="preserve">Iestādes </w:t>
            </w:r>
            <w:r w:rsidRPr="00CB3129">
              <w:rPr>
                <w:rFonts w:ascii="Times New Roman" w:hAnsi="Times New Roman" w:cs="Times New Roman"/>
                <w:color w:val="000000"/>
              </w:rPr>
              <w:t>izdevumi</w:t>
            </w:r>
            <w:r w:rsidRPr="00CB3129">
              <w:rPr>
                <w:rStyle w:val="FootnoteReference"/>
                <w:rFonts w:ascii="Times New Roman" w:hAnsi="Times New Roman" w:cs="Times New Roman"/>
                <w:color w:val="000000"/>
              </w:rPr>
              <w:footnoteReference w:id="17"/>
            </w:r>
            <w:r w:rsidRPr="00CB3129">
              <w:rPr>
                <w:rFonts w:ascii="Times New Roman" w:hAnsi="Times New Roman" w:cs="Times New Roman"/>
                <w:color w:val="000000"/>
              </w:rPr>
              <w:t xml:space="preserve"> </w:t>
            </w:r>
          </w:p>
        </w:tc>
        <w:tc>
          <w:tcPr>
            <w:tcW w:w="2126" w:type="dxa"/>
            <w:vAlign w:val="center"/>
            <w:hideMark/>
          </w:tcPr>
          <w:p w14:paraId="59C0D2A2" w14:textId="77777777" w:rsidR="00C42A9A" w:rsidRPr="00CB3129" w:rsidRDefault="00C42A9A" w:rsidP="0096385C">
            <w:pPr>
              <w:spacing w:after="0"/>
              <w:jc w:val="center"/>
              <w:rPr>
                <w:rFonts w:ascii="Times New Roman" w:hAnsi="Times New Roman" w:cs="Times New Roman"/>
                <w:color w:val="000000"/>
              </w:rPr>
            </w:pPr>
            <w:r w:rsidRPr="00CB3129">
              <w:rPr>
                <w:rFonts w:ascii="Times New Roman" w:hAnsi="Times New Roman" w:cs="Times New Roman"/>
                <w:color w:val="000000"/>
              </w:rPr>
              <w:t>Pašu ieņēmumi no saimnieciskās darbības</w:t>
            </w:r>
            <w:r w:rsidRPr="00CB3129">
              <w:rPr>
                <w:rStyle w:val="FootnoteReference"/>
                <w:rFonts w:ascii="Times New Roman" w:hAnsi="Times New Roman" w:cs="Times New Roman"/>
                <w:color w:val="000000"/>
              </w:rPr>
              <w:footnoteReference w:id="18"/>
            </w:r>
          </w:p>
        </w:tc>
        <w:tc>
          <w:tcPr>
            <w:tcW w:w="1985" w:type="dxa"/>
            <w:shd w:val="clear" w:color="auto" w:fill="B7D4EF"/>
            <w:vAlign w:val="center"/>
            <w:hideMark/>
          </w:tcPr>
          <w:p w14:paraId="555D7B8C" w14:textId="77777777" w:rsidR="00C42A9A" w:rsidRPr="00CB3129" w:rsidRDefault="00C42A9A" w:rsidP="0096385C">
            <w:pPr>
              <w:spacing w:after="0"/>
              <w:jc w:val="center"/>
              <w:rPr>
                <w:rFonts w:ascii="Times New Roman" w:hAnsi="Times New Roman" w:cs="Times New Roman"/>
                <w:color w:val="000000"/>
              </w:rPr>
            </w:pPr>
            <w:r w:rsidRPr="00CB3129">
              <w:rPr>
                <w:rFonts w:ascii="Times New Roman" w:hAnsi="Times New Roman" w:cs="Times New Roman"/>
                <w:color w:val="000000"/>
              </w:rPr>
              <w:t>Pašu ieņēmumi pret izdevumiem kopā (%)</w:t>
            </w:r>
          </w:p>
        </w:tc>
      </w:tr>
      <w:tr w:rsidR="00827618" w:rsidRPr="00DA353F" w14:paraId="40AC629D" w14:textId="77777777" w:rsidTr="00827618">
        <w:trPr>
          <w:trHeight w:val="600"/>
          <w:jc w:val="center"/>
        </w:trPr>
        <w:tc>
          <w:tcPr>
            <w:tcW w:w="2830" w:type="dxa"/>
            <w:vAlign w:val="center"/>
          </w:tcPr>
          <w:p w14:paraId="72ED5898"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1985" w:type="dxa"/>
            <w:vAlign w:val="center"/>
          </w:tcPr>
          <w:p w14:paraId="166CC6B1"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1701" w:type="dxa"/>
            <w:vAlign w:val="center"/>
          </w:tcPr>
          <w:p w14:paraId="660F42E6"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2126" w:type="dxa"/>
            <w:vAlign w:val="center"/>
          </w:tcPr>
          <w:p w14:paraId="72866025"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1985" w:type="dxa"/>
            <w:shd w:val="clear" w:color="auto" w:fill="B7D4EF"/>
            <w:vAlign w:val="center"/>
          </w:tcPr>
          <w:p w14:paraId="28236F8B"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r>
      <w:tr w:rsidR="00827618" w:rsidRPr="00DA353F" w14:paraId="5E99585C" w14:textId="77777777" w:rsidTr="00827618">
        <w:trPr>
          <w:trHeight w:val="635"/>
          <w:jc w:val="center"/>
        </w:trPr>
        <w:tc>
          <w:tcPr>
            <w:tcW w:w="2830" w:type="dxa"/>
          </w:tcPr>
          <w:p w14:paraId="304FEAEA"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1985" w:type="dxa"/>
          </w:tcPr>
          <w:p w14:paraId="04F3F099"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1701" w:type="dxa"/>
          </w:tcPr>
          <w:p w14:paraId="1D61CC0A"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2126" w:type="dxa"/>
          </w:tcPr>
          <w:p w14:paraId="4BDD66C9"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1985" w:type="dxa"/>
            <w:shd w:val="clear" w:color="auto" w:fill="B7D4EF"/>
          </w:tcPr>
          <w:p w14:paraId="07BD0DFB"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r>
      <w:tr w:rsidR="00827618" w:rsidRPr="00DA353F" w14:paraId="39E8CE14" w14:textId="77777777" w:rsidTr="00827618">
        <w:trPr>
          <w:trHeight w:val="559"/>
          <w:jc w:val="center"/>
        </w:trPr>
        <w:tc>
          <w:tcPr>
            <w:tcW w:w="2830" w:type="dxa"/>
          </w:tcPr>
          <w:p w14:paraId="3BDFB2CA"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1985" w:type="dxa"/>
          </w:tcPr>
          <w:p w14:paraId="0FDAC268"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1701" w:type="dxa"/>
          </w:tcPr>
          <w:p w14:paraId="5660CD25"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2126" w:type="dxa"/>
          </w:tcPr>
          <w:p w14:paraId="5AAAFB93"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c>
          <w:tcPr>
            <w:tcW w:w="1985" w:type="dxa"/>
            <w:shd w:val="clear" w:color="auto" w:fill="B7D4EF"/>
          </w:tcPr>
          <w:p w14:paraId="6C822F42" w14:textId="77777777" w:rsidR="00C42A9A" w:rsidRPr="00CB3129" w:rsidRDefault="00C42A9A" w:rsidP="0096385C">
            <w:pPr>
              <w:spacing w:after="0" w:line="240" w:lineRule="auto"/>
              <w:jc w:val="center"/>
              <w:rPr>
                <w:rFonts w:ascii="Times New Roman" w:hAnsi="Times New Roman" w:cs="Times New Roman"/>
                <w:color w:val="000000"/>
                <w:sz w:val="20"/>
                <w:szCs w:val="20"/>
              </w:rPr>
            </w:pPr>
          </w:p>
        </w:tc>
      </w:tr>
    </w:tbl>
    <w:p w14:paraId="3336B9AC" w14:textId="77777777" w:rsidR="00D56A7F" w:rsidRPr="00924E13" w:rsidRDefault="00D56A7F" w:rsidP="00D56A7F">
      <w:pPr>
        <w:tabs>
          <w:tab w:val="left" w:pos="1605"/>
        </w:tabs>
        <w:rPr>
          <w:rFonts w:ascii="Times New Roman" w:hAnsi="Times New Roman" w:cs="Times New Roman"/>
          <w:sz w:val="24"/>
          <w:szCs w:val="24"/>
        </w:rPr>
      </w:pPr>
    </w:p>
    <w:p w14:paraId="1981A5C6" w14:textId="77777777" w:rsidR="00901219" w:rsidRDefault="00901219"/>
    <w:sectPr w:rsidR="00901219" w:rsidSect="00D56A7F">
      <w:pgSz w:w="16838" w:h="11906" w:orient="landscape" w:code="9"/>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A0B3" w14:textId="77777777" w:rsidR="00D015E7" w:rsidRDefault="00D015E7" w:rsidP="00D56A7F">
      <w:pPr>
        <w:spacing w:after="0" w:line="240" w:lineRule="auto"/>
      </w:pPr>
      <w:r>
        <w:separator/>
      </w:r>
    </w:p>
  </w:endnote>
  <w:endnote w:type="continuationSeparator" w:id="0">
    <w:p w14:paraId="342F155A" w14:textId="77777777" w:rsidR="00D015E7" w:rsidRDefault="00D015E7" w:rsidP="00D56A7F">
      <w:pPr>
        <w:spacing w:after="0" w:line="240" w:lineRule="auto"/>
      </w:pPr>
      <w:r>
        <w:continuationSeparator/>
      </w:r>
    </w:p>
  </w:endnote>
  <w:endnote w:type="continuationNotice" w:id="1">
    <w:p w14:paraId="4281D95B" w14:textId="77777777" w:rsidR="00D015E7" w:rsidRDefault="00D01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EYInterstate Regular">
    <w:charset w:val="00"/>
    <w:family w:val="auto"/>
    <w:pitch w:val="variable"/>
    <w:sig w:usb0="A00002AF" w:usb1="5000206A"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205295"/>
      <w:docPartObj>
        <w:docPartGallery w:val="Page Numbers (Bottom of Page)"/>
        <w:docPartUnique/>
      </w:docPartObj>
    </w:sdtPr>
    <w:sdtEndPr/>
    <w:sdtContent>
      <w:p w14:paraId="59059127" w14:textId="77777777" w:rsidR="00D56A7F" w:rsidRDefault="00D56A7F">
        <w:pPr>
          <w:pStyle w:val="Footer"/>
          <w:jc w:val="center"/>
        </w:pPr>
        <w:r>
          <w:fldChar w:fldCharType="begin"/>
        </w:r>
        <w:r>
          <w:instrText>PAGE   \* MERGEFORMAT</w:instrText>
        </w:r>
        <w:r>
          <w:fldChar w:fldCharType="separate"/>
        </w:r>
        <w:r>
          <w:rPr>
            <w:noProof/>
          </w:rPr>
          <w:t>11</w:t>
        </w:r>
        <w:r>
          <w:fldChar w:fldCharType="end"/>
        </w:r>
      </w:p>
    </w:sdtContent>
  </w:sdt>
  <w:p w14:paraId="459E6A19" w14:textId="77777777" w:rsidR="00D56A7F" w:rsidRDefault="00D56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E179" w14:textId="77777777" w:rsidR="00D015E7" w:rsidRDefault="00D015E7" w:rsidP="00D56A7F">
      <w:pPr>
        <w:spacing w:after="0" w:line="240" w:lineRule="auto"/>
      </w:pPr>
      <w:r>
        <w:separator/>
      </w:r>
    </w:p>
  </w:footnote>
  <w:footnote w:type="continuationSeparator" w:id="0">
    <w:p w14:paraId="1792BA1E" w14:textId="77777777" w:rsidR="00D015E7" w:rsidRDefault="00D015E7" w:rsidP="00D56A7F">
      <w:pPr>
        <w:spacing w:after="0" w:line="240" w:lineRule="auto"/>
      </w:pPr>
      <w:r>
        <w:continuationSeparator/>
      </w:r>
    </w:p>
  </w:footnote>
  <w:footnote w:type="continuationNotice" w:id="1">
    <w:p w14:paraId="1DB335DB" w14:textId="77777777" w:rsidR="00D015E7" w:rsidRDefault="00D015E7">
      <w:pPr>
        <w:spacing w:after="0" w:line="240" w:lineRule="auto"/>
      </w:pPr>
    </w:p>
  </w:footnote>
  <w:footnote w:id="2">
    <w:p w14:paraId="2F40BECF" w14:textId="567E6BA2" w:rsidR="00D56A7F" w:rsidRDefault="00D56A7F" w:rsidP="00D56A7F">
      <w:pPr>
        <w:pStyle w:val="FootnoteText"/>
      </w:pPr>
      <w:r>
        <w:rPr>
          <w:rStyle w:val="FootnoteReference"/>
        </w:rPr>
        <w:footnoteRef/>
      </w:r>
      <w:r>
        <w:t xml:space="preserve"> Finanšu ministrijas valsts atbalsta vadlīnijas, aktualizētas </w:t>
      </w:r>
      <w:r w:rsidR="004149C9">
        <w:t>2024</w:t>
      </w:r>
      <w:r>
        <w:t>.gad</w:t>
      </w:r>
      <w:r w:rsidR="004149C9">
        <w:t>ā</w:t>
      </w:r>
      <w:r>
        <w:t xml:space="preserve">, pieejamas </w:t>
      </w:r>
      <w:bookmarkStart w:id="4" w:name="_Hlk124414797"/>
      <w:r w:rsidR="005B2CC7">
        <w:fldChar w:fldCharType="begin"/>
      </w:r>
      <w:r w:rsidR="005B2CC7">
        <w:instrText>HYPERLINK "</w:instrText>
      </w:r>
      <w:r w:rsidR="005B2CC7" w:rsidRPr="00E8038E">
        <w:instrText>https://www.fm.gov.lv/lv/skaidrojosie-materiali</w:instrText>
      </w:r>
      <w:r w:rsidR="005B2CC7">
        <w:instrText>"</w:instrText>
      </w:r>
      <w:r w:rsidR="005B2CC7">
        <w:fldChar w:fldCharType="separate"/>
      </w:r>
      <w:r w:rsidR="005B2CC7" w:rsidRPr="00A920FE">
        <w:rPr>
          <w:rStyle w:val="Hyperlink"/>
        </w:rPr>
        <w:t>https://www.fm.gov.lv/lv/skaidrojosie-materiali</w:t>
      </w:r>
      <w:bookmarkEnd w:id="4"/>
      <w:r w:rsidR="005B2CC7">
        <w:fldChar w:fldCharType="end"/>
      </w:r>
      <w:r w:rsidR="005B2CC7">
        <w:t xml:space="preserve"> </w:t>
      </w:r>
    </w:p>
  </w:footnote>
  <w:footnote w:id="3">
    <w:p w14:paraId="61E4E7A9" w14:textId="77777777" w:rsidR="00D56A7F" w:rsidRDefault="00D56A7F" w:rsidP="000E0E84">
      <w:pPr>
        <w:pStyle w:val="FootnoteText"/>
        <w:jc w:val="both"/>
      </w:pPr>
      <w:r>
        <w:rPr>
          <w:rStyle w:val="FootnoteReference"/>
        </w:rPr>
        <w:footnoteRef/>
      </w:r>
      <w:r>
        <w:t xml:space="preserve"> Pieejams </w:t>
      </w:r>
      <w:r w:rsidRPr="003A5F5F">
        <w:t>https://eur-lex.europa.eu/legal-content/LV/TXT/?uri=celex%3A12012E%2FTXT</w:t>
      </w:r>
    </w:p>
  </w:footnote>
  <w:footnote w:id="4">
    <w:p w14:paraId="25981DC8" w14:textId="0873AACA" w:rsidR="00D56A7F" w:rsidRDefault="00D56A7F" w:rsidP="000E0E84">
      <w:pPr>
        <w:pStyle w:val="FootnoteText"/>
        <w:jc w:val="both"/>
      </w:pPr>
      <w:r>
        <w:rPr>
          <w:rStyle w:val="FootnoteReference"/>
        </w:rPr>
        <w:footnoteRef/>
      </w:r>
      <w:r>
        <w:t xml:space="preserve"> Finanšu ministrijas valsts atbalsta vadlīnijas, aktualizētas 202</w:t>
      </w:r>
      <w:r w:rsidR="004352F2">
        <w:t>4</w:t>
      </w:r>
      <w:r>
        <w:t>.gad</w:t>
      </w:r>
      <w:r w:rsidR="004352F2">
        <w:t>ā</w:t>
      </w:r>
      <w:r>
        <w:t xml:space="preserve">, pieejamas </w:t>
      </w:r>
      <w:hyperlink r:id="rId1" w:history="1">
        <w:r w:rsidR="000E0E84" w:rsidRPr="00A920FE">
          <w:rPr>
            <w:rStyle w:val="Hyperlink"/>
          </w:rPr>
          <w:t>https://www.fm.gov.lv/lv/skaidrojosie-materiali</w:t>
        </w:r>
      </w:hyperlink>
      <w:r w:rsidR="000E0E84">
        <w:t xml:space="preserve"> </w:t>
      </w:r>
    </w:p>
  </w:footnote>
  <w:footnote w:id="5">
    <w:p w14:paraId="57BB3DE6" w14:textId="77777777" w:rsidR="00D56A7F" w:rsidRDefault="00D56A7F" w:rsidP="004352F2">
      <w:pPr>
        <w:pStyle w:val="FootnoteText"/>
      </w:pPr>
      <w:r>
        <w:rPr>
          <w:rStyle w:val="FootnoteReference"/>
        </w:rPr>
        <w:footnoteRef/>
      </w:r>
      <w:r>
        <w:t xml:space="preserve"> Pieejams </w:t>
      </w:r>
      <w:hyperlink r:id="rId2" w:history="1">
        <w:r>
          <w:rPr>
            <w:rStyle w:val="Hyperlink"/>
          </w:rPr>
          <w:t>https://eur-lex.europa.eu/legal-content/LV/TXT/?uri=uriserv:OJ.C_.2016.262.01.0001.01.LAV&amp;toc=OJ:C:2016:262:TOC</w:t>
        </w:r>
      </w:hyperlink>
      <w:r>
        <w:rPr>
          <w:rStyle w:val="Hyperlink"/>
        </w:rPr>
        <w:t xml:space="preserve"> </w:t>
      </w:r>
    </w:p>
  </w:footnote>
  <w:footnote w:id="6">
    <w:p w14:paraId="45427BE4" w14:textId="77777777" w:rsidR="00D56A7F" w:rsidRDefault="00D56A7F" w:rsidP="004352F2">
      <w:pPr>
        <w:pStyle w:val="FootnoteText"/>
      </w:pPr>
      <w:r>
        <w:rPr>
          <w:rStyle w:val="FootnoteReference"/>
        </w:rPr>
        <w:footnoteRef/>
      </w:r>
      <w:r>
        <w:t xml:space="preserve"> Jēdzieni komercdarbības atbalsts un valsts atbalsts šajā dokumentā tiek lietoti kā sinonīmi.</w:t>
      </w:r>
    </w:p>
  </w:footnote>
  <w:footnote w:id="7">
    <w:p w14:paraId="2297C3C7" w14:textId="77777777" w:rsidR="00D56A7F" w:rsidRDefault="00D56A7F" w:rsidP="004352F2">
      <w:pPr>
        <w:pStyle w:val="FootnoteText"/>
        <w:ind w:left="142" w:hanging="142"/>
      </w:pPr>
      <w:r>
        <w:rPr>
          <w:rStyle w:val="FootnoteReference"/>
        </w:rPr>
        <w:footnoteRef/>
      </w:r>
      <w:r>
        <w:t xml:space="preserve"> </w:t>
      </w:r>
      <w:bookmarkStart w:id="6" w:name="_Hlk195625735"/>
      <w:r>
        <w:t>Paziņojums par valsts atbalsta jēdzienu - 34.punkts.</w:t>
      </w:r>
      <w:bookmarkEnd w:id="6"/>
    </w:p>
  </w:footnote>
  <w:footnote w:id="8">
    <w:p w14:paraId="333E7CFD" w14:textId="77777777" w:rsidR="00D56A7F" w:rsidRPr="001876B5" w:rsidRDefault="00D56A7F" w:rsidP="004352F2">
      <w:pPr>
        <w:pStyle w:val="FootnoteText"/>
      </w:pPr>
      <w:r>
        <w:rPr>
          <w:rStyle w:val="FootnoteReference"/>
        </w:rPr>
        <w:footnoteRef/>
      </w:r>
      <w:r>
        <w:t xml:space="preserve"> Saskaņā ar EK norādēm – “daļa no faktiskajām izmaksām” ir </w:t>
      </w:r>
      <w:r w:rsidRPr="001876B5">
        <w:t>ne vairāk kā 50% no pašu ieņēmumiem pret kopējiem iestādes izdevumiem vai kultūras pasākuma/ kultūras pakalpojuma organizēšanas izdevumiem</w:t>
      </w:r>
      <w:r>
        <w:t xml:space="preserve">. </w:t>
      </w:r>
    </w:p>
  </w:footnote>
  <w:footnote w:id="9">
    <w:p w14:paraId="378AD086" w14:textId="33690E6B" w:rsidR="004352F2" w:rsidRDefault="004352F2">
      <w:pPr>
        <w:pStyle w:val="FootnoteText"/>
      </w:pPr>
      <w:r>
        <w:rPr>
          <w:rStyle w:val="FootnoteReference"/>
        </w:rPr>
        <w:footnoteRef/>
      </w:r>
      <w:r>
        <w:t xml:space="preserve"> Paziņojums par valsts atbalsta jēdzienu - 3</w:t>
      </w:r>
      <w:r w:rsidR="00196302">
        <w:t>5</w:t>
      </w:r>
      <w:r>
        <w:t>.punkts.</w:t>
      </w:r>
    </w:p>
  </w:footnote>
  <w:footnote w:id="10">
    <w:p w14:paraId="6689B188" w14:textId="77777777" w:rsidR="00D56A7F" w:rsidRDefault="00D56A7F" w:rsidP="00D56A7F">
      <w:pPr>
        <w:pStyle w:val="FootnoteText"/>
        <w:ind w:left="142" w:hanging="142"/>
      </w:pPr>
      <w:r>
        <w:rPr>
          <w:rStyle w:val="FootnoteReference"/>
        </w:rPr>
        <w:footnoteRef/>
      </w:r>
      <w:r>
        <w:t xml:space="preserve"> Turpat - 37.punkta 50.zemsvītras atsauce un 207.punkts;</w:t>
      </w:r>
    </w:p>
  </w:footnote>
  <w:footnote w:id="11">
    <w:p w14:paraId="7D330923" w14:textId="5BFED043" w:rsidR="00E87C49" w:rsidRDefault="00E87C49">
      <w:pPr>
        <w:pStyle w:val="FootnoteText"/>
      </w:pPr>
      <w:r>
        <w:rPr>
          <w:rStyle w:val="FootnoteReference"/>
        </w:rPr>
        <w:footnoteRef/>
      </w:r>
      <w:r>
        <w:t xml:space="preserve"> Turpat </w:t>
      </w:r>
      <w:r w:rsidR="006851BF">
        <w:t>–</w:t>
      </w:r>
      <w:r>
        <w:t xml:space="preserve"> </w:t>
      </w:r>
      <w:r w:rsidR="006851BF">
        <w:t>28.punkts.</w:t>
      </w:r>
    </w:p>
  </w:footnote>
  <w:footnote w:id="12">
    <w:p w14:paraId="3212C66D" w14:textId="571F9C1B" w:rsidR="00B0648F" w:rsidRDefault="00B0648F" w:rsidP="00F934E7">
      <w:pPr>
        <w:pStyle w:val="FootnoteText"/>
        <w:jc w:val="both"/>
      </w:pPr>
      <w:r>
        <w:rPr>
          <w:rStyle w:val="FootnoteReference"/>
        </w:rPr>
        <w:footnoteRef/>
      </w:r>
      <w:r>
        <w:t xml:space="preserve"> Saskaņā ar </w:t>
      </w:r>
      <w:r w:rsidR="005824DB">
        <w:t>EK</w:t>
      </w:r>
      <w:r>
        <w:t xml:space="preserve"> skaidrojumu </w:t>
      </w:r>
      <w:r w:rsidR="001060A6">
        <w:t>–</w:t>
      </w:r>
      <w:r>
        <w:t xml:space="preserve"> </w:t>
      </w:r>
      <w:r w:rsidR="00F934E7" w:rsidRPr="00EC0695">
        <w:t>jāvērtē, vai ieņēmumi no maksas par pakalpojumu nepārsniegs 50% no kopējiem izdevumiem</w:t>
      </w:r>
      <w:r w:rsidR="00EF44C3">
        <w:t>.</w:t>
      </w:r>
      <w:r w:rsidR="005824DB">
        <w:t xml:space="preserve"> </w:t>
      </w:r>
    </w:p>
  </w:footnote>
  <w:footnote w:id="13">
    <w:p w14:paraId="5A0BFA47" w14:textId="00728D92" w:rsidR="002714B1" w:rsidRDefault="002714B1">
      <w:pPr>
        <w:pStyle w:val="FootnoteText"/>
      </w:pPr>
      <w:r>
        <w:rPr>
          <w:rStyle w:val="FootnoteReference"/>
        </w:rPr>
        <w:footnoteRef/>
      </w:r>
      <w:r>
        <w:t xml:space="preserve"> P</w:t>
      </w:r>
      <w:r w:rsidR="006818DC">
        <w:t xml:space="preserve">aziņojums par </w:t>
      </w:r>
      <w:r w:rsidR="00A36497">
        <w:t xml:space="preserve">valsts atbalsta jēdzienu </w:t>
      </w:r>
      <w:r w:rsidR="00C70F85">
        <w:t>–</w:t>
      </w:r>
      <w:r w:rsidR="00BC589E">
        <w:t xml:space="preserve"> </w:t>
      </w:r>
      <w:r w:rsidR="00C70F85">
        <w:t>29.punkts.</w:t>
      </w:r>
    </w:p>
  </w:footnote>
  <w:footnote w:id="14">
    <w:p w14:paraId="50329273" w14:textId="745E657E" w:rsidR="0014229E" w:rsidRDefault="0014229E" w:rsidP="0014229E">
      <w:pPr>
        <w:pStyle w:val="pf0"/>
        <w:rPr>
          <w:rFonts w:ascii="Arial" w:hAnsi="Arial" w:cs="Arial"/>
          <w:sz w:val="20"/>
          <w:szCs w:val="20"/>
        </w:rPr>
      </w:pPr>
      <w:r>
        <w:rPr>
          <w:rStyle w:val="FootnoteReference"/>
        </w:rPr>
        <w:footnoteRef/>
      </w:r>
      <w:r>
        <w:t xml:space="preserve"> </w:t>
      </w:r>
      <w:r>
        <w:rPr>
          <w:rStyle w:val="cf01"/>
          <w:rFonts w:eastAsiaTheme="majorEastAsia"/>
        </w:rPr>
        <w:t xml:space="preserve">Atsevišķos, pamatotos gadījumos var vērtēt tikai atbalstītās infrastruktūras </w:t>
      </w:r>
      <w:r w:rsidR="00CF5DFF">
        <w:rPr>
          <w:rStyle w:val="cf01"/>
          <w:rFonts w:eastAsiaTheme="majorEastAsia"/>
        </w:rPr>
        <w:t xml:space="preserve">(objekta) </w:t>
      </w:r>
      <w:r>
        <w:rPr>
          <w:rStyle w:val="cf01"/>
          <w:rFonts w:eastAsiaTheme="majorEastAsia"/>
        </w:rPr>
        <w:t xml:space="preserve">ieņēmumu/izdevumu attiecību (piemēram, ja finansējuma saņēmējam pieder vairākas ēkas, vērtēt tikai ēku, kurā veikti ieguldījumi). </w:t>
      </w:r>
    </w:p>
    <w:p w14:paraId="6CA6634C" w14:textId="3F2913A1" w:rsidR="0014229E" w:rsidRDefault="0014229E">
      <w:pPr>
        <w:pStyle w:val="FootnoteText"/>
      </w:pPr>
    </w:p>
  </w:footnote>
  <w:footnote w:id="15">
    <w:p w14:paraId="13823DB5" w14:textId="1F4076EE" w:rsidR="002C6B85" w:rsidRDefault="002C6B85" w:rsidP="00AE5D78">
      <w:pPr>
        <w:pStyle w:val="FootnoteText"/>
        <w:jc w:val="both"/>
      </w:pPr>
      <w:r>
        <w:rPr>
          <w:rStyle w:val="FootnoteReference"/>
        </w:rPr>
        <w:footnoteRef/>
      </w:r>
      <w:r>
        <w:t xml:space="preserve"> </w:t>
      </w:r>
      <w:r w:rsidR="007E767F">
        <w:t>Kultūrizglītības iestād</w:t>
      </w:r>
      <w:r w:rsidR="002E2AD1">
        <w:t xml:space="preserve">ēs, kurās ir izveidota infrastruktūra ar koncertzāles funkciju un </w:t>
      </w:r>
      <w:r w:rsidR="004E0261">
        <w:t xml:space="preserve">tajā </w:t>
      </w:r>
      <w:r w:rsidR="002E2AD1">
        <w:t xml:space="preserve">darbojas 2 </w:t>
      </w:r>
      <w:r w:rsidR="00960FB0">
        <w:t>lietotāji</w:t>
      </w:r>
      <w:r w:rsidR="00A83577">
        <w:t xml:space="preserve"> (juridiskie subjekti)</w:t>
      </w:r>
      <w:r w:rsidR="002E2AD1">
        <w:t>,</w:t>
      </w:r>
      <w:r w:rsidR="002C4DB3">
        <w:t xml:space="preserve"> </w:t>
      </w:r>
      <w:r w:rsidR="00DA1DA7">
        <w:t xml:space="preserve">piemēram, </w:t>
      </w:r>
      <w:r w:rsidR="002C4DB3">
        <w:t xml:space="preserve">gan kultūrizglītības iestāde, gan </w:t>
      </w:r>
      <w:r w:rsidR="00DA1DA7">
        <w:t>SIA</w:t>
      </w:r>
      <w:r w:rsidR="00AE5D78">
        <w:t>,</w:t>
      </w:r>
      <w:r w:rsidR="002E2AD1">
        <w:t xml:space="preserve"> </w:t>
      </w:r>
      <w:r w:rsidR="004A0E2C">
        <w:t xml:space="preserve">ieņēmumu/izdevumu sadaļu </w:t>
      </w:r>
      <w:r w:rsidR="00AE5D78">
        <w:t xml:space="preserve">pēc kultūras nozares kritērijiem </w:t>
      </w:r>
      <w:r w:rsidR="004A0E2C">
        <w:t>katra iestāde vērtē atsevišķi</w:t>
      </w:r>
      <w:r w:rsidR="00D42EFC">
        <w:t>.</w:t>
      </w:r>
    </w:p>
  </w:footnote>
  <w:footnote w:id="16">
    <w:p w14:paraId="749D8741" w14:textId="3354F1EA" w:rsidR="00105E38" w:rsidRPr="00105E38" w:rsidRDefault="00105E38" w:rsidP="00105E38">
      <w:pPr>
        <w:pStyle w:val="pf0"/>
        <w:jc w:val="both"/>
        <w:rPr>
          <w:rFonts w:ascii="Arial" w:hAnsi="Arial" w:cs="Arial"/>
          <w:sz w:val="20"/>
          <w:szCs w:val="20"/>
        </w:rPr>
      </w:pPr>
      <w:r>
        <w:rPr>
          <w:rStyle w:val="FootnoteReference"/>
        </w:rPr>
        <w:footnoteRef/>
      </w:r>
      <w:r>
        <w:t xml:space="preserve"> </w:t>
      </w:r>
      <w:r w:rsidRPr="00105E38">
        <w:rPr>
          <w:rFonts w:ascii="Segoe UI" w:hAnsi="Segoe UI" w:cs="Segoe UI"/>
          <w:color w:val="414142"/>
          <w:sz w:val="18"/>
          <w:szCs w:val="18"/>
          <w:shd w:val="clear" w:color="auto" w:fill="FFFFFF"/>
        </w:rPr>
        <w:t xml:space="preserve">Finansējuma </w:t>
      </w:r>
      <w:r>
        <w:rPr>
          <w:rFonts w:ascii="Segoe UI" w:hAnsi="Segoe UI" w:cs="Segoe UI"/>
          <w:color w:val="414142"/>
          <w:sz w:val="18"/>
          <w:szCs w:val="18"/>
          <w:shd w:val="clear" w:color="auto" w:fill="FFFFFF"/>
        </w:rPr>
        <w:t>s</w:t>
      </w:r>
      <w:r w:rsidRPr="00105E38">
        <w:rPr>
          <w:rFonts w:ascii="Segoe UI" w:hAnsi="Segoe UI" w:cs="Segoe UI"/>
          <w:color w:val="414142"/>
          <w:sz w:val="18"/>
          <w:szCs w:val="18"/>
          <w:shd w:val="clear" w:color="auto" w:fill="FFFFFF"/>
        </w:rPr>
        <w:t>aņēmējam ir pienākums atmaksāt sadarbības iestādei saņemto nelikumīgo komercdarbības atbalstu kopā ar procentiem no līdzekļiem, kas ir brīvi no komercdarbības atbalsta, atbilstoši </w:t>
      </w:r>
      <w:hyperlink r:id="rId3" w:history="1">
        <w:r w:rsidRPr="00105E38">
          <w:rPr>
            <w:rFonts w:ascii="Segoe UI" w:hAnsi="Segoe UI" w:cs="Segoe UI"/>
            <w:color w:val="414142"/>
            <w:sz w:val="18"/>
            <w:szCs w:val="18"/>
            <w:u w:val="single"/>
            <w:shd w:val="clear" w:color="auto" w:fill="FFFFFF"/>
          </w:rPr>
          <w:t>Komercdarbības atbalsta kontroles likuma</w:t>
        </w:r>
      </w:hyperlink>
      <w:r w:rsidRPr="00105E38">
        <w:rPr>
          <w:rFonts w:ascii="Segoe UI" w:hAnsi="Segoe UI" w:cs="Segoe UI"/>
          <w:color w:val="414142"/>
          <w:sz w:val="18"/>
          <w:szCs w:val="18"/>
          <w:shd w:val="clear" w:color="auto" w:fill="FFFFFF"/>
        </w:rPr>
        <w:t> IV vai V nodaļas nosacījumiem.</w:t>
      </w:r>
      <w:r w:rsidRPr="00105E38">
        <w:rPr>
          <w:rFonts w:ascii="Segoe UI" w:hAnsi="Segoe UI" w:cs="Segoe UI"/>
          <w:sz w:val="18"/>
          <w:szCs w:val="18"/>
        </w:rPr>
        <w:t xml:space="preserve"> </w:t>
      </w:r>
    </w:p>
    <w:p w14:paraId="7A850A68" w14:textId="5A5ACB36" w:rsidR="00105E38" w:rsidRDefault="00105E38">
      <w:pPr>
        <w:pStyle w:val="FootnoteText"/>
      </w:pPr>
    </w:p>
  </w:footnote>
  <w:footnote w:id="17">
    <w:p w14:paraId="72EAAE20" w14:textId="4F2D456F" w:rsidR="00C42A9A" w:rsidRDefault="00C42A9A" w:rsidP="00D56A7F">
      <w:pPr>
        <w:pStyle w:val="FootnoteText"/>
      </w:pPr>
      <w:r>
        <w:rPr>
          <w:rStyle w:val="FootnoteReference"/>
        </w:rPr>
        <w:footnoteRef/>
      </w:r>
      <w:r>
        <w:t xml:space="preserve"> Kultūrizglītības iestādes, kurā </w:t>
      </w:r>
      <w:r w:rsidR="001715D2">
        <w:t xml:space="preserve">tiek </w:t>
      </w:r>
      <w:r>
        <w:t>attīst</w:t>
      </w:r>
      <w:r w:rsidR="001715D2">
        <w:t>īt</w:t>
      </w:r>
      <w:r>
        <w:t>a</w:t>
      </w:r>
      <w:r w:rsidR="001715D2">
        <w:t xml:space="preserve"> kultūrizglītības</w:t>
      </w:r>
      <w:r>
        <w:t xml:space="preserve"> infrastruktūra, kopējie uzturēšanas izdevumi, piemēram, darbinieku algas, komunālie izdevumi u.c.</w:t>
      </w:r>
    </w:p>
  </w:footnote>
  <w:footnote w:id="18">
    <w:p w14:paraId="3026E881" w14:textId="4AF40F80" w:rsidR="00C42A9A" w:rsidRDefault="00C42A9A" w:rsidP="00D56A7F">
      <w:pPr>
        <w:pStyle w:val="FootnoteText"/>
      </w:pPr>
      <w:r>
        <w:rPr>
          <w:rStyle w:val="FootnoteReference"/>
        </w:rPr>
        <w:footnoteRef/>
      </w:r>
      <w:r>
        <w:t xml:space="preserve"> Pasākum</w:t>
      </w:r>
      <w:r w:rsidR="00AF67F8">
        <w:t>u</w:t>
      </w:r>
      <w:r>
        <w:t xml:space="preserve"> b</w:t>
      </w:r>
      <w:r w:rsidRPr="00DA353F">
        <w:t>iļešu tirdzniecība, telpu noma</w:t>
      </w:r>
      <w:r>
        <w:t xml:space="preserve">, studiju maksa </w:t>
      </w:r>
      <w:r w:rsidRPr="00DA353F">
        <w:t>u.c</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0DBB"/>
    <w:multiLevelType w:val="hybridMultilevel"/>
    <w:tmpl w:val="5EE62D8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92B712B"/>
    <w:multiLevelType w:val="hybridMultilevel"/>
    <w:tmpl w:val="616864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FE31BD"/>
    <w:multiLevelType w:val="hybridMultilevel"/>
    <w:tmpl w:val="AFC82E0A"/>
    <w:lvl w:ilvl="0" w:tplc="0426000D">
      <w:start w:val="1"/>
      <w:numFmt w:val="bullet"/>
      <w:lvlText w:val=""/>
      <w:lvlJc w:val="left"/>
      <w:pPr>
        <w:ind w:left="660" w:hanging="360"/>
      </w:pPr>
      <w:rPr>
        <w:rFonts w:ascii="Wingdings" w:hAnsi="Wingdings" w:hint="default"/>
      </w:rPr>
    </w:lvl>
    <w:lvl w:ilvl="1" w:tplc="B6205ABE">
      <w:numFmt w:val="bullet"/>
      <w:lvlText w:val="-"/>
      <w:lvlJc w:val="left"/>
      <w:pPr>
        <w:ind w:left="1380" w:hanging="360"/>
      </w:pPr>
      <w:rPr>
        <w:rFonts w:ascii="Times New Roman" w:eastAsia="Calibri" w:hAnsi="Times New Roman" w:cs="Times New Roman"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 w15:restartNumberingAfterBreak="0">
    <w:nsid w:val="13137415"/>
    <w:multiLevelType w:val="hybridMultilevel"/>
    <w:tmpl w:val="27BCAD00"/>
    <w:lvl w:ilvl="0" w:tplc="48E85520">
      <w:start w:val="1"/>
      <w:numFmt w:val="bullet"/>
      <w:lvlText w:val=""/>
      <w:lvlJc w:val="left"/>
      <w:pPr>
        <w:ind w:left="1920" w:hanging="360"/>
      </w:pPr>
      <w:rPr>
        <w:rFonts w:ascii="Symbol" w:hAnsi="Symbol"/>
      </w:rPr>
    </w:lvl>
    <w:lvl w:ilvl="1" w:tplc="05CA5E78">
      <w:start w:val="1"/>
      <w:numFmt w:val="bullet"/>
      <w:lvlText w:val=""/>
      <w:lvlJc w:val="left"/>
      <w:pPr>
        <w:ind w:left="1920" w:hanging="360"/>
      </w:pPr>
      <w:rPr>
        <w:rFonts w:ascii="Symbol" w:hAnsi="Symbol"/>
      </w:rPr>
    </w:lvl>
    <w:lvl w:ilvl="2" w:tplc="BCAA769E">
      <w:start w:val="1"/>
      <w:numFmt w:val="bullet"/>
      <w:lvlText w:val=""/>
      <w:lvlJc w:val="left"/>
      <w:pPr>
        <w:ind w:left="1920" w:hanging="360"/>
      </w:pPr>
      <w:rPr>
        <w:rFonts w:ascii="Symbol" w:hAnsi="Symbol"/>
      </w:rPr>
    </w:lvl>
    <w:lvl w:ilvl="3" w:tplc="2570A396">
      <w:start w:val="1"/>
      <w:numFmt w:val="bullet"/>
      <w:lvlText w:val=""/>
      <w:lvlJc w:val="left"/>
      <w:pPr>
        <w:ind w:left="1920" w:hanging="360"/>
      </w:pPr>
      <w:rPr>
        <w:rFonts w:ascii="Symbol" w:hAnsi="Symbol"/>
      </w:rPr>
    </w:lvl>
    <w:lvl w:ilvl="4" w:tplc="5BDA5200">
      <w:start w:val="1"/>
      <w:numFmt w:val="bullet"/>
      <w:lvlText w:val=""/>
      <w:lvlJc w:val="left"/>
      <w:pPr>
        <w:ind w:left="1920" w:hanging="360"/>
      </w:pPr>
      <w:rPr>
        <w:rFonts w:ascii="Symbol" w:hAnsi="Symbol"/>
      </w:rPr>
    </w:lvl>
    <w:lvl w:ilvl="5" w:tplc="30546B12">
      <w:start w:val="1"/>
      <w:numFmt w:val="bullet"/>
      <w:lvlText w:val=""/>
      <w:lvlJc w:val="left"/>
      <w:pPr>
        <w:ind w:left="1920" w:hanging="360"/>
      </w:pPr>
      <w:rPr>
        <w:rFonts w:ascii="Symbol" w:hAnsi="Symbol"/>
      </w:rPr>
    </w:lvl>
    <w:lvl w:ilvl="6" w:tplc="EDE61BBC">
      <w:start w:val="1"/>
      <w:numFmt w:val="bullet"/>
      <w:lvlText w:val=""/>
      <w:lvlJc w:val="left"/>
      <w:pPr>
        <w:ind w:left="1920" w:hanging="360"/>
      </w:pPr>
      <w:rPr>
        <w:rFonts w:ascii="Symbol" w:hAnsi="Symbol"/>
      </w:rPr>
    </w:lvl>
    <w:lvl w:ilvl="7" w:tplc="6AEC6A96">
      <w:start w:val="1"/>
      <w:numFmt w:val="bullet"/>
      <w:lvlText w:val=""/>
      <w:lvlJc w:val="left"/>
      <w:pPr>
        <w:ind w:left="1920" w:hanging="360"/>
      </w:pPr>
      <w:rPr>
        <w:rFonts w:ascii="Symbol" w:hAnsi="Symbol"/>
      </w:rPr>
    </w:lvl>
    <w:lvl w:ilvl="8" w:tplc="8EDE3C16">
      <w:start w:val="1"/>
      <w:numFmt w:val="bullet"/>
      <w:lvlText w:val=""/>
      <w:lvlJc w:val="left"/>
      <w:pPr>
        <w:ind w:left="1920" w:hanging="360"/>
      </w:pPr>
      <w:rPr>
        <w:rFonts w:ascii="Symbol" w:hAnsi="Symbol"/>
      </w:rPr>
    </w:lvl>
  </w:abstractNum>
  <w:abstractNum w:abstractNumId="4" w15:restartNumberingAfterBreak="0">
    <w:nsid w:val="188D1197"/>
    <w:multiLevelType w:val="hybridMultilevel"/>
    <w:tmpl w:val="85A0D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2041D4"/>
    <w:multiLevelType w:val="hybridMultilevel"/>
    <w:tmpl w:val="F0885338"/>
    <w:lvl w:ilvl="0" w:tplc="F8F6A946">
      <w:start w:val="1"/>
      <w:numFmt w:val="bullet"/>
      <w:lvlText w:val=""/>
      <w:lvlJc w:val="left"/>
      <w:pPr>
        <w:ind w:left="778" w:hanging="360"/>
      </w:pPr>
      <w:rPr>
        <w:rFonts w:ascii="Wingdings" w:hAnsi="Wingdings" w:hint="default"/>
        <w:color w:val="auto"/>
        <w:sz w:val="32"/>
        <w:szCs w:val="32"/>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6" w15:restartNumberingAfterBreak="0">
    <w:nsid w:val="292A7C92"/>
    <w:multiLevelType w:val="hybridMultilevel"/>
    <w:tmpl w:val="5364AC8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DC351A"/>
    <w:multiLevelType w:val="hybridMultilevel"/>
    <w:tmpl w:val="C55E6036"/>
    <w:lvl w:ilvl="0" w:tplc="F6560428">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39884D93"/>
    <w:multiLevelType w:val="multilevel"/>
    <w:tmpl w:val="893663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80181C"/>
    <w:multiLevelType w:val="multilevel"/>
    <w:tmpl w:val="57249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B05B88"/>
    <w:multiLevelType w:val="multilevel"/>
    <w:tmpl w:val="55DAF668"/>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504778B5"/>
    <w:multiLevelType w:val="hybridMultilevel"/>
    <w:tmpl w:val="691A818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8AF68EC"/>
    <w:multiLevelType w:val="hybridMultilevel"/>
    <w:tmpl w:val="DA3CE32E"/>
    <w:lvl w:ilvl="0" w:tplc="050E4BAA">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F545A00"/>
    <w:multiLevelType w:val="hybridMultilevel"/>
    <w:tmpl w:val="4D8EBCE8"/>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15:restartNumberingAfterBreak="0">
    <w:nsid w:val="636721F1"/>
    <w:multiLevelType w:val="hybridMultilevel"/>
    <w:tmpl w:val="A74A4976"/>
    <w:lvl w:ilvl="0" w:tplc="6F440956">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6F8A4EFC"/>
    <w:multiLevelType w:val="hybridMultilevel"/>
    <w:tmpl w:val="AC44589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19760216">
    <w:abstractNumId w:val="5"/>
  </w:num>
  <w:num w:numId="2" w16cid:durableId="683631767">
    <w:abstractNumId w:val="0"/>
  </w:num>
  <w:num w:numId="3" w16cid:durableId="1326321198">
    <w:abstractNumId w:val="13"/>
  </w:num>
  <w:num w:numId="4" w16cid:durableId="1391878299">
    <w:abstractNumId w:val="2"/>
  </w:num>
  <w:num w:numId="5" w16cid:durableId="468323969">
    <w:abstractNumId w:val="4"/>
  </w:num>
  <w:num w:numId="6" w16cid:durableId="1679845729">
    <w:abstractNumId w:val="1"/>
  </w:num>
  <w:num w:numId="7" w16cid:durableId="791901634">
    <w:abstractNumId w:val="15"/>
  </w:num>
  <w:num w:numId="8" w16cid:durableId="1605654797">
    <w:abstractNumId w:val="7"/>
  </w:num>
  <w:num w:numId="9" w16cid:durableId="1001472523">
    <w:abstractNumId w:val="14"/>
  </w:num>
  <w:num w:numId="10" w16cid:durableId="283271858">
    <w:abstractNumId w:val="12"/>
  </w:num>
  <w:num w:numId="11" w16cid:durableId="1428648552">
    <w:abstractNumId w:val="11"/>
  </w:num>
  <w:num w:numId="12" w16cid:durableId="1120951843">
    <w:abstractNumId w:val="10"/>
  </w:num>
  <w:num w:numId="13" w16cid:durableId="124010862">
    <w:abstractNumId w:val="9"/>
  </w:num>
  <w:num w:numId="14" w16cid:durableId="2137719471">
    <w:abstractNumId w:val="8"/>
  </w:num>
  <w:num w:numId="15" w16cid:durableId="746343773">
    <w:abstractNumId w:val="6"/>
  </w:num>
  <w:num w:numId="16" w16cid:durableId="1078090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7F"/>
    <w:rsid w:val="000003E5"/>
    <w:rsid w:val="00003119"/>
    <w:rsid w:val="000138A7"/>
    <w:rsid w:val="00017982"/>
    <w:rsid w:val="0002340E"/>
    <w:rsid w:val="0002675B"/>
    <w:rsid w:val="000277F0"/>
    <w:rsid w:val="00033F15"/>
    <w:rsid w:val="00043805"/>
    <w:rsid w:val="00045D1B"/>
    <w:rsid w:val="00054660"/>
    <w:rsid w:val="000646C4"/>
    <w:rsid w:val="00067471"/>
    <w:rsid w:val="0008386D"/>
    <w:rsid w:val="000853A2"/>
    <w:rsid w:val="000A08A4"/>
    <w:rsid w:val="000A221C"/>
    <w:rsid w:val="000A458E"/>
    <w:rsid w:val="000B1BA5"/>
    <w:rsid w:val="000B6BB0"/>
    <w:rsid w:val="000C282C"/>
    <w:rsid w:val="000C52BD"/>
    <w:rsid w:val="000C6136"/>
    <w:rsid w:val="000D2963"/>
    <w:rsid w:val="000D29D8"/>
    <w:rsid w:val="000E0E84"/>
    <w:rsid w:val="000F63BF"/>
    <w:rsid w:val="000F687B"/>
    <w:rsid w:val="000F7249"/>
    <w:rsid w:val="001006AA"/>
    <w:rsid w:val="00101D23"/>
    <w:rsid w:val="00105E38"/>
    <w:rsid w:val="001060A6"/>
    <w:rsid w:val="00106B68"/>
    <w:rsid w:val="00120E58"/>
    <w:rsid w:val="00131A25"/>
    <w:rsid w:val="0013764E"/>
    <w:rsid w:val="0014229E"/>
    <w:rsid w:val="00144B27"/>
    <w:rsid w:val="0014526A"/>
    <w:rsid w:val="001563FB"/>
    <w:rsid w:val="00170603"/>
    <w:rsid w:val="001707F3"/>
    <w:rsid w:val="001715D2"/>
    <w:rsid w:val="001756E6"/>
    <w:rsid w:val="00183DE4"/>
    <w:rsid w:val="00196302"/>
    <w:rsid w:val="001977D9"/>
    <w:rsid w:val="001A26A6"/>
    <w:rsid w:val="001B0E5B"/>
    <w:rsid w:val="001B4CBD"/>
    <w:rsid w:val="001B57B0"/>
    <w:rsid w:val="001B67FF"/>
    <w:rsid w:val="001C3C91"/>
    <w:rsid w:val="001C547E"/>
    <w:rsid w:val="001D6F5D"/>
    <w:rsid w:val="001E66B1"/>
    <w:rsid w:val="001F72C4"/>
    <w:rsid w:val="001F7F22"/>
    <w:rsid w:val="002075BC"/>
    <w:rsid w:val="00211821"/>
    <w:rsid w:val="00222447"/>
    <w:rsid w:val="00223850"/>
    <w:rsid w:val="00223E79"/>
    <w:rsid w:val="002262BA"/>
    <w:rsid w:val="00251783"/>
    <w:rsid w:val="00252C33"/>
    <w:rsid w:val="0025669C"/>
    <w:rsid w:val="00257294"/>
    <w:rsid w:val="00263052"/>
    <w:rsid w:val="00264AE3"/>
    <w:rsid w:val="002714B1"/>
    <w:rsid w:val="002731BA"/>
    <w:rsid w:val="00274BCF"/>
    <w:rsid w:val="00284949"/>
    <w:rsid w:val="002920AF"/>
    <w:rsid w:val="002934D8"/>
    <w:rsid w:val="0029464A"/>
    <w:rsid w:val="002C4DB3"/>
    <w:rsid w:val="002C6446"/>
    <w:rsid w:val="002C6B85"/>
    <w:rsid w:val="002C762A"/>
    <w:rsid w:val="002E0DE2"/>
    <w:rsid w:val="002E2AD1"/>
    <w:rsid w:val="002E36FE"/>
    <w:rsid w:val="002F6B4A"/>
    <w:rsid w:val="00302754"/>
    <w:rsid w:val="00303A78"/>
    <w:rsid w:val="00303BC8"/>
    <w:rsid w:val="00312013"/>
    <w:rsid w:val="00324625"/>
    <w:rsid w:val="0034602A"/>
    <w:rsid w:val="00347E2B"/>
    <w:rsid w:val="00354038"/>
    <w:rsid w:val="00355905"/>
    <w:rsid w:val="00366969"/>
    <w:rsid w:val="003672F2"/>
    <w:rsid w:val="00376C24"/>
    <w:rsid w:val="003773FA"/>
    <w:rsid w:val="00380A86"/>
    <w:rsid w:val="0038212D"/>
    <w:rsid w:val="00386578"/>
    <w:rsid w:val="003A3AD4"/>
    <w:rsid w:val="003A5305"/>
    <w:rsid w:val="003B2EB1"/>
    <w:rsid w:val="003C1250"/>
    <w:rsid w:val="003C63CD"/>
    <w:rsid w:val="003D01E1"/>
    <w:rsid w:val="003E2C46"/>
    <w:rsid w:val="003E501F"/>
    <w:rsid w:val="00404896"/>
    <w:rsid w:val="004149C9"/>
    <w:rsid w:val="00414E0B"/>
    <w:rsid w:val="00416DE3"/>
    <w:rsid w:val="004220CD"/>
    <w:rsid w:val="00427FA6"/>
    <w:rsid w:val="00431038"/>
    <w:rsid w:val="004352F2"/>
    <w:rsid w:val="004417BD"/>
    <w:rsid w:val="00442835"/>
    <w:rsid w:val="00444367"/>
    <w:rsid w:val="004445E5"/>
    <w:rsid w:val="00446C71"/>
    <w:rsid w:val="00447B12"/>
    <w:rsid w:val="00454503"/>
    <w:rsid w:val="00457159"/>
    <w:rsid w:val="00457AE4"/>
    <w:rsid w:val="00462A46"/>
    <w:rsid w:val="00482FFE"/>
    <w:rsid w:val="004A0E2C"/>
    <w:rsid w:val="004A4E7E"/>
    <w:rsid w:val="004B1562"/>
    <w:rsid w:val="004B531B"/>
    <w:rsid w:val="004B77C1"/>
    <w:rsid w:val="004C1A54"/>
    <w:rsid w:val="004C5A3A"/>
    <w:rsid w:val="004E0261"/>
    <w:rsid w:val="004E16F0"/>
    <w:rsid w:val="004E2DAC"/>
    <w:rsid w:val="00504F51"/>
    <w:rsid w:val="00507CA6"/>
    <w:rsid w:val="005107D1"/>
    <w:rsid w:val="005121E2"/>
    <w:rsid w:val="00515C6B"/>
    <w:rsid w:val="0052593C"/>
    <w:rsid w:val="00534281"/>
    <w:rsid w:val="00540084"/>
    <w:rsid w:val="00546977"/>
    <w:rsid w:val="005473C5"/>
    <w:rsid w:val="00550DBA"/>
    <w:rsid w:val="005576D6"/>
    <w:rsid w:val="00561117"/>
    <w:rsid w:val="005824DB"/>
    <w:rsid w:val="00584CA4"/>
    <w:rsid w:val="00586FD3"/>
    <w:rsid w:val="00590799"/>
    <w:rsid w:val="00590C31"/>
    <w:rsid w:val="00594644"/>
    <w:rsid w:val="0059593B"/>
    <w:rsid w:val="005A3BAA"/>
    <w:rsid w:val="005B2CC7"/>
    <w:rsid w:val="005C28BD"/>
    <w:rsid w:val="005C376D"/>
    <w:rsid w:val="005E4E9B"/>
    <w:rsid w:val="005E5C31"/>
    <w:rsid w:val="005E5C8A"/>
    <w:rsid w:val="0060250A"/>
    <w:rsid w:val="00611DEF"/>
    <w:rsid w:val="006145C8"/>
    <w:rsid w:val="00615785"/>
    <w:rsid w:val="00616E43"/>
    <w:rsid w:val="00623366"/>
    <w:rsid w:val="00630609"/>
    <w:rsid w:val="00632644"/>
    <w:rsid w:val="006437CF"/>
    <w:rsid w:val="00643A0A"/>
    <w:rsid w:val="00644B4A"/>
    <w:rsid w:val="006535B3"/>
    <w:rsid w:val="00654F38"/>
    <w:rsid w:val="00666910"/>
    <w:rsid w:val="00671574"/>
    <w:rsid w:val="006818DC"/>
    <w:rsid w:val="00682FD2"/>
    <w:rsid w:val="00684D7B"/>
    <w:rsid w:val="006851BF"/>
    <w:rsid w:val="006873C1"/>
    <w:rsid w:val="00695502"/>
    <w:rsid w:val="006A515D"/>
    <w:rsid w:val="006B348E"/>
    <w:rsid w:val="006C6BDB"/>
    <w:rsid w:val="006D1A09"/>
    <w:rsid w:val="006D2340"/>
    <w:rsid w:val="006F34FB"/>
    <w:rsid w:val="006F56A0"/>
    <w:rsid w:val="0070089F"/>
    <w:rsid w:val="00716337"/>
    <w:rsid w:val="00730625"/>
    <w:rsid w:val="00731029"/>
    <w:rsid w:val="00731967"/>
    <w:rsid w:val="00762DE7"/>
    <w:rsid w:val="00766D7C"/>
    <w:rsid w:val="00770F54"/>
    <w:rsid w:val="007836E6"/>
    <w:rsid w:val="00783AB9"/>
    <w:rsid w:val="007A2863"/>
    <w:rsid w:val="007C1612"/>
    <w:rsid w:val="007C5185"/>
    <w:rsid w:val="007C7D9D"/>
    <w:rsid w:val="007D43F9"/>
    <w:rsid w:val="007D6BDA"/>
    <w:rsid w:val="007E1D92"/>
    <w:rsid w:val="007E767F"/>
    <w:rsid w:val="007F463C"/>
    <w:rsid w:val="007F7DBA"/>
    <w:rsid w:val="008006C3"/>
    <w:rsid w:val="00811138"/>
    <w:rsid w:val="008201AE"/>
    <w:rsid w:val="00827618"/>
    <w:rsid w:val="0082773A"/>
    <w:rsid w:val="00830DB5"/>
    <w:rsid w:val="008343A6"/>
    <w:rsid w:val="008358CD"/>
    <w:rsid w:val="008435C6"/>
    <w:rsid w:val="008504DA"/>
    <w:rsid w:val="00852D92"/>
    <w:rsid w:val="0085747F"/>
    <w:rsid w:val="00864F33"/>
    <w:rsid w:val="008657A1"/>
    <w:rsid w:val="00874302"/>
    <w:rsid w:val="008770DA"/>
    <w:rsid w:val="0088284A"/>
    <w:rsid w:val="008970E7"/>
    <w:rsid w:val="008B7F71"/>
    <w:rsid w:val="008C0251"/>
    <w:rsid w:val="008C23F0"/>
    <w:rsid w:val="008C32A9"/>
    <w:rsid w:val="008D7888"/>
    <w:rsid w:val="008E1BAE"/>
    <w:rsid w:val="008E520B"/>
    <w:rsid w:val="008E7D04"/>
    <w:rsid w:val="008F16EF"/>
    <w:rsid w:val="00901219"/>
    <w:rsid w:val="009154D7"/>
    <w:rsid w:val="00920BB5"/>
    <w:rsid w:val="009213E7"/>
    <w:rsid w:val="00923D4C"/>
    <w:rsid w:val="00926E5B"/>
    <w:rsid w:val="00936435"/>
    <w:rsid w:val="00941BEE"/>
    <w:rsid w:val="00956CD8"/>
    <w:rsid w:val="00960FB0"/>
    <w:rsid w:val="0096385C"/>
    <w:rsid w:val="00966479"/>
    <w:rsid w:val="00966E27"/>
    <w:rsid w:val="00973D24"/>
    <w:rsid w:val="00977826"/>
    <w:rsid w:val="00992C65"/>
    <w:rsid w:val="00994160"/>
    <w:rsid w:val="009A4179"/>
    <w:rsid w:val="009B64F6"/>
    <w:rsid w:val="009D018D"/>
    <w:rsid w:val="009D3B84"/>
    <w:rsid w:val="009D650C"/>
    <w:rsid w:val="009D66D1"/>
    <w:rsid w:val="009E0D06"/>
    <w:rsid w:val="009F77F0"/>
    <w:rsid w:val="00A030C7"/>
    <w:rsid w:val="00A07E0F"/>
    <w:rsid w:val="00A104A7"/>
    <w:rsid w:val="00A11AD4"/>
    <w:rsid w:val="00A15886"/>
    <w:rsid w:val="00A17075"/>
    <w:rsid w:val="00A36497"/>
    <w:rsid w:val="00A43D31"/>
    <w:rsid w:val="00A44D58"/>
    <w:rsid w:val="00A467BD"/>
    <w:rsid w:val="00A50130"/>
    <w:rsid w:val="00A55110"/>
    <w:rsid w:val="00A56E80"/>
    <w:rsid w:val="00A614DE"/>
    <w:rsid w:val="00A63C09"/>
    <w:rsid w:val="00A65161"/>
    <w:rsid w:val="00A74C85"/>
    <w:rsid w:val="00A773F3"/>
    <w:rsid w:val="00A774AC"/>
    <w:rsid w:val="00A83577"/>
    <w:rsid w:val="00A94035"/>
    <w:rsid w:val="00A94835"/>
    <w:rsid w:val="00A9529E"/>
    <w:rsid w:val="00A976EB"/>
    <w:rsid w:val="00AB7362"/>
    <w:rsid w:val="00AC7C31"/>
    <w:rsid w:val="00AC7F2F"/>
    <w:rsid w:val="00AE5C6C"/>
    <w:rsid w:val="00AE5D78"/>
    <w:rsid w:val="00AF21E3"/>
    <w:rsid w:val="00AF67F8"/>
    <w:rsid w:val="00AF6EFF"/>
    <w:rsid w:val="00B019BA"/>
    <w:rsid w:val="00B02921"/>
    <w:rsid w:val="00B050F7"/>
    <w:rsid w:val="00B0648F"/>
    <w:rsid w:val="00B07861"/>
    <w:rsid w:val="00B128A0"/>
    <w:rsid w:val="00B1453E"/>
    <w:rsid w:val="00B26FE9"/>
    <w:rsid w:val="00B33A66"/>
    <w:rsid w:val="00B37B08"/>
    <w:rsid w:val="00B42078"/>
    <w:rsid w:val="00B43B8E"/>
    <w:rsid w:val="00B54AEA"/>
    <w:rsid w:val="00B6302A"/>
    <w:rsid w:val="00B730F6"/>
    <w:rsid w:val="00B732C4"/>
    <w:rsid w:val="00B76853"/>
    <w:rsid w:val="00B80940"/>
    <w:rsid w:val="00B851CA"/>
    <w:rsid w:val="00B8647F"/>
    <w:rsid w:val="00B910EF"/>
    <w:rsid w:val="00B91747"/>
    <w:rsid w:val="00B91CA5"/>
    <w:rsid w:val="00B9427D"/>
    <w:rsid w:val="00B977CB"/>
    <w:rsid w:val="00BA228C"/>
    <w:rsid w:val="00BA2C50"/>
    <w:rsid w:val="00BB7CF8"/>
    <w:rsid w:val="00BC3FEE"/>
    <w:rsid w:val="00BC589E"/>
    <w:rsid w:val="00BD428B"/>
    <w:rsid w:val="00BD7032"/>
    <w:rsid w:val="00BE027B"/>
    <w:rsid w:val="00BE13AB"/>
    <w:rsid w:val="00BE2EDA"/>
    <w:rsid w:val="00BE3C72"/>
    <w:rsid w:val="00C00781"/>
    <w:rsid w:val="00C111FE"/>
    <w:rsid w:val="00C143B9"/>
    <w:rsid w:val="00C25319"/>
    <w:rsid w:val="00C2538F"/>
    <w:rsid w:val="00C26D7B"/>
    <w:rsid w:val="00C34C11"/>
    <w:rsid w:val="00C42A9A"/>
    <w:rsid w:val="00C52623"/>
    <w:rsid w:val="00C56954"/>
    <w:rsid w:val="00C620C1"/>
    <w:rsid w:val="00C70F85"/>
    <w:rsid w:val="00C72EEF"/>
    <w:rsid w:val="00C921A8"/>
    <w:rsid w:val="00C970DB"/>
    <w:rsid w:val="00CA4119"/>
    <w:rsid w:val="00CA4869"/>
    <w:rsid w:val="00CA48CA"/>
    <w:rsid w:val="00CA5889"/>
    <w:rsid w:val="00CB0336"/>
    <w:rsid w:val="00CB2E45"/>
    <w:rsid w:val="00CC0146"/>
    <w:rsid w:val="00CC4E8A"/>
    <w:rsid w:val="00CC61A6"/>
    <w:rsid w:val="00CD46F6"/>
    <w:rsid w:val="00CF235C"/>
    <w:rsid w:val="00CF5DFF"/>
    <w:rsid w:val="00D015E7"/>
    <w:rsid w:val="00D05415"/>
    <w:rsid w:val="00D05EBD"/>
    <w:rsid w:val="00D05FDD"/>
    <w:rsid w:val="00D26BFF"/>
    <w:rsid w:val="00D329B3"/>
    <w:rsid w:val="00D339B0"/>
    <w:rsid w:val="00D42EFC"/>
    <w:rsid w:val="00D4366C"/>
    <w:rsid w:val="00D504ED"/>
    <w:rsid w:val="00D56A7F"/>
    <w:rsid w:val="00D607D1"/>
    <w:rsid w:val="00D626EE"/>
    <w:rsid w:val="00D66019"/>
    <w:rsid w:val="00D73E51"/>
    <w:rsid w:val="00D7404A"/>
    <w:rsid w:val="00D82088"/>
    <w:rsid w:val="00D83DD8"/>
    <w:rsid w:val="00DA1DA7"/>
    <w:rsid w:val="00DA7AF1"/>
    <w:rsid w:val="00DB267B"/>
    <w:rsid w:val="00DB54F8"/>
    <w:rsid w:val="00DB771E"/>
    <w:rsid w:val="00DC4DEE"/>
    <w:rsid w:val="00DC5435"/>
    <w:rsid w:val="00DC660F"/>
    <w:rsid w:val="00E02FC0"/>
    <w:rsid w:val="00E1587E"/>
    <w:rsid w:val="00E20CA4"/>
    <w:rsid w:val="00E25B52"/>
    <w:rsid w:val="00E26E5C"/>
    <w:rsid w:val="00E31ED0"/>
    <w:rsid w:val="00E33CCE"/>
    <w:rsid w:val="00E50944"/>
    <w:rsid w:val="00E61076"/>
    <w:rsid w:val="00E66CFE"/>
    <w:rsid w:val="00E7412A"/>
    <w:rsid w:val="00E81F6A"/>
    <w:rsid w:val="00E8799D"/>
    <w:rsid w:val="00E87C49"/>
    <w:rsid w:val="00E920DC"/>
    <w:rsid w:val="00E94D3B"/>
    <w:rsid w:val="00EC29C2"/>
    <w:rsid w:val="00EC7E01"/>
    <w:rsid w:val="00ED4993"/>
    <w:rsid w:val="00ED6656"/>
    <w:rsid w:val="00EE038B"/>
    <w:rsid w:val="00EE0F12"/>
    <w:rsid w:val="00EF44C3"/>
    <w:rsid w:val="00F0217E"/>
    <w:rsid w:val="00F03987"/>
    <w:rsid w:val="00F35D8E"/>
    <w:rsid w:val="00F43B6E"/>
    <w:rsid w:val="00F43CDC"/>
    <w:rsid w:val="00F44354"/>
    <w:rsid w:val="00F44F8D"/>
    <w:rsid w:val="00F5529D"/>
    <w:rsid w:val="00F60D05"/>
    <w:rsid w:val="00F65774"/>
    <w:rsid w:val="00F66EC7"/>
    <w:rsid w:val="00F748CF"/>
    <w:rsid w:val="00F7598F"/>
    <w:rsid w:val="00F813B7"/>
    <w:rsid w:val="00F85F42"/>
    <w:rsid w:val="00F916F5"/>
    <w:rsid w:val="00F934E7"/>
    <w:rsid w:val="00F94E9E"/>
    <w:rsid w:val="00FA0185"/>
    <w:rsid w:val="00FA1CEE"/>
    <w:rsid w:val="00FA5975"/>
    <w:rsid w:val="00FB4A75"/>
    <w:rsid w:val="00FC2976"/>
    <w:rsid w:val="00FC30EB"/>
    <w:rsid w:val="00FC543F"/>
    <w:rsid w:val="00FD4FC1"/>
    <w:rsid w:val="00FE5023"/>
    <w:rsid w:val="00FE5213"/>
    <w:rsid w:val="00FE6FA9"/>
    <w:rsid w:val="0109BB2D"/>
    <w:rsid w:val="0330124A"/>
    <w:rsid w:val="04841FE7"/>
    <w:rsid w:val="04F86BB4"/>
    <w:rsid w:val="077D74B0"/>
    <w:rsid w:val="07A64942"/>
    <w:rsid w:val="0B5E5922"/>
    <w:rsid w:val="0B72800D"/>
    <w:rsid w:val="0B750B1F"/>
    <w:rsid w:val="0D35C105"/>
    <w:rsid w:val="0EE0729C"/>
    <w:rsid w:val="0F3B8222"/>
    <w:rsid w:val="0F96456D"/>
    <w:rsid w:val="118F90D8"/>
    <w:rsid w:val="1403B011"/>
    <w:rsid w:val="141EFC05"/>
    <w:rsid w:val="165404E0"/>
    <w:rsid w:val="16A90C92"/>
    <w:rsid w:val="1719C033"/>
    <w:rsid w:val="1845331D"/>
    <w:rsid w:val="192F9640"/>
    <w:rsid w:val="19C94850"/>
    <w:rsid w:val="1A1A132B"/>
    <w:rsid w:val="1B52B310"/>
    <w:rsid w:val="1C81330B"/>
    <w:rsid w:val="240491AB"/>
    <w:rsid w:val="2496FF13"/>
    <w:rsid w:val="25A44CEE"/>
    <w:rsid w:val="2695B4A7"/>
    <w:rsid w:val="284F2F32"/>
    <w:rsid w:val="29280CDD"/>
    <w:rsid w:val="292A732D"/>
    <w:rsid w:val="2987E330"/>
    <w:rsid w:val="3080024A"/>
    <w:rsid w:val="3151C40C"/>
    <w:rsid w:val="3188882A"/>
    <w:rsid w:val="32992288"/>
    <w:rsid w:val="357744E0"/>
    <w:rsid w:val="3646551F"/>
    <w:rsid w:val="380D9F9D"/>
    <w:rsid w:val="38C23D2D"/>
    <w:rsid w:val="3BF5B960"/>
    <w:rsid w:val="3C6315C2"/>
    <w:rsid w:val="3D980E79"/>
    <w:rsid w:val="3DBAFF81"/>
    <w:rsid w:val="3E3FC8A0"/>
    <w:rsid w:val="3F333A4A"/>
    <w:rsid w:val="438A0704"/>
    <w:rsid w:val="44C5F391"/>
    <w:rsid w:val="45C10B85"/>
    <w:rsid w:val="464A7D3D"/>
    <w:rsid w:val="4798D0A3"/>
    <w:rsid w:val="492F4B99"/>
    <w:rsid w:val="4A3EAE6A"/>
    <w:rsid w:val="4ED3686C"/>
    <w:rsid w:val="51F7829E"/>
    <w:rsid w:val="543CD633"/>
    <w:rsid w:val="545D3F5D"/>
    <w:rsid w:val="559A8336"/>
    <w:rsid w:val="56C7584A"/>
    <w:rsid w:val="58821BEA"/>
    <w:rsid w:val="58DD142D"/>
    <w:rsid w:val="58E5236D"/>
    <w:rsid w:val="5B7D98AC"/>
    <w:rsid w:val="5BF18B4C"/>
    <w:rsid w:val="5C899867"/>
    <w:rsid w:val="62CBDAEE"/>
    <w:rsid w:val="6397B484"/>
    <w:rsid w:val="69AFE73C"/>
    <w:rsid w:val="6CA5B2C8"/>
    <w:rsid w:val="6EABBE8A"/>
    <w:rsid w:val="6F5A9FB1"/>
    <w:rsid w:val="7163016B"/>
    <w:rsid w:val="71E26D48"/>
    <w:rsid w:val="7417D30A"/>
    <w:rsid w:val="742BFBEC"/>
    <w:rsid w:val="74B4805E"/>
    <w:rsid w:val="782999A8"/>
    <w:rsid w:val="797EC842"/>
    <w:rsid w:val="79DD3EFB"/>
    <w:rsid w:val="7B263F5B"/>
    <w:rsid w:val="7B78841C"/>
    <w:rsid w:val="7B79ED84"/>
    <w:rsid w:val="7F44549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9CF3"/>
  <w15:chartTrackingRefBased/>
  <w15:docId w15:val="{910387F5-65E3-4BCC-A283-E12C686C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A7F"/>
    <w:pPr>
      <w:spacing w:line="259" w:lineRule="auto"/>
    </w:pPr>
    <w:rPr>
      <w:kern w:val="0"/>
      <w:sz w:val="22"/>
      <w:szCs w:val="22"/>
      <w14:ligatures w14:val="none"/>
    </w:rPr>
  </w:style>
  <w:style w:type="paragraph" w:styleId="Heading1">
    <w:name w:val="heading 1"/>
    <w:basedOn w:val="Normal"/>
    <w:next w:val="Normal"/>
    <w:link w:val="Heading1Char"/>
    <w:uiPriority w:val="9"/>
    <w:qFormat/>
    <w:rsid w:val="00D56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6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56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56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56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56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56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6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56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56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56A7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56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56A7F"/>
    <w:rPr>
      <w:rFonts w:eastAsiaTheme="majorEastAsia" w:cstheme="majorBidi"/>
      <w:color w:val="272727" w:themeColor="text1" w:themeTint="D8"/>
    </w:rPr>
  </w:style>
  <w:style w:type="paragraph" w:styleId="Title">
    <w:name w:val="Title"/>
    <w:basedOn w:val="Normal"/>
    <w:next w:val="Normal"/>
    <w:link w:val="TitleChar"/>
    <w:uiPriority w:val="10"/>
    <w:qFormat/>
    <w:rsid w:val="00D56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A7F"/>
    <w:pPr>
      <w:spacing w:before="160"/>
      <w:jc w:val="center"/>
    </w:pPr>
    <w:rPr>
      <w:i/>
      <w:iCs/>
      <w:color w:val="404040" w:themeColor="text1" w:themeTint="BF"/>
    </w:rPr>
  </w:style>
  <w:style w:type="character" w:customStyle="1" w:styleId="QuoteChar">
    <w:name w:val="Quote Char"/>
    <w:basedOn w:val="DefaultParagraphFont"/>
    <w:link w:val="Quote"/>
    <w:uiPriority w:val="29"/>
    <w:rsid w:val="00D56A7F"/>
    <w:rPr>
      <w:i/>
      <w:iCs/>
      <w:color w:val="404040" w:themeColor="text1" w:themeTint="BF"/>
    </w:rPr>
  </w:style>
  <w:style w:type="paragraph" w:styleId="ListParagraph">
    <w:name w:val="List Paragraph"/>
    <w:aliases w:val="Number-style,2,Normal bullet 2,Bullet list,List Paragraph1,Saraksta rindkopa1,H&amp;P List Paragraph,Strip,Colorful List - Accent 12"/>
    <w:basedOn w:val="Normal"/>
    <w:link w:val="ListParagraphChar"/>
    <w:uiPriority w:val="34"/>
    <w:qFormat/>
    <w:rsid w:val="00D56A7F"/>
    <w:pPr>
      <w:ind w:left="720"/>
      <w:contextualSpacing/>
    </w:pPr>
  </w:style>
  <w:style w:type="character" w:styleId="IntenseEmphasis">
    <w:name w:val="Intense Emphasis"/>
    <w:basedOn w:val="DefaultParagraphFont"/>
    <w:uiPriority w:val="21"/>
    <w:qFormat/>
    <w:rsid w:val="00D56A7F"/>
    <w:rPr>
      <w:i/>
      <w:iCs/>
      <w:color w:val="0F4761" w:themeColor="accent1" w:themeShade="BF"/>
    </w:rPr>
  </w:style>
  <w:style w:type="paragraph" w:styleId="IntenseQuote">
    <w:name w:val="Intense Quote"/>
    <w:basedOn w:val="Normal"/>
    <w:next w:val="Normal"/>
    <w:link w:val="IntenseQuoteChar"/>
    <w:uiPriority w:val="30"/>
    <w:qFormat/>
    <w:rsid w:val="00D56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A7F"/>
    <w:rPr>
      <w:i/>
      <w:iCs/>
      <w:color w:val="0F4761" w:themeColor="accent1" w:themeShade="BF"/>
    </w:rPr>
  </w:style>
  <w:style w:type="character" w:styleId="IntenseReference">
    <w:name w:val="Intense Reference"/>
    <w:basedOn w:val="DefaultParagraphFont"/>
    <w:uiPriority w:val="32"/>
    <w:qFormat/>
    <w:rsid w:val="00D56A7F"/>
    <w:rPr>
      <w:b/>
      <w:bCs/>
      <w:smallCaps/>
      <w:color w:val="0F4761" w:themeColor="accent1" w:themeShade="BF"/>
      <w:spacing w:val="5"/>
    </w:rPr>
  </w:style>
  <w:style w:type="paragraph" w:styleId="Header">
    <w:name w:val="header"/>
    <w:basedOn w:val="Normal"/>
    <w:link w:val="HeaderChar"/>
    <w:uiPriority w:val="99"/>
    <w:unhideWhenUsed/>
    <w:rsid w:val="00D56A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6A7F"/>
    <w:rPr>
      <w:kern w:val="0"/>
      <w:sz w:val="22"/>
      <w:szCs w:val="22"/>
      <w14:ligatures w14:val="none"/>
    </w:rPr>
  </w:style>
  <w:style w:type="paragraph" w:styleId="Footer">
    <w:name w:val="footer"/>
    <w:basedOn w:val="Normal"/>
    <w:link w:val="FooterChar"/>
    <w:uiPriority w:val="99"/>
    <w:unhideWhenUsed/>
    <w:rsid w:val="00D56A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6A7F"/>
    <w:rPr>
      <w:kern w:val="0"/>
      <w:sz w:val="22"/>
      <w:szCs w:val="22"/>
      <w14:ligatures w14:val="none"/>
    </w:rPr>
  </w:style>
  <w:style w:type="character" w:styleId="CommentReference">
    <w:name w:val="annotation reference"/>
    <w:basedOn w:val="DefaultParagraphFont"/>
    <w:uiPriority w:val="99"/>
    <w:semiHidden/>
    <w:unhideWhenUsed/>
    <w:rsid w:val="00D56A7F"/>
    <w:rPr>
      <w:sz w:val="16"/>
      <w:szCs w:val="16"/>
    </w:rPr>
  </w:style>
  <w:style w:type="paragraph" w:styleId="CommentText">
    <w:name w:val="annotation text"/>
    <w:basedOn w:val="Normal"/>
    <w:link w:val="CommentTextChar"/>
    <w:uiPriority w:val="99"/>
    <w:unhideWhenUsed/>
    <w:rsid w:val="00D56A7F"/>
    <w:pPr>
      <w:spacing w:line="240" w:lineRule="auto"/>
    </w:pPr>
    <w:rPr>
      <w:sz w:val="20"/>
      <w:szCs w:val="20"/>
    </w:rPr>
  </w:style>
  <w:style w:type="character" w:customStyle="1" w:styleId="CommentTextChar">
    <w:name w:val="Comment Text Char"/>
    <w:basedOn w:val="DefaultParagraphFont"/>
    <w:link w:val="CommentText"/>
    <w:uiPriority w:val="99"/>
    <w:rsid w:val="00D56A7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6A7F"/>
    <w:rPr>
      <w:b/>
      <w:bCs/>
    </w:rPr>
  </w:style>
  <w:style w:type="character" w:customStyle="1" w:styleId="CommentSubjectChar">
    <w:name w:val="Comment Subject Char"/>
    <w:basedOn w:val="CommentTextChar"/>
    <w:link w:val="CommentSubject"/>
    <w:uiPriority w:val="99"/>
    <w:semiHidden/>
    <w:rsid w:val="00D56A7F"/>
    <w:rPr>
      <w:b/>
      <w:bCs/>
      <w:kern w:val="0"/>
      <w:sz w:val="20"/>
      <w:szCs w:val="20"/>
      <w14:ligatures w14:val="none"/>
    </w:rPr>
  </w:style>
  <w:style w:type="paragraph" w:styleId="BalloonText">
    <w:name w:val="Balloon Text"/>
    <w:basedOn w:val="Normal"/>
    <w:link w:val="BalloonTextChar"/>
    <w:uiPriority w:val="99"/>
    <w:semiHidden/>
    <w:unhideWhenUsed/>
    <w:rsid w:val="00D56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A7F"/>
    <w:rPr>
      <w:rFonts w:ascii="Segoe UI" w:hAnsi="Segoe UI" w:cs="Segoe UI"/>
      <w:kern w:val="0"/>
      <w:sz w:val="18"/>
      <w:szCs w:val="18"/>
      <w14:ligatures w14:val="none"/>
    </w:rPr>
  </w:style>
  <w:style w:type="paragraph" w:customStyle="1" w:styleId="Default">
    <w:name w:val="Default"/>
    <w:rsid w:val="00D56A7F"/>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D56A7F"/>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D56A7F"/>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rsid w:val="00D56A7F"/>
    <w:rPr>
      <w:vertAlign w:val="superscript"/>
    </w:rPr>
  </w:style>
  <w:style w:type="character" w:styleId="Hyperlink">
    <w:name w:val="Hyperlink"/>
    <w:basedOn w:val="DefaultParagraphFont"/>
    <w:uiPriority w:val="99"/>
    <w:unhideWhenUsed/>
    <w:rsid w:val="00D56A7F"/>
    <w:rPr>
      <w:color w:val="0000FF"/>
      <w:u w:val="single"/>
    </w:rPr>
  </w:style>
  <w:style w:type="paragraph" w:customStyle="1" w:styleId="tv213">
    <w:name w:val="tv213"/>
    <w:basedOn w:val="Normal"/>
    <w:rsid w:val="00D56A7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Normal"/>
    <w:rsid w:val="00D56A7F"/>
    <w:pPr>
      <w:spacing w:after="0" w:line="360" w:lineRule="auto"/>
      <w:ind w:firstLine="300"/>
    </w:pPr>
    <w:rPr>
      <w:rFonts w:ascii="Times New Roman" w:eastAsia="Calibri" w:hAnsi="Times New Roman" w:cs="Times New Roman"/>
      <w:color w:val="414142"/>
      <w:sz w:val="20"/>
      <w:szCs w:val="20"/>
      <w:lang w:eastAsia="lv-LV"/>
    </w:rPr>
  </w:style>
  <w:style w:type="paragraph" w:customStyle="1" w:styleId="xmsonormal">
    <w:name w:val="x_msonormal"/>
    <w:basedOn w:val="Normal"/>
    <w:rsid w:val="00D56A7F"/>
    <w:pPr>
      <w:spacing w:after="0" w:line="240" w:lineRule="auto"/>
    </w:pPr>
    <w:rPr>
      <w:rFonts w:ascii="Times New Roman" w:hAnsi="Times New Roman" w:cs="Times New Roman"/>
      <w:sz w:val="24"/>
      <w:szCs w:val="24"/>
      <w:lang w:eastAsia="lv-LV"/>
    </w:rPr>
  </w:style>
  <w:style w:type="paragraph" w:styleId="Revision">
    <w:name w:val="Revision"/>
    <w:hidden/>
    <w:uiPriority w:val="99"/>
    <w:semiHidden/>
    <w:rsid w:val="00D56A7F"/>
    <w:pPr>
      <w:spacing w:after="0" w:line="240" w:lineRule="auto"/>
    </w:pPr>
    <w:rPr>
      <w:kern w:val="0"/>
      <w:sz w:val="22"/>
      <w:szCs w:val="22"/>
      <w14:ligatures w14:val="none"/>
    </w:rPr>
  </w:style>
  <w:style w:type="table" w:styleId="TableGrid">
    <w:name w:val="Table Grid"/>
    <w:aliases w:val="CV table"/>
    <w:basedOn w:val="TableNormal"/>
    <w:rsid w:val="00D56A7F"/>
    <w:pPr>
      <w:spacing w:after="0" w:line="240" w:lineRule="auto"/>
    </w:pPr>
    <w:rPr>
      <w:rFonts w:ascii="Times New Roman" w:eastAsia="Times New Roman" w:hAnsi="Times New Roman" w:cs="Times New Roman"/>
      <w:kern w:val="0"/>
      <w:sz w:val="20"/>
      <w:szCs w:val="20"/>
      <w:lang w:val="en-GB" w:eastAsia="en-GB"/>
      <w14:ligatures w14:val="none"/>
    </w:rPr>
    <w:tblPr/>
    <w:tcPr>
      <w:shd w:val="clear" w:color="auto" w:fill="FF00FF"/>
    </w:tcPr>
  </w:style>
  <w:style w:type="character" w:customStyle="1" w:styleId="ListParagraphChar">
    <w:name w:val="List Paragraph Char"/>
    <w:aliases w:val="Number-style Char,2 Char,Normal bullet 2 Char,Bullet list Char,List Paragraph1 Char,Saraksta rindkopa1 Char,H&amp;P List Paragraph Char,Strip Char,Colorful List - Accent 12 Char"/>
    <w:link w:val="ListParagraph"/>
    <w:uiPriority w:val="34"/>
    <w:qFormat/>
    <w:locked/>
    <w:rsid w:val="00D56A7F"/>
  </w:style>
  <w:style w:type="paragraph" w:styleId="Caption">
    <w:name w:val="caption"/>
    <w:basedOn w:val="Normal"/>
    <w:next w:val="Normal"/>
    <w:unhideWhenUsed/>
    <w:qFormat/>
    <w:rsid w:val="00D56A7F"/>
    <w:pPr>
      <w:keepNext/>
      <w:spacing w:before="120" w:after="0" w:line="240" w:lineRule="auto"/>
      <w:jc w:val="both"/>
    </w:pPr>
    <w:rPr>
      <w:rFonts w:ascii="Arial" w:eastAsia="Times New Roman" w:hAnsi="Arial" w:cs="Arial"/>
      <w:b/>
      <w:bCs/>
      <w:sz w:val="18"/>
      <w:szCs w:val="18"/>
      <w:lang w:eastAsia="lv-LV"/>
    </w:rPr>
  </w:style>
  <w:style w:type="paragraph" w:styleId="BodyText">
    <w:name w:val="Body Text"/>
    <w:basedOn w:val="Normal"/>
    <w:link w:val="BodyTextChar"/>
    <w:rsid w:val="00D56A7F"/>
    <w:pPr>
      <w:spacing w:before="120" w:after="120" w:line="240" w:lineRule="auto"/>
      <w:jc w:val="both"/>
    </w:pPr>
    <w:rPr>
      <w:rFonts w:ascii="EYInterstate Light" w:eastAsia="Times New Roman" w:hAnsi="EYInterstate Light" w:cs="Arial"/>
      <w:szCs w:val="24"/>
      <w:lang w:eastAsia="lv-LV"/>
    </w:rPr>
  </w:style>
  <w:style w:type="character" w:customStyle="1" w:styleId="BodyTextChar">
    <w:name w:val="Body Text Char"/>
    <w:basedOn w:val="DefaultParagraphFont"/>
    <w:link w:val="BodyText"/>
    <w:rsid w:val="00D56A7F"/>
    <w:rPr>
      <w:rFonts w:ascii="EYInterstate Light" w:eastAsia="Times New Roman" w:hAnsi="EYInterstate Light" w:cs="Arial"/>
      <w:kern w:val="0"/>
      <w:sz w:val="22"/>
      <w:lang w:eastAsia="lv-LV"/>
      <w14:ligatures w14:val="none"/>
    </w:rPr>
  </w:style>
  <w:style w:type="character" w:customStyle="1" w:styleId="UnresolvedMention1">
    <w:name w:val="Unresolved Mention1"/>
    <w:basedOn w:val="DefaultParagraphFont"/>
    <w:uiPriority w:val="99"/>
    <w:semiHidden/>
    <w:unhideWhenUsed/>
    <w:rsid w:val="00D56A7F"/>
    <w:rPr>
      <w:color w:val="605E5C"/>
      <w:shd w:val="clear" w:color="auto" w:fill="E1DFDD"/>
    </w:rPr>
  </w:style>
  <w:style w:type="paragraph" w:customStyle="1" w:styleId="CharCharCharChar">
    <w:name w:val="Char Char Char Char"/>
    <w:aliases w:val="Char2"/>
    <w:basedOn w:val="Normal"/>
    <w:link w:val="FootnoteReference"/>
    <w:uiPriority w:val="99"/>
    <w:rsid w:val="00D56A7F"/>
    <w:pPr>
      <w:spacing w:line="240" w:lineRule="exact"/>
      <w:jc w:val="both"/>
    </w:pPr>
    <w:rPr>
      <w:kern w:val="2"/>
      <w:sz w:val="24"/>
      <w:szCs w:val="24"/>
      <w:vertAlign w:val="superscript"/>
      <w14:ligatures w14:val="standardContextual"/>
    </w:rPr>
  </w:style>
  <w:style w:type="paragraph" w:styleId="TOCHeading">
    <w:name w:val="TOC Heading"/>
    <w:basedOn w:val="Heading1"/>
    <w:next w:val="Normal"/>
    <w:uiPriority w:val="39"/>
    <w:unhideWhenUsed/>
    <w:qFormat/>
    <w:rsid w:val="00D56A7F"/>
    <w:pPr>
      <w:spacing w:before="240" w:after="0"/>
      <w:outlineLvl w:val="9"/>
    </w:pPr>
    <w:rPr>
      <w:sz w:val="32"/>
      <w:szCs w:val="32"/>
      <w:lang w:eastAsia="lv-LV"/>
    </w:rPr>
  </w:style>
  <w:style w:type="paragraph" w:styleId="TOC1">
    <w:name w:val="toc 1"/>
    <w:basedOn w:val="Normal"/>
    <w:next w:val="Normal"/>
    <w:autoRedefine/>
    <w:uiPriority w:val="39"/>
    <w:unhideWhenUsed/>
    <w:rsid w:val="00D56A7F"/>
    <w:pPr>
      <w:tabs>
        <w:tab w:val="left" w:pos="440"/>
        <w:tab w:val="right" w:leader="dot" w:pos="9061"/>
      </w:tabs>
      <w:spacing w:after="100"/>
    </w:pPr>
  </w:style>
  <w:style w:type="character" w:styleId="FollowedHyperlink">
    <w:name w:val="FollowedHyperlink"/>
    <w:basedOn w:val="DefaultParagraphFont"/>
    <w:uiPriority w:val="99"/>
    <w:semiHidden/>
    <w:unhideWhenUsed/>
    <w:rsid w:val="00D56A7F"/>
    <w:rPr>
      <w:color w:val="96607D" w:themeColor="followedHyperlink"/>
      <w:u w:val="single"/>
    </w:rPr>
  </w:style>
  <w:style w:type="paragraph" w:customStyle="1" w:styleId="Parasts1">
    <w:name w:val="Parasts1"/>
    <w:basedOn w:val="Normal"/>
    <w:rsid w:val="00D56A7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D56A7F"/>
  </w:style>
  <w:style w:type="paragraph" w:customStyle="1" w:styleId="Headline1">
    <w:name w:val="Headline 1"/>
    <w:link w:val="Headline1Char"/>
    <w:rsid w:val="00D56A7F"/>
    <w:pPr>
      <w:spacing w:after="240" w:line="240" w:lineRule="auto"/>
    </w:pPr>
    <w:rPr>
      <w:rFonts w:ascii="EYInterstate Regular" w:eastAsia="Times New Roman" w:hAnsi="EYInterstate Regular" w:cs="Arial"/>
      <w:bCs/>
      <w:color w:val="808080"/>
      <w:kern w:val="32"/>
      <w:sz w:val="48"/>
      <w:szCs w:val="48"/>
      <w:lang w:val="en-US" w:eastAsia="lv-LV"/>
      <w14:ligatures w14:val="none"/>
    </w:rPr>
  </w:style>
  <w:style w:type="character" w:customStyle="1" w:styleId="Headline1Char">
    <w:name w:val="Headline 1 Char"/>
    <w:basedOn w:val="Heading1Char"/>
    <w:link w:val="Headline1"/>
    <w:rsid w:val="00D56A7F"/>
    <w:rPr>
      <w:rFonts w:ascii="EYInterstate Regular" w:eastAsia="Times New Roman" w:hAnsi="EYInterstate Regular" w:cs="Arial"/>
      <w:bCs/>
      <w:color w:val="808080"/>
      <w:kern w:val="32"/>
      <w:sz w:val="48"/>
      <w:szCs w:val="48"/>
      <w:lang w:val="en-US" w:eastAsia="lv-LV"/>
      <w14:ligatures w14:val="none"/>
    </w:rPr>
  </w:style>
  <w:style w:type="character" w:styleId="UnresolvedMention">
    <w:name w:val="Unresolved Mention"/>
    <w:basedOn w:val="DefaultParagraphFont"/>
    <w:uiPriority w:val="99"/>
    <w:semiHidden/>
    <w:unhideWhenUsed/>
    <w:rsid w:val="00D56A7F"/>
    <w:rPr>
      <w:color w:val="605E5C"/>
      <w:shd w:val="clear" w:color="auto" w:fill="E1DFDD"/>
    </w:rPr>
  </w:style>
  <w:style w:type="paragraph" w:customStyle="1" w:styleId="paragraph">
    <w:name w:val="paragraph"/>
    <w:basedOn w:val="Normal"/>
    <w:rsid w:val="00CB033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CB0336"/>
  </w:style>
  <w:style w:type="character" w:customStyle="1" w:styleId="superscript">
    <w:name w:val="superscript"/>
    <w:basedOn w:val="DefaultParagraphFont"/>
    <w:rsid w:val="00CB0336"/>
  </w:style>
  <w:style w:type="character" w:customStyle="1" w:styleId="eop">
    <w:name w:val="eop"/>
    <w:basedOn w:val="DefaultParagraphFont"/>
    <w:rsid w:val="00CB0336"/>
  </w:style>
  <w:style w:type="paragraph" w:customStyle="1" w:styleId="pf0">
    <w:name w:val="pf0"/>
    <w:basedOn w:val="Normal"/>
    <w:rsid w:val="0014229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1422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57818">
      <w:bodyDiv w:val="1"/>
      <w:marLeft w:val="0"/>
      <w:marRight w:val="0"/>
      <w:marTop w:val="0"/>
      <w:marBottom w:val="0"/>
      <w:divBdr>
        <w:top w:val="none" w:sz="0" w:space="0" w:color="auto"/>
        <w:left w:val="none" w:sz="0" w:space="0" w:color="auto"/>
        <w:bottom w:val="none" w:sz="0" w:space="0" w:color="auto"/>
        <w:right w:val="none" w:sz="0" w:space="0" w:color="auto"/>
      </w:divBdr>
    </w:div>
    <w:div w:id="1074165585">
      <w:bodyDiv w:val="1"/>
      <w:marLeft w:val="0"/>
      <w:marRight w:val="0"/>
      <w:marTop w:val="0"/>
      <w:marBottom w:val="0"/>
      <w:divBdr>
        <w:top w:val="none" w:sz="0" w:space="0" w:color="auto"/>
        <w:left w:val="none" w:sz="0" w:space="0" w:color="auto"/>
        <w:bottom w:val="none" w:sz="0" w:space="0" w:color="auto"/>
        <w:right w:val="none" w:sz="0" w:space="0" w:color="auto"/>
      </w:divBdr>
    </w:div>
    <w:div w:id="1159080555">
      <w:bodyDiv w:val="1"/>
      <w:marLeft w:val="0"/>
      <w:marRight w:val="0"/>
      <w:marTop w:val="0"/>
      <w:marBottom w:val="0"/>
      <w:divBdr>
        <w:top w:val="none" w:sz="0" w:space="0" w:color="auto"/>
        <w:left w:val="none" w:sz="0" w:space="0" w:color="auto"/>
        <w:bottom w:val="none" w:sz="0" w:space="0" w:color="auto"/>
        <w:right w:val="none" w:sz="0" w:space="0" w:color="auto"/>
      </w:divBdr>
    </w:div>
    <w:div w:id="1240407810">
      <w:bodyDiv w:val="1"/>
      <w:marLeft w:val="0"/>
      <w:marRight w:val="0"/>
      <w:marTop w:val="0"/>
      <w:marBottom w:val="0"/>
      <w:divBdr>
        <w:top w:val="none" w:sz="0" w:space="0" w:color="auto"/>
        <w:left w:val="none" w:sz="0" w:space="0" w:color="auto"/>
        <w:bottom w:val="none" w:sz="0" w:space="0" w:color="auto"/>
        <w:right w:val="none" w:sz="0" w:space="0" w:color="auto"/>
      </w:divBdr>
      <w:divsChild>
        <w:div w:id="205266219">
          <w:marLeft w:val="0"/>
          <w:marRight w:val="0"/>
          <w:marTop w:val="0"/>
          <w:marBottom w:val="0"/>
          <w:divBdr>
            <w:top w:val="none" w:sz="0" w:space="0" w:color="auto"/>
            <w:left w:val="none" w:sz="0" w:space="0" w:color="auto"/>
            <w:bottom w:val="none" w:sz="0" w:space="0" w:color="auto"/>
            <w:right w:val="none" w:sz="0" w:space="0" w:color="auto"/>
          </w:divBdr>
        </w:div>
        <w:div w:id="385028110">
          <w:marLeft w:val="0"/>
          <w:marRight w:val="0"/>
          <w:marTop w:val="0"/>
          <w:marBottom w:val="0"/>
          <w:divBdr>
            <w:top w:val="none" w:sz="0" w:space="0" w:color="auto"/>
            <w:left w:val="none" w:sz="0" w:space="0" w:color="auto"/>
            <w:bottom w:val="none" w:sz="0" w:space="0" w:color="auto"/>
            <w:right w:val="none" w:sz="0" w:space="0" w:color="auto"/>
          </w:divBdr>
        </w:div>
        <w:div w:id="769394442">
          <w:marLeft w:val="0"/>
          <w:marRight w:val="0"/>
          <w:marTop w:val="0"/>
          <w:marBottom w:val="0"/>
          <w:divBdr>
            <w:top w:val="none" w:sz="0" w:space="0" w:color="auto"/>
            <w:left w:val="none" w:sz="0" w:space="0" w:color="auto"/>
            <w:bottom w:val="none" w:sz="0" w:space="0" w:color="auto"/>
            <w:right w:val="none" w:sz="0" w:space="0" w:color="auto"/>
          </w:divBdr>
        </w:div>
        <w:div w:id="886140620">
          <w:marLeft w:val="0"/>
          <w:marRight w:val="0"/>
          <w:marTop w:val="0"/>
          <w:marBottom w:val="0"/>
          <w:divBdr>
            <w:top w:val="none" w:sz="0" w:space="0" w:color="auto"/>
            <w:left w:val="none" w:sz="0" w:space="0" w:color="auto"/>
            <w:bottom w:val="none" w:sz="0" w:space="0" w:color="auto"/>
            <w:right w:val="none" w:sz="0" w:space="0" w:color="auto"/>
          </w:divBdr>
        </w:div>
        <w:div w:id="1652558850">
          <w:marLeft w:val="0"/>
          <w:marRight w:val="0"/>
          <w:marTop w:val="0"/>
          <w:marBottom w:val="0"/>
          <w:divBdr>
            <w:top w:val="none" w:sz="0" w:space="0" w:color="auto"/>
            <w:left w:val="none" w:sz="0" w:space="0" w:color="auto"/>
            <w:bottom w:val="none" w:sz="0" w:space="0" w:color="auto"/>
            <w:right w:val="none" w:sz="0" w:space="0" w:color="auto"/>
          </w:divBdr>
        </w:div>
        <w:div w:id="1800415611">
          <w:marLeft w:val="0"/>
          <w:marRight w:val="0"/>
          <w:marTop w:val="0"/>
          <w:marBottom w:val="0"/>
          <w:divBdr>
            <w:top w:val="none" w:sz="0" w:space="0" w:color="auto"/>
            <w:left w:val="none" w:sz="0" w:space="0" w:color="auto"/>
            <w:bottom w:val="none" w:sz="0" w:space="0" w:color="auto"/>
            <w:right w:val="none" w:sz="0" w:space="0" w:color="auto"/>
          </w:divBdr>
        </w:div>
        <w:div w:id="2064986768">
          <w:marLeft w:val="0"/>
          <w:marRight w:val="0"/>
          <w:marTop w:val="0"/>
          <w:marBottom w:val="0"/>
          <w:divBdr>
            <w:top w:val="none" w:sz="0" w:space="0" w:color="auto"/>
            <w:left w:val="none" w:sz="0" w:space="0" w:color="auto"/>
            <w:bottom w:val="none" w:sz="0" w:space="0" w:color="auto"/>
            <w:right w:val="none" w:sz="0" w:space="0" w:color="auto"/>
          </w:divBdr>
        </w:div>
        <w:div w:id="2065516551">
          <w:marLeft w:val="0"/>
          <w:marRight w:val="0"/>
          <w:marTop w:val="0"/>
          <w:marBottom w:val="0"/>
          <w:divBdr>
            <w:top w:val="none" w:sz="0" w:space="0" w:color="auto"/>
            <w:left w:val="none" w:sz="0" w:space="0" w:color="auto"/>
            <w:bottom w:val="none" w:sz="0" w:space="0" w:color="auto"/>
            <w:right w:val="none" w:sz="0" w:space="0" w:color="auto"/>
          </w:divBdr>
        </w:div>
      </w:divsChild>
    </w:div>
    <w:div w:id="20257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67199" TargetMode="External"/><Relationship Id="rId2" Type="http://schemas.openxmlformats.org/officeDocument/2006/relationships/hyperlink" Target="https://eur-lex.europa.eu/legal-content/LV/TXT/?uri=uriserv:OJ.C_.2016.262.01.0001.01.LAV&amp;toc=OJ:C:2016:262:TOC" TargetMode="External"/><Relationship Id="rId1" Type="http://schemas.openxmlformats.org/officeDocument/2006/relationships/hyperlink" Target="https://www.fm.gov.lv/lv/skaidrojosie-material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6" ma:contentTypeDescription="Create a new document." ma:contentTypeScope="" ma:versionID="41890bda6158d14fe800c8465c29744d">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8e26d1388bd883af7e536c0e485daf54"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3b1628-1f20-4777-bcf2-af83427ee057}"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Props1.xml><?xml version="1.0" encoding="utf-8"?>
<ds:datastoreItem xmlns:ds="http://schemas.openxmlformats.org/officeDocument/2006/customXml" ds:itemID="{CEAB2FFE-0D57-4A8A-B516-1F11610588ED}"/>
</file>

<file path=customXml/itemProps2.xml><?xml version="1.0" encoding="utf-8"?>
<ds:datastoreItem xmlns:ds="http://schemas.openxmlformats.org/officeDocument/2006/customXml" ds:itemID="{1F5CE6C9-9812-47A3-B373-39BA9A2E15D7}">
  <ds:schemaRefs>
    <ds:schemaRef ds:uri="http://schemas.microsoft.com/sharepoint/v3/contenttype/forms"/>
  </ds:schemaRefs>
</ds:datastoreItem>
</file>

<file path=customXml/itemProps3.xml><?xml version="1.0" encoding="utf-8"?>
<ds:datastoreItem xmlns:ds="http://schemas.openxmlformats.org/officeDocument/2006/customXml" ds:itemID="{DFAA0BB1-60CF-4349-BB4D-4F2832B6CFE8}">
  <ds:schemaRefs>
    <ds:schemaRef ds:uri="http://schemas.openxmlformats.org/officeDocument/2006/bibliography"/>
  </ds:schemaRefs>
</ds:datastoreItem>
</file>

<file path=customXml/itemProps4.xml><?xml version="1.0" encoding="utf-8"?>
<ds:datastoreItem xmlns:ds="http://schemas.openxmlformats.org/officeDocument/2006/customXml" ds:itemID="{4B54DF91-938A-4BA7-8470-7517F5954D32}">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10</Pages>
  <Words>9731</Words>
  <Characters>5548</Characters>
  <Application>Microsoft Office Word</Application>
  <DocSecurity>4</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Rokpelne</dc:creator>
  <cp:keywords/>
  <dc:description/>
  <cp:lastModifiedBy>Sarmīte Krišāne</cp:lastModifiedBy>
  <cp:revision>2</cp:revision>
  <dcterms:created xsi:type="dcterms:W3CDTF">2026-01-30T10:36:00Z</dcterms:created>
  <dcterms:modified xsi:type="dcterms:W3CDTF">2026-01-30T10:36:00Z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