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B4553" w:rsidP="769706F0" w:rsidRDefault="00FB4553" w14:paraId="618BC181" w14:textId="3A739ABC">
      <w:pPr>
        <w:jc w:val="center"/>
        <w:rPr>
          <w:rStyle w:val="normaltextrun"/>
          <w:rFonts w:ascii="Aptos" w:hAnsi="Aptos" w:eastAsia="游ゴシック Light" w:eastAsiaTheme="majorEastAsia"/>
          <w:b w:val="1"/>
          <w:bCs w:val="1"/>
        </w:rPr>
      </w:pPr>
      <w:r w:rsidRPr="769706F0" w:rsidR="6E0C0291">
        <w:rPr>
          <w:rStyle w:val="normaltextrun"/>
          <w:rFonts w:ascii="Aptos" w:hAnsi="Aptos" w:eastAsia="游ゴシック Light" w:eastAsiaTheme="majorEastAsia"/>
          <w:b w:val="1"/>
          <w:bCs w:val="1"/>
        </w:rPr>
        <w:t xml:space="preserve">4.2.1.specifiskā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(turpmāk – SAM pasākums) </w:t>
      </w:r>
      <w:r w:rsidRPr="769706F0" w:rsidR="6E0C0291">
        <w:rPr>
          <w:rStyle w:val="normaltextrun"/>
          <w:rFonts w:ascii="Aptos" w:hAnsi="Aptos" w:eastAsia="游ゴシック Light" w:eastAsiaTheme="majorEastAsia"/>
          <w:b w:val="1"/>
          <w:bCs w:val="1"/>
        </w:rPr>
        <w:t>trešās</w:t>
      </w:r>
      <w:r w:rsidRPr="769706F0" w:rsidR="6E0C0291">
        <w:rPr>
          <w:rStyle w:val="normaltextrun"/>
          <w:rFonts w:ascii="Aptos" w:hAnsi="Aptos" w:eastAsia="游ゴシック Light" w:eastAsiaTheme="majorEastAsia"/>
          <w:b w:val="1"/>
          <w:bCs w:val="1"/>
        </w:rPr>
        <w:t xml:space="preserve"> projektu iesniegumu atlases kārtas</w:t>
      </w:r>
      <w:r w:rsidRPr="769706F0" w:rsidR="6E0C0291">
        <w:rPr>
          <w:rStyle w:val="normaltextrun"/>
          <w:rFonts w:ascii="Aptos" w:hAnsi="Aptos" w:eastAsia="游ゴシック Light" w:eastAsiaTheme="majorEastAsia"/>
          <w:b w:val="1"/>
          <w:bCs w:val="1"/>
        </w:rPr>
        <w:t xml:space="preserve"> </w:t>
      </w:r>
      <w:r w:rsidRPr="769706F0" w:rsidR="68D55D94">
        <w:rPr>
          <w:rStyle w:val="normaltextrun"/>
          <w:rFonts w:ascii="Aptos" w:hAnsi="Aptos" w:eastAsia="游ゴシック Light" w:eastAsiaTheme="majorEastAsia"/>
          <w:b w:val="1"/>
          <w:bCs w:val="1"/>
        </w:rPr>
        <w:t xml:space="preserve">informatīvs </w:t>
      </w:r>
      <w:r w:rsidRPr="769706F0" w:rsidR="6E0C0291">
        <w:rPr>
          <w:rStyle w:val="normaltextrun"/>
          <w:rFonts w:ascii="Aptos" w:hAnsi="Aptos" w:eastAsia="游ゴシック Light" w:eastAsiaTheme="majorEastAsia"/>
          <w:b w:val="1"/>
          <w:bCs w:val="1"/>
        </w:rPr>
        <w:t>palīgmateriāls</w:t>
      </w:r>
      <w:r w:rsidRPr="769706F0" w:rsidR="6E0C0291">
        <w:rPr>
          <w:rStyle w:val="normaltextrun"/>
          <w:rFonts w:ascii="Aptos" w:hAnsi="Aptos" w:eastAsia="游ゴシック Light" w:eastAsiaTheme="majorEastAsia"/>
          <w:b w:val="1"/>
          <w:bCs w:val="1"/>
        </w:rPr>
        <w:t xml:space="preserve"> </w:t>
      </w:r>
      <w:r w:rsidRPr="769706F0" w:rsidR="6E0C0291">
        <w:rPr>
          <w:rStyle w:val="normaltextrun"/>
          <w:rFonts w:ascii="Aptos" w:hAnsi="Aptos" w:eastAsia="游ゴシック Light" w:eastAsiaTheme="majorEastAsia"/>
          <w:b w:val="1"/>
          <w:bCs w:val="1"/>
        </w:rPr>
        <w:t>budžeta kopsavilkuma izveidei</w:t>
      </w:r>
    </w:p>
    <w:p w:rsidR="00FB4553" w:rsidP="00FB4553" w:rsidRDefault="00FB4553" w14:paraId="498B584A" w14:textId="77777777">
      <w:pPr>
        <w:jc w:val="center"/>
        <w:rPr>
          <w:rFonts w:ascii="Aptos" w:hAnsi="Aptos" w:eastAsia="Times New Roman"/>
          <w:b/>
          <w:bCs/>
          <w:sz w:val="32"/>
          <w:szCs w:val="32"/>
        </w:rPr>
      </w:pPr>
    </w:p>
    <w:p w:rsidRPr="00CD30E0" w:rsidR="00FB4553" w:rsidP="00FB4553" w:rsidRDefault="00FB4553" w14:paraId="01C6F457" w14:textId="77777777">
      <w:pPr>
        <w:jc w:val="center"/>
        <w:rPr>
          <w:rFonts w:ascii="Aptos" w:hAnsi="Aptos"/>
        </w:rPr>
      </w:pPr>
      <w:r w:rsidRPr="00CD30E0">
        <w:rPr>
          <w:rFonts w:ascii="Aptos" w:hAnsi="Aptos" w:eastAsia="Times New Roman"/>
          <w:b/>
          <w:bCs/>
          <w:sz w:val="32"/>
          <w:szCs w:val="32"/>
        </w:rPr>
        <w:t>SADAĻA – BUDŽETA KOPSAVILKUMS</w:t>
      </w:r>
    </w:p>
    <w:p w:rsidRPr="00CD30E0" w:rsidR="00FB4553" w:rsidP="00FB4553" w:rsidRDefault="00FB4553" w14:paraId="48985ED5" w14:textId="77777777">
      <w:pPr>
        <w:jc w:val="center"/>
        <w:rPr>
          <w:rFonts w:ascii="Aptos" w:hAnsi="Aptos" w:eastAsia="Times New Roman"/>
          <w:sz w:val="32"/>
          <w:szCs w:val="32"/>
          <w:highlight w:val="yellow"/>
        </w:rPr>
      </w:pPr>
    </w:p>
    <w:tbl>
      <w:tblPr>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29"/>
        <w:gridCol w:w="6096"/>
        <w:gridCol w:w="992"/>
        <w:gridCol w:w="1134"/>
        <w:gridCol w:w="1134"/>
        <w:gridCol w:w="2410"/>
        <w:gridCol w:w="708"/>
        <w:gridCol w:w="709"/>
      </w:tblGrid>
      <w:tr w:rsidRPr="00CD30E0" w:rsidR="00FB4553" w:rsidTr="6C15EBC2" w14:paraId="12DB9D10" w14:textId="77777777">
        <w:trPr>
          <w:trHeight w:val="1326"/>
          <w:jc w:val="center"/>
        </w:trPr>
        <w:tc>
          <w:tcPr>
            <w:tcW w:w="1129"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CD30E0" w:rsidR="00FB4553" w:rsidP="00521EF9" w:rsidRDefault="00FB4553" w14:paraId="187AF830" w14:textId="77777777">
            <w:pPr>
              <w:spacing w:after="160" w:line="256" w:lineRule="auto"/>
              <w:jc w:val="center"/>
              <w:rPr>
                <w:rFonts w:ascii="Aptos" w:hAnsi="Aptos" w:eastAsia="Calibri"/>
                <w:b/>
                <w:bCs/>
                <w:sz w:val="22"/>
                <w:szCs w:val="22"/>
                <w:lang w:eastAsia="en-US"/>
              </w:rPr>
            </w:pPr>
            <w:r w:rsidRPr="00CD30E0">
              <w:rPr>
                <w:rFonts w:ascii="Aptos" w:hAnsi="Aptos" w:eastAsia="Calibri"/>
                <w:b/>
                <w:bCs/>
                <w:sz w:val="22"/>
                <w:szCs w:val="22"/>
                <w:lang w:eastAsia="en-US"/>
              </w:rPr>
              <w:t>Budžeta pozīcijas kods</w:t>
            </w:r>
          </w:p>
        </w:tc>
        <w:tc>
          <w:tcPr>
            <w:tcW w:w="6096"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CD30E0" w:rsidR="00FB4553" w:rsidP="00521EF9" w:rsidRDefault="00FB4553" w14:paraId="408FF5A5" w14:textId="77777777">
            <w:pPr>
              <w:spacing w:after="160" w:line="256" w:lineRule="auto"/>
              <w:jc w:val="center"/>
              <w:rPr>
                <w:rFonts w:ascii="Aptos" w:hAnsi="Aptos" w:eastAsia="Calibri"/>
                <w:b/>
                <w:bCs/>
                <w:sz w:val="22"/>
                <w:szCs w:val="22"/>
                <w:lang w:eastAsia="en-US"/>
              </w:rPr>
            </w:pPr>
            <w:r w:rsidRPr="00CD30E0">
              <w:rPr>
                <w:rFonts w:ascii="Aptos" w:hAnsi="Aptos" w:eastAsia="Calibri"/>
                <w:b/>
                <w:bCs/>
                <w:sz w:val="22"/>
                <w:szCs w:val="22"/>
                <w:lang w:eastAsia="en-US"/>
              </w:rPr>
              <w:t>Nosaukums</w:t>
            </w:r>
          </w:p>
        </w:tc>
        <w:tc>
          <w:tcPr>
            <w:tcW w:w="992"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CD30E0" w:rsidR="00FB4553" w:rsidP="00521EF9" w:rsidRDefault="00FB4553" w14:paraId="6DCF9B39" w14:textId="77777777">
            <w:pPr>
              <w:spacing w:after="160" w:line="256" w:lineRule="auto"/>
              <w:jc w:val="center"/>
              <w:rPr>
                <w:rFonts w:ascii="Aptos" w:hAnsi="Aptos" w:eastAsia="Calibri"/>
                <w:b/>
                <w:bCs/>
                <w:sz w:val="22"/>
                <w:szCs w:val="22"/>
                <w:lang w:eastAsia="en-US"/>
              </w:rPr>
            </w:pPr>
            <w:r w:rsidRPr="00CD30E0">
              <w:rPr>
                <w:rFonts w:ascii="Aptos" w:hAnsi="Aptos" w:eastAsia="Calibri"/>
                <w:b/>
                <w:bCs/>
                <w:sz w:val="22"/>
                <w:szCs w:val="22"/>
                <w:lang w:eastAsia="en-US"/>
              </w:rPr>
              <w:t>Izmaksu veids</w:t>
            </w:r>
          </w:p>
        </w:tc>
        <w:tc>
          <w:tcPr>
            <w:tcW w:w="1134" w:type="dxa"/>
            <w:tcBorders>
              <w:top w:val="single" w:color="auto" w:sz="4" w:space="0"/>
              <w:left w:val="single" w:color="auto" w:sz="4" w:space="0"/>
              <w:bottom w:val="single" w:color="auto" w:sz="4" w:space="0"/>
              <w:right w:val="single" w:color="auto" w:sz="4" w:space="0"/>
            </w:tcBorders>
            <w:shd w:val="clear" w:color="auto" w:fill="A1CBC6"/>
            <w:hideMark/>
          </w:tcPr>
          <w:p w:rsidRPr="00CD30E0" w:rsidR="00FB4553" w:rsidP="00521EF9" w:rsidRDefault="00FB4553" w14:paraId="5082C335" w14:textId="77777777">
            <w:pPr>
              <w:spacing w:after="160" w:line="256" w:lineRule="auto"/>
              <w:jc w:val="center"/>
              <w:rPr>
                <w:rFonts w:ascii="Aptos" w:hAnsi="Aptos" w:eastAsia="Calibri"/>
                <w:b/>
                <w:sz w:val="22"/>
                <w:szCs w:val="22"/>
                <w:lang w:eastAsia="en-US"/>
              </w:rPr>
            </w:pPr>
            <w:r w:rsidRPr="00CD30E0">
              <w:rPr>
                <w:rFonts w:ascii="Aptos" w:hAnsi="Aptos"/>
                <w:b/>
                <w:bCs/>
                <w:sz w:val="22"/>
                <w:szCs w:val="22"/>
              </w:rPr>
              <w:t>Vienas vienības izmaksu pielieto-jums</w:t>
            </w:r>
          </w:p>
        </w:tc>
        <w:tc>
          <w:tcPr>
            <w:tcW w:w="1134"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CD30E0" w:rsidR="00FB4553" w:rsidP="00521EF9" w:rsidRDefault="00FB4553" w14:paraId="43879881" w14:textId="77777777">
            <w:pPr>
              <w:spacing w:after="160" w:line="256" w:lineRule="auto"/>
              <w:jc w:val="center"/>
              <w:rPr>
                <w:rFonts w:ascii="Aptos" w:hAnsi="Aptos" w:eastAsia="Calibri"/>
                <w:b/>
                <w:sz w:val="22"/>
                <w:szCs w:val="22"/>
                <w:lang w:eastAsia="en-US"/>
              </w:rPr>
            </w:pPr>
            <w:r w:rsidRPr="00CD30E0">
              <w:rPr>
                <w:rFonts w:ascii="Aptos" w:hAnsi="Aptos" w:eastAsia="Calibri"/>
                <w:b/>
                <w:sz w:val="22"/>
                <w:szCs w:val="22"/>
                <w:lang w:eastAsia="en-US"/>
              </w:rPr>
              <w:t>Projekta darbības numurs</w:t>
            </w:r>
          </w:p>
        </w:tc>
        <w:tc>
          <w:tcPr>
            <w:tcW w:w="2410" w:type="dxa"/>
            <w:tcBorders>
              <w:top w:val="single" w:color="auto" w:sz="4" w:space="0"/>
              <w:left w:val="single" w:color="auto" w:sz="4" w:space="0"/>
              <w:right w:val="single" w:color="auto" w:sz="4" w:space="0"/>
            </w:tcBorders>
            <w:shd w:val="clear" w:color="auto" w:fill="A1CBC6"/>
            <w:vAlign w:val="center"/>
            <w:hideMark/>
          </w:tcPr>
          <w:p w:rsidRPr="00CD30E0" w:rsidR="00FB4553" w:rsidP="00521EF9" w:rsidRDefault="00FB4553" w14:paraId="43F254F2" w14:textId="77777777">
            <w:pPr>
              <w:spacing w:after="160" w:line="256" w:lineRule="auto"/>
              <w:jc w:val="center"/>
              <w:rPr>
                <w:rFonts w:ascii="Aptos" w:hAnsi="Aptos" w:eastAsia="Calibri"/>
                <w:b/>
                <w:sz w:val="22"/>
                <w:szCs w:val="22"/>
                <w:lang w:eastAsia="en-US"/>
              </w:rPr>
            </w:pPr>
            <w:r w:rsidRPr="00CD30E0">
              <w:rPr>
                <w:rFonts w:ascii="Aptos" w:hAnsi="Aptos" w:eastAsia="Calibri"/>
                <w:b/>
                <w:bCs/>
                <w:sz w:val="22"/>
                <w:szCs w:val="22"/>
                <w:lang w:eastAsia="en-US"/>
              </w:rPr>
              <w:t>Attiecināmā summa</w:t>
            </w:r>
          </w:p>
        </w:tc>
        <w:tc>
          <w:tcPr>
            <w:tcW w:w="708" w:type="dxa"/>
            <w:tcBorders>
              <w:top w:val="single" w:color="auto" w:sz="4" w:space="0"/>
              <w:left w:val="single" w:color="auto" w:sz="4" w:space="0"/>
              <w:right w:val="single" w:color="auto" w:sz="4" w:space="0"/>
            </w:tcBorders>
            <w:shd w:val="clear" w:color="auto" w:fill="A1CBC6"/>
            <w:vAlign w:val="center"/>
          </w:tcPr>
          <w:p w:rsidRPr="00CD30E0" w:rsidR="00FB4553" w:rsidP="00521EF9" w:rsidRDefault="00FB4553" w14:paraId="42B197B6" w14:textId="77777777">
            <w:pPr>
              <w:spacing w:after="160" w:line="256" w:lineRule="auto"/>
              <w:jc w:val="center"/>
              <w:rPr>
                <w:rFonts w:ascii="Aptos" w:hAnsi="Aptos" w:eastAsia="Calibri"/>
                <w:b/>
                <w:sz w:val="22"/>
                <w:szCs w:val="22"/>
                <w:lang w:eastAsia="en-US"/>
              </w:rPr>
            </w:pPr>
            <w:r w:rsidRPr="00CD30E0">
              <w:rPr>
                <w:rFonts w:ascii="Aptos" w:hAnsi="Aptos" w:eastAsia="Calibri"/>
                <w:b/>
                <w:sz w:val="22"/>
                <w:szCs w:val="22"/>
                <w:lang w:eastAsia="en-US"/>
              </w:rPr>
              <w:t>%</w:t>
            </w:r>
          </w:p>
        </w:tc>
        <w:tc>
          <w:tcPr>
            <w:tcW w:w="709"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CD30E0" w:rsidR="00FB4553" w:rsidP="00521EF9" w:rsidRDefault="00FB4553" w14:paraId="32160C1E" w14:textId="77777777">
            <w:pPr>
              <w:spacing w:after="160" w:line="256" w:lineRule="auto"/>
              <w:jc w:val="center"/>
              <w:rPr>
                <w:rFonts w:ascii="Aptos" w:hAnsi="Aptos" w:eastAsia="Calibri"/>
                <w:b/>
                <w:sz w:val="22"/>
                <w:szCs w:val="22"/>
                <w:lang w:eastAsia="en-US"/>
              </w:rPr>
            </w:pPr>
            <w:r w:rsidRPr="00CD30E0">
              <w:rPr>
                <w:rFonts w:ascii="Aptos" w:hAnsi="Aptos" w:eastAsia="Calibri"/>
                <w:b/>
                <w:sz w:val="22"/>
                <w:szCs w:val="22"/>
                <w:lang w:eastAsia="en-US"/>
              </w:rPr>
              <w:t>t.sk. PVN</w:t>
            </w:r>
          </w:p>
        </w:tc>
      </w:tr>
      <w:tr w:rsidRPr="00CD30E0" w:rsidR="00FB4553" w:rsidTr="6C15EBC2" w14:paraId="00DD0724"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00CD30E0" w:rsidR="00FB4553" w:rsidP="00521EF9" w:rsidRDefault="00FB4553" w14:paraId="0E253134" w14:textId="77777777">
            <w:pPr>
              <w:rPr>
                <w:rFonts w:ascii="Aptos" w:hAnsi="Aptos" w:eastAsia="Calibri"/>
                <w:sz w:val="22"/>
                <w:szCs w:val="22"/>
                <w:lang w:eastAsia="en-US"/>
              </w:rPr>
            </w:pPr>
            <w:r w:rsidRPr="00CD30E0">
              <w:rPr>
                <w:rFonts w:ascii="Aptos" w:hAnsi="Aptos" w:eastAsia="Calibri"/>
                <w:b/>
                <w:bCs/>
                <w:sz w:val="22"/>
                <w:szCs w:val="22"/>
                <w:lang w:eastAsia="en-US"/>
              </w:rPr>
              <w:t>6.</w:t>
            </w:r>
          </w:p>
        </w:tc>
        <w:tc>
          <w:tcPr>
            <w:tcW w:w="6096" w:type="dxa"/>
            <w:tcBorders>
              <w:top w:val="nil"/>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43DD48D2" w14:textId="77777777">
            <w:pPr>
              <w:jc w:val="both"/>
              <w:rPr>
                <w:rFonts w:ascii="Aptos" w:hAnsi="Aptos" w:eastAsia="Calibri"/>
                <w:sz w:val="22"/>
                <w:szCs w:val="22"/>
                <w:lang w:eastAsia="en-US"/>
              </w:rPr>
            </w:pPr>
            <w:r w:rsidRPr="00CD30E0">
              <w:rPr>
                <w:rFonts w:ascii="Aptos" w:hAnsi="Aptos" w:eastAsia="Calibri"/>
                <w:b/>
                <w:bCs/>
                <w:sz w:val="22"/>
                <w:szCs w:val="22"/>
                <w:lang w:eastAsia="en-US"/>
              </w:rPr>
              <w:t>Materiālu, aprīkojuma un iekārtu izmaksas</w:t>
            </w:r>
          </w:p>
        </w:tc>
        <w:tc>
          <w:tcPr>
            <w:tcW w:w="992" w:type="dxa"/>
            <w:tcBorders>
              <w:top w:val="nil"/>
              <w:left w:val="nil"/>
              <w:bottom w:val="single" w:color="auto" w:sz="4" w:space="0"/>
              <w:right w:val="single" w:color="auto" w:sz="4" w:space="0"/>
            </w:tcBorders>
            <w:shd w:val="clear" w:color="auto" w:fill="CBEBE3"/>
            <w:vAlign w:val="center"/>
          </w:tcPr>
          <w:p w:rsidRPr="00CD30E0" w:rsidR="00FB4553" w:rsidP="00521EF9" w:rsidRDefault="00FB4553" w14:paraId="1B3F6B38"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B010F65"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2B87D8B"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AB50E0C" w14:textId="77777777">
            <w:pPr>
              <w:jc w:val="right"/>
              <w:rPr>
                <w:rFonts w:ascii="Aptos" w:hAnsi="Aptos" w:eastAsia="Calibri"/>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EE89FF4"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D4D12F5" w14:textId="77777777">
            <w:pPr>
              <w:jc w:val="right"/>
              <w:rPr>
                <w:rFonts w:ascii="Aptos" w:hAnsi="Aptos" w:eastAsia="Calibri"/>
                <w:sz w:val="22"/>
                <w:szCs w:val="22"/>
                <w:lang w:eastAsia="en-US"/>
              </w:rPr>
            </w:pPr>
          </w:p>
        </w:tc>
      </w:tr>
      <w:tr w:rsidRPr="00CD30E0" w:rsidR="00FB4553" w:rsidTr="6C15EBC2" w14:paraId="3D5BCAB8"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00CD30E0" w:rsidR="00FB4553" w:rsidP="00521EF9" w:rsidRDefault="00FB4553" w14:paraId="3A67A427" w14:textId="77777777">
            <w:pPr>
              <w:rPr>
                <w:rFonts w:ascii="Aptos" w:hAnsi="Aptos" w:eastAsia="Calibri"/>
                <w:b/>
                <w:bCs/>
                <w:sz w:val="22"/>
                <w:szCs w:val="22"/>
                <w:lang w:eastAsia="en-US"/>
              </w:rPr>
            </w:pPr>
            <w:r w:rsidRPr="00CD30E0">
              <w:rPr>
                <w:rFonts w:ascii="Aptos" w:hAnsi="Aptos" w:eastAsia="Calibri"/>
                <w:b/>
                <w:bCs/>
                <w:sz w:val="22"/>
                <w:szCs w:val="22"/>
                <w:lang w:eastAsia="en-US"/>
              </w:rPr>
              <w:t>6.2.</w:t>
            </w:r>
          </w:p>
        </w:tc>
        <w:tc>
          <w:tcPr>
            <w:tcW w:w="6096" w:type="dxa"/>
            <w:tcBorders>
              <w:top w:val="nil"/>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35114F3A" w14:textId="77777777">
            <w:pPr>
              <w:jc w:val="both"/>
              <w:rPr>
                <w:rFonts w:ascii="Aptos" w:hAnsi="Aptos" w:eastAsia="Calibri"/>
                <w:b/>
                <w:bCs/>
                <w:sz w:val="22"/>
                <w:szCs w:val="22"/>
                <w:lang w:eastAsia="en-US"/>
              </w:rPr>
            </w:pPr>
            <w:r w:rsidRPr="00CD30E0">
              <w:rPr>
                <w:rFonts w:ascii="Aptos" w:hAnsi="Aptos" w:eastAsia="Calibri"/>
                <w:b/>
                <w:bCs/>
                <w:sz w:val="22"/>
                <w:szCs w:val="22"/>
                <w:lang w:eastAsia="en-US"/>
              </w:rPr>
              <w:t>Aprīkojuma un iekārtu izmaksas</w:t>
            </w:r>
          </w:p>
          <w:p w:rsidRPr="00CD30E0" w:rsidR="00FB4553" w:rsidP="00521EF9" w:rsidRDefault="00FB4553" w14:paraId="741927F4" w14:textId="77777777">
            <w:pPr>
              <w:jc w:val="both"/>
              <w:rPr>
                <w:rFonts w:ascii="Aptos" w:hAnsi="Aptos" w:eastAsia="Calibri"/>
                <w:b/>
                <w:bCs/>
                <w:sz w:val="22"/>
                <w:szCs w:val="22"/>
                <w:lang w:eastAsia="en-US"/>
              </w:rPr>
            </w:pPr>
          </w:p>
        </w:tc>
        <w:tc>
          <w:tcPr>
            <w:tcW w:w="992" w:type="dxa"/>
            <w:tcBorders>
              <w:top w:val="nil"/>
              <w:left w:val="nil"/>
              <w:bottom w:val="single" w:color="auto" w:sz="4" w:space="0"/>
              <w:right w:val="single" w:color="auto" w:sz="4" w:space="0"/>
            </w:tcBorders>
            <w:shd w:val="clear" w:color="auto" w:fill="CBEBE3"/>
            <w:vAlign w:val="center"/>
          </w:tcPr>
          <w:p w:rsidRPr="00CD30E0" w:rsidR="00FB4553" w:rsidP="00521EF9" w:rsidRDefault="00FB4553" w14:paraId="041EAB36" w14:textId="77777777">
            <w:pPr>
              <w:jc w:val="center"/>
              <w:rPr>
                <w:rFonts w:ascii="Aptos" w:hAnsi="Aptos" w:eastAsia="Calibri"/>
                <w:sz w:val="22"/>
                <w:szCs w:val="22"/>
                <w:lang w:eastAsia="en-US"/>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79AFBED"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FBF8D9C"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2A883B1" w14:textId="77777777">
            <w:pPr>
              <w:jc w:val="right"/>
              <w:rPr>
                <w:rFonts w:ascii="Aptos" w:hAnsi="Aptos" w:eastAsia="Calibri"/>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5D11E67"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2882E10" w14:textId="77777777">
            <w:pPr>
              <w:jc w:val="right"/>
              <w:rPr>
                <w:rFonts w:ascii="Aptos" w:hAnsi="Aptos" w:eastAsia="Calibri"/>
                <w:sz w:val="22"/>
                <w:szCs w:val="22"/>
                <w:lang w:eastAsia="en-US"/>
              </w:rPr>
            </w:pPr>
          </w:p>
        </w:tc>
      </w:tr>
      <w:tr w:rsidRPr="00CD30E0" w:rsidR="00FB4553" w:rsidTr="6C15EBC2" w14:paraId="0A763CF4"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00CD30E0" w:rsidR="00FB4553" w:rsidP="00521EF9" w:rsidRDefault="00FB4553" w14:paraId="057CC373" w14:textId="0A826836">
            <w:pPr>
              <w:rPr>
                <w:rFonts w:ascii="Aptos" w:hAnsi="Aptos" w:eastAsia="Calibri"/>
                <w:b/>
                <w:bCs/>
                <w:sz w:val="22"/>
                <w:szCs w:val="22"/>
                <w:lang w:eastAsia="en-US"/>
              </w:rPr>
            </w:pPr>
            <w:r w:rsidRPr="6C15EBC2">
              <w:rPr>
                <w:rFonts w:ascii="Aptos" w:hAnsi="Aptos" w:eastAsia="Calibri"/>
                <w:b/>
                <w:bCs/>
                <w:sz w:val="22"/>
                <w:szCs w:val="22"/>
                <w:lang w:eastAsia="en-US"/>
              </w:rPr>
              <w:t>6.2.1.</w:t>
            </w:r>
          </w:p>
        </w:tc>
        <w:tc>
          <w:tcPr>
            <w:tcW w:w="6096" w:type="dxa"/>
            <w:tcBorders>
              <w:top w:val="nil"/>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1E62CBA6" w14:textId="77777777">
            <w:pPr>
              <w:jc w:val="both"/>
              <w:rPr>
                <w:rFonts w:ascii="Aptos" w:hAnsi="Aptos"/>
                <w:sz w:val="22"/>
                <w:szCs w:val="22"/>
              </w:rPr>
            </w:pPr>
            <w:r w:rsidRPr="00CD30E0">
              <w:rPr>
                <w:rFonts w:ascii="Aptos" w:hAnsi="Aptos"/>
                <w:sz w:val="22"/>
                <w:szCs w:val="22"/>
              </w:rPr>
              <w:t>Ergonomiskas mācību vides izveides izmaksas, tai skaitā mācību telpas aprīkojuma un mēbeļu iegādes, apgaismojuma modernizēšanas izmaksas.</w:t>
            </w:r>
          </w:p>
          <w:p w:rsidR="00FB4553" w:rsidP="00521EF9" w:rsidRDefault="00FB4553" w14:paraId="45DDE536" w14:textId="77777777">
            <w:pPr>
              <w:jc w:val="both"/>
              <w:rPr>
                <w:rFonts w:ascii="Aptos" w:hAnsi="Aptos"/>
                <w:i/>
                <w:iCs/>
                <w:color w:val="0000FF"/>
                <w:sz w:val="22"/>
                <w:szCs w:val="22"/>
              </w:rPr>
            </w:pPr>
            <w:r w:rsidRPr="00CD30E0">
              <w:rPr>
                <w:rFonts w:ascii="Aptos" w:hAnsi="Aptos"/>
                <w:i/>
                <w:iCs/>
                <w:color w:val="0000FF"/>
                <w:sz w:val="22"/>
                <w:szCs w:val="22"/>
              </w:rPr>
              <w:t>Atbilstoši MK noteikumu 2</w:t>
            </w:r>
            <w:r>
              <w:rPr>
                <w:rFonts w:ascii="Aptos" w:hAnsi="Aptos"/>
                <w:i/>
                <w:iCs/>
                <w:color w:val="0000FF"/>
                <w:sz w:val="22"/>
                <w:szCs w:val="22"/>
              </w:rPr>
              <w:t>0</w:t>
            </w:r>
            <w:r w:rsidRPr="00CD30E0">
              <w:rPr>
                <w:rFonts w:ascii="Aptos" w:hAnsi="Aptos"/>
                <w:i/>
                <w:iCs/>
                <w:color w:val="0000FF"/>
                <w:sz w:val="22"/>
                <w:szCs w:val="22"/>
              </w:rPr>
              <w:t>.3. apakšpunktam</w:t>
            </w:r>
          </w:p>
          <w:p w:rsidR="007A2178" w:rsidP="00521EF9" w:rsidRDefault="007A2178" w14:paraId="163F8EE0" w14:textId="77777777">
            <w:pPr>
              <w:jc w:val="both"/>
              <w:rPr>
                <w:rFonts w:ascii="Aptos" w:hAnsi="Aptos"/>
                <w:i/>
                <w:iCs/>
                <w:color w:val="0000FF"/>
                <w:sz w:val="22"/>
                <w:szCs w:val="22"/>
              </w:rPr>
            </w:pPr>
          </w:p>
          <w:p w:rsidRPr="00CD30E0" w:rsidR="007A2178" w:rsidP="00521EF9" w:rsidRDefault="007A2178" w14:paraId="4F2B73F9" w14:textId="77777777">
            <w:pPr>
              <w:jc w:val="both"/>
              <w:rPr>
                <w:rFonts w:ascii="Aptos" w:hAnsi="Aptos" w:eastAsia="Calibri"/>
                <w:b/>
                <w:bCs/>
                <w:sz w:val="22"/>
                <w:szCs w:val="22"/>
                <w:lang w:eastAsia="en-US"/>
              </w:rPr>
            </w:pPr>
          </w:p>
        </w:tc>
        <w:tc>
          <w:tcPr>
            <w:tcW w:w="992" w:type="dxa"/>
            <w:tcBorders>
              <w:top w:val="nil"/>
              <w:left w:val="nil"/>
              <w:bottom w:val="single" w:color="auto" w:sz="4" w:space="0"/>
              <w:right w:val="single" w:color="auto" w:sz="4" w:space="0"/>
            </w:tcBorders>
            <w:shd w:val="clear" w:color="auto" w:fill="CBEBE3"/>
            <w:vAlign w:val="center"/>
          </w:tcPr>
          <w:p w:rsidRPr="00CD30E0" w:rsidR="00FB4553" w:rsidP="00521EF9" w:rsidRDefault="00FB4553" w14:paraId="510CFB09" w14:textId="77777777">
            <w:pPr>
              <w:jc w:val="center"/>
              <w:rPr>
                <w:rFonts w:ascii="Aptos" w:hAnsi="Aptos" w:eastAsia="Calibri"/>
                <w:sz w:val="22"/>
                <w:szCs w:val="22"/>
                <w:lang w:eastAsia="en-US"/>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A077177"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A98E356"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6560C85" w14:textId="77777777">
            <w:pPr>
              <w:jc w:val="right"/>
              <w:rPr>
                <w:rFonts w:ascii="Aptos" w:hAnsi="Aptos" w:eastAsia="Calibri"/>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E2B1F96"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7678C17" w14:textId="77777777">
            <w:pPr>
              <w:jc w:val="right"/>
              <w:rPr>
                <w:rFonts w:ascii="Aptos" w:hAnsi="Aptos" w:eastAsia="Calibri"/>
                <w:sz w:val="22"/>
                <w:szCs w:val="22"/>
                <w:lang w:eastAsia="en-US"/>
              </w:rPr>
            </w:pPr>
          </w:p>
        </w:tc>
      </w:tr>
      <w:tr w:rsidRPr="00CD30E0" w:rsidR="00355044" w:rsidTr="6C15EBC2" w14:paraId="6E28B9F9"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6C15EBC2" w:rsidR="00355044" w:rsidP="00521EF9" w:rsidRDefault="00EF2C5E" w14:paraId="734DEE6C" w14:textId="11B17C7F">
            <w:pPr>
              <w:rPr>
                <w:rFonts w:ascii="Aptos" w:hAnsi="Aptos" w:eastAsia="Calibri"/>
                <w:b/>
                <w:bCs/>
                <w:sz w:val="22"/>
                <w:szCs w:val="22"/>
                <w:lang w:eastAsia="en-US"/>
              </w:rPr>
            </w:pPr>
            <w:r>
              <w:rPr>
                <w:rFonts w:ascii="Aptos" w:hAnsi="Aptos" w:eastAsia="Calibri"/>
                <w:b/>
                <w:bCs/>
                <w:sz w:val="22"/>
                <w:szCs w:val="22"/>
                <w:lang w:eastAsia="en-US"/>
              </w:rPr>
              <w:t>6.2.2.</w:t>
            </w:r>
          </w:p>
        </w:tc>
        <w:tc>
          <w:tcPr>
            <w:tcW w:w="6096" w:type="dxa"/>
            <w:tcBorders>
              <w:top w:val="nil"/>
              <w:left w:val="single" w:color="auto" w:sz="4" w:space="0"/>
              <w:bottom w:val="single" w:color="auto" w:sz="4" w:space="0"/>
              <w:right w:val="single" w:color="auto" w:sz="4" w:space="0"/>
            </w:tcBorders>
            <w:shd w:val="clear" w:color="auto" w:fill="CBEBE3"/>
            <w:vAlign w:val="center"/>
          </w:tcPr>
          <w:p w:rsidR="00355044" w:rsidP="00521EF9" w:rsidRDefault="00EF2C5E" w14:paraId="3E5AB50A" w14:textId="77777777">
            <w:pPr>
              <w:jc w:val="both"/>
              <w:rPr>
                <w:rFonts w:ascii="Aptos" w:hAnsi="Aptos" w:eastAsia="Calibri"/>
                <w:sz w:val="22"/>
                <w:szCs w:val="22"/>
                <w:lang w:eastAsia="en-US"/>
              </w:rPr>
            </w:pPr>
            <w:r w:rsidRPr="00CD30E0">
              <w:rPr>
                <w:rFonts w:ascii="Aptos" w:hAnsi="Aptos" w:eastAsia="Calibri"/>
                <w:sz w:val="22"/>
                <w:szCs w:val="22"/>
                <w:lang w:eastAsia="en-US"/>
              </w:rPr>
              <w:t>Dabaszinātņu (</w:t>
            </w:r>
            <w:proofErr w:type="spellStart"/>
            <w:r w:rsidRPr="00CD30E0">
              <w:rPr>
                <w:rFonts w:ascii="Aptos" w:hAnsi="Aptos" w:eastAsia="Calibri"/>
                <w:sz w:val="22"/>
                <w:szCs w:val="22"/>
                <w:lang w:eastAsia="en-US"/>
              </w:rPr>
              <w:t>dabaszinību</w:t>
            </w:r>
            <w:proofErr w:type="spellEnd"/>
            <w:r w:rsidRPr="00CD30E0">
              <w:rPr>
                <w:rFonts w:ascii="Aptos" w:hAnsi="Aptos" w:eastAsia="Calibri"/>
                <w:sz w:val="22"/>
                <w:szCs w:val="22"/>
                <w:lang w:eastAsia="en-US"/>
              </w:rPr>
              <w:t xml:space="preserve"> (1.–6. klasei), ķīmijas, bioloģijas, fizikas, dizaina un tehnoloģiju, inženierzinību, ģeogrāfijas) un matemātikas kabinetu (tai skaitā praktisko darbu telpu)  aprīkojuma un inventāra iegādes izmaksas</w:t>
            </w:r>
          </w:p>
          <w:p w:rsidRPr="00CD30E0" w:rsidR="00EF2C5E" w:rsidP="00521EF9" w:rsidRDefault="00EF2C5E" w14:paraId="0FC095C8" w14:textId="26E2E89F">
            <w:pPr>
              <w:jc w:val="both"/>
              <w:rPr>
                <w:rFonts w:ascii="Aptos" w:hAnsi="Aptos"/>
                <w:sz w:val="22"/>
                <w:szCs w:val="22"/>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.5. apakšpunktam</w:t>
            </w:r>
          </w:p>
        </w:tc>
        <w:tc>
          <w:tcPr>
            <w:tcW w:w="992" w:type="dxa"/>
            <w:tcBorders>
              <w:top w:val="nil"/>
              <w:left w:val="nil"/>
              <w:bottom w:val="single" w:color="auto" w:sz="4" w:space="0"/>
              <w:right w:val="single" w:color="auto" w:sz="4" w:space="0"/>
            </w:tcBorders>
            <w:shd w:val="clear" w:color="auto" w:fill="CBEBE3"/>
            <w:vAlign w:val="center"/>
          </w:tcPr>
          <w:p w:rsidRPr="00CD30E0" w:rsidR="00355044" w:rsidP="00521EF9" w:rsidRDefault="00355044" w14:paraId="6A3EC689"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355044" w:rsidP="00521EF9" w:rsidRDefault="00355044" w14:paraId="05536E68"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355044" w:rsidP="00521EF9" w:rsidRDefault="00355044" w14:paraId="6CBF5030"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355044" w:rsidP="00521EF9" w:rsidRDefault="00355044" w14:paraId="02743B6D" w14:textId="77777777">
            <w:pPr>
              <w:jc w:val="right"/>
              <w:rPr>
                <w:rFonts w:ascii="Aptos" w:hAnsi="Aptos" w:eastAsia="Calibri"/>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355044" w:rsidP="00521EF9" w:rsidRDefault="00355044" w14:paraId="40186CFC"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355044" w:rsidP="00521EF9" w:rsidRDefault="00355044" w14:paraId="0419D5B9" w14:textId="77777777">
            <w:pPr>
              <w:jc w:val="right"/>
              <w:rPr>
                <w:rFonts w:ascii="Aptos" w:hAnsi="Aptos" w:eastAsia="Calibri"/>
                <w:sz w:val="22"/>
                <w:szCs w:val="22"/>
                <w:lang w:eastAsia="en-US"/>
              </w:rPr>
            </w:pPr>
          </w:p>
        </w:tc>
      </w:tr>
      <w:tr w:rsidRPr="00CD30E0" w:rsidR="00B23F75" w:rsidTr="6C15EBC2" w14:paraId="78755AD3"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6C15EBC2" w:rsidR="00B23F75" w:rsidP="00521EF9" w:rsidRDefault="00EF2C5E" w14:paraId="1E889D75" w14:textId="0D8BE038">
            <w:pPr>
              <w:rPr>
                <w:rFonts w:ascii="Aptos" w:hAnsi="Aptos" w:eastAsia="Calibri"/>
                <w:b/>
                <w:bCs/>
                <w:sz w:val="22"/>
                <w:szCs w:val="22"/>
                <w:lang w:eastAsia="en-US"/>
              </w:rPr>
            </w:pPr>
            <w:r>
              <w:rPr>
                <w:rFonts w:ascii="Aptos" w:hAnsi="Aptos" w:eastAsia="Calibri"/>
                <w:b/>
                <w:bCs/>
                <w:sz w:val="22"/>
                <w:szCs w:val="22"/>
                <w:lang w:eastAsia="en-US"/>
              </w:rPr>
              <w:t>6.2.3.</w:t>
            </w:r>
          </w:p>
        </w:tc>
        <w:tc>
          <w:tcPr>
            <w:tcW w:w="6096" w:type="dxa"/>
            <w:tcBorders>
              <w:top w:val="nil"/>
              <w:left w:val="single" w:color="auto" w:sz="4" w:space="0"/>
              <w:bottom w:val="single" w:color="auto" w:sz="4" w:space="0"/>
              <w:right w:val="single" w:color="auto" w:sz="4" w:space="0"/>
            </w:tcBorders>
            <w:shd w:val="clear" w:color="auto" w:fill="CBEBE3"/>
            <w:vAlign w:val="center"/>
          </w:tcPr>
          <w:p w:rsidR="00B23F75" w:rsidP="00521EF9" w:rsidRDefault="00EF2C5E" w14:paraId="0D44CDA5" w14:textId="1CB8B868">
            <w:pPr>
              <w:jc w:val="both"/>
              <w:rPr>
                <w:rFonts w:ascii="Aptos" w:hAnsi="Aptos" w:eastAsia="Calibri"/>
                <w:sz w:val="22"/>
                <w:szCs w:val="22"/>
                <w:lang w:eastAsia="en-US"/>
              </w:rPr>
            </w:pPr>
            <w:r w:rsidRPr="00CD30E0">
              <w:rPr>
                <w:rFonts w:ascii="Aptos" w:hAnsi="Aptos" w:eastAsia="Calibri"/>
                <w:sz w:val="22"/>
                <w:szCs w:val="22"/>
                <w:lang w:eastAsia="en-US"/>
              </w:rPr>
              <w:t xml:space="preserve">Vispārējās izglītības iestādes dienesta viesnīcas </w:t>
            </w:r>
            <w:r w:rsidRPr="00CD30E0" w:rsidR="00620048">
              <w:rPr>
                <w:rFonts w:ascii="Aptos" w:hAnsi="Aptos"/>
                <w:sz w:val="22"/>
                <w:szCs w:val="22"/>
                <w:lang w:eastAsia="en-US"/>
              </w:rPr>
              <w:t>darbības (dzīvojamo un mācību telpu,</w:t>
            </w:r>
            <w:r w:rsidRPr="00CD30E0" w:rsidR="00620048">
              <w:rPr>
                <w:rFonts w:ascii="Aptos" w:hAnsi="Aptos" w:eastAsia="Calibri"/>
                <w:sz w:val="22"/>
                <w:szCs w:val="22"/>
                <w:lang w:eastAsia="en-US"/>
              </w:rPr>
              <w:t xml:space="preserve"> virtuves, sanitāro mezglu, dušas </w:t>
            </w:r>
            <w:r w:rsidRPr="00CD30E0" w:rsidR="00620048">
              <w:rPr>
                <w:rFonts w:ascii="Aptos" w:hAnsi="Aptos" w:eastAsia="Calibri"/>
                <w:sz w:val="22"/>
                <w:szCs w:val="22"/>
                <w:lang w:eastAsia="en-US"/>
              </w:rPr>
              <w:lastRenderedPageBreak/>
              <w:t xml:space="preserve">telpu) nodrošināšanai </w:t>
            </w:r>
            <w:r w:rsidR="00620048">
              <w:rPr>
                <w:rFonts w:ascii="Aptos" w:hAnsi="Aptos" w:eastAsia="Calibri"/>
                <w:sz w:val="22"/>
                <w:szCs w:val="22"/>
                <w:lang w:eastAsia="en-US"/>
              </w:rPr>
              <w:t xml:space="preserve">nepieciešama </w:t>
            </w:r>
            <w:r w:rsidRPr="00CD30E0">
              <w:rPr>
                <w:rFonts w:ascii="Aptos" w:hAnsi="Aptos" w:eastAsia="Calibri"/>
                <w:sz w:val="22"/>
                <w:szCs w:val="22"/>
                <w:lang w:eastAsia="en-US"/>
              </w:rPr>
              <w:t>aprīkojuma un mēbeļu iegādes izmaksas.</w:t>
            </w:r>
          </w:p>
          <w:p w:rsidRPr="00587C1C" w:rsidR="00EF2C5E" w:rsidP="00521EF9" w:rsidRDefault="00EF2C5E" w14:paraId="7A0D48F3" w14:textId="1D59A32F">
            <w:pPr>
              <w:jc w:val="both"/>
              <w:rPr>
                <w:rFonts w:ascii="Aptos" w:hAnsi="Aptos" w:eastAsia="Calibri"/>
                <w:sz w:val="22"/>
                <w:szCs w:val="22"/>
                <w:lang w:eastAsia="en-US"/>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.6. apakšpunktam</w:t>
            </w:r>
          </w:p>
        </w:tc>
        <w:tc>
          <w:tcPr>
            <w:tcW w:w="992" w:type="dxa"/>
            <w:tcBorders>
              <w:top w:val="nil"/>
              <w:left w:val="nil"/>
              <w:bottom w:val="single" w:color="auto" w:sz="4" w:space="0"/>
              <w:right w:val="single" w:color="auto" w:sz="4" w:space="0"/>
            </w:tcBorders>
            <w:shd w:val="clear" w:color="auto" w:fill="CBEBE3"/>
            <w:vAlign w:val="center"/>
          </w:tcPr>
          <w:p w:rsidRPr="00CD30E0" w:rsidR="00B23F75" w:rsidP="00521EF9" w:rsidRDefault="00B23F75" w14:paraId="6AB47C00"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B23F75" w:rsidP="00521EF9" w:rsidRDefault="00B23F75" w14:paraId="2905F13B"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B23F75" w:rsidP="00521EF9" w:rsidRDefault="00B23F75" w14:paraId="6404271E"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B23F75" w:rsidP="00587C1C" w:rsidRDefault="00587C1C" w14:paraId="0E5D9D11" w14:textId="562BF1FC">
            <w:pPr>
              <w:jc w:val="center"/>
              <w:rPr>
                <w:rFonts w:ascii="Aptos" w:hAnsi="Aptos" w:eastAsia="Calibri"/>
                <w:sz w:val="22"/>
                <w:szCs w:val="22"/>
                <w:lang w:eastAsia="en-US"/>
              </w:rPr>
            </w:pPr>
            <w:r w:rsidRPr="00CD30E0">
              <w:rPr>
                <w:rFonts w:ascii="Aptos" w:hAnsi="Aptos" w:eastAsia="Calibri"/>
                <w:sz w:val="20"/>
                <w:szCs w:val="20"/>
                <w:lang w:eastAsia="en-US"/>
              </w:rPr>
              <w:t xml:space="preserve">Izmaksu pozīciju Nr. </w:t>
            </w:r>
            <w:r>
              <w:rPr>
                <w:rFonts w:ascii="Aptos" w:hAnsi="Aptos" w:eastAsia="Calibri"/>
                <w:sz w:val="20"/>
                <w:szCs w:val="20"/>
                <w:lang w:eastAsia="en-US"/>
              </w:rPr>
              <w:t xml:space="preserve">6.2.3., 6.2.4., </w:t>
            </w:r>
            <w:r w:rsidRPr="00CD30E0">
              <w:rPr>
                <w:rFonts w:ascii="Aptos" w:hAnsi="Aptos" w:eastAsia="Calibri"/>
                <w:sz w:val="20"/>
                <w:szCs w:val="20"/>
                <w:lang w:eastAsia="en-US"/>
              </w:rPr>
              <w:t>7.</w:t>
            </w:r>
            <w:r>
              <w:rPr>
                <w:rFonts w:ascii="Aptos" w:hAnsi="Aptos" w:eastAsia="Calibri"/>
                <w:sz w:val="20"/>
                <w:szCs w:val="20"/>
                <w:lang w:eastAsia="en-US"/>
              </w:rPr>
              <w:t>5.4</w:t>
            </w:r>
            <w:r w:rsidRPr="00CD30E0">
              <w:rPr>
                <w:rFonts w:ascii="Aptos" w:hAnsi="Aptos" w:eastAsia="Calibri"/>
                <w:sz w:val="20"/>
                <w:szCs w:val="20"/>
                <w:lang w:eastAsia="en-US"/>
              </w:rPr>
              <w:t>., 7.</w:t>
            </w:r>
            <w:r>
              <w:rPr>
                <w:rFonts w:ascii="Aptos" w:hAnsi="Aptos" w:eastAsia="Calibri"/>
                <w:sz w:val="20"/>
                <w:szCs w:val="20"/>
                <w:lang w:eastAsia="en-US"/>
              </w:rPr>
              <w:t>5.5</w:t>
            </w:r>
            <w:r w:rsidRPr="00CD30E0">
              <w:rPr>
                <w:rFonts w:ascii="Aptos" w:hAnsi="Aptos" w:eastAsia="Calibri"/>
                <w:sz w:val="20"/>
                <w:szCs w:val="20"/>
                <w:lang w:eastAsia="en-US"/>
              </w:rPr>
              <w:t>.</w:t>
            </w:r>
            <w:r w:rsidRPr="00CD30E0">
              <w:rPr>
                <w:rStyle w:val="CommentReference"/>
                <w:rFonts w:ascii="Aptos" w:hAnsi="Aptos"/>
                <w:sz w:val="20"/>
                <w:szCs w:val="20"/>
              </w:rPr>
              <w:t xml:space="preserve"> </w:t>
            </w:r>
            <w:r w:rsidRPr="00CD30E0">
              <w:rPr>
                <w:rFonts w:ascii="Aptos" w:hAnsi="Aptos" w:eastAsia="Calibri"/>
                <w:sz w:val="20"/>
                <w:szCs w:val="20"/>
                <w:lang w:eastAsia="en-US"/>
              </w:rPr>
              <w:t xml:space="preserve">kopsumma </w:t>
            </w:r>
            <w:r w:rsidRPr="00CD30E0">
              <w:rPr>
                <w:rFonts w:ascii="Aptos" w:hAnsi="Aptos" w:eastAsia="Calibri"/>
                <w:sz w:val="20"/>
                <w:szCs w:val="20"/>
                <w:lang w:eastAsia="en-US"/>
              </w:rPr>
              <w:lastRenderedPageBreak/>
              <w:t xml:space="preserve">nedrīkst pārsniegt </w:t>
            </w:r>
            <w:r>
              <w:rPr>
                <w:rFonts w:ascii="Aptos" w:hAnsi="Aptos" w:eastAsia="Calibri"/>
                <w:sz w:val="20"/>
                <w:szCs w:val="20"/>
                <w:lang w:eastAsia="en-US"/>
              </w:rPr>
              <w:t>5</w:t>
            </w:r>
            <w:r w:rsidRPr="00CD30E0">
              <w:rPr>
                <w:rFonts w:ascii="Aptos" w:hAnsi="Aptos" w:eastAsia="Calibri"/>
                <w:sz w:val="20"/>
                <w:szCs w:val="20"/>
                <w:lang w:eastAsia="en-US"/>
              </w:rPr>
              <w:t>0% no projekta kopējām attiecināmajām izmaksām</w:t>
            </w: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B23F75" w:rsidP="00521EF9" w:rsidRDefault="00B23F75" w14:paraId="385F4F9F"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B23F75" w:rsidP="00521EF9" w:rsidRDefault="00B23F75" w14:paraId="3B7E5450" w14:textId="77777777">
            <w:pPr>
              <w:jc w:val="right"/>
              <w:rPr>
                <w:rFonts w:ascii="Aptos" w:hAnsi="Aptos" w:eastAsia="Calibri"/>
                <w:sz w:val="22"/>
                <w:szCs w:val="22"/>
                <w:lang w:eastAsia="en-US"/>
              </w:rPr>
            </w:pPr>
          </w:p>
        </w:tc>
      </w:tr>
      <w:tr w:rsidRPr="00CD30E0" w:rsidR="00B23F75" w:rsidTr="6C15EBC2" w14:paraId="66370516"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6C15EBC2" w:rsidR="00B23F75" w:rsidP="00521EF9" w:rsidRDefault="00EF2C5E" w14:paraId="6A68EAD4" w14:textId="48CD3D11">
            <w:pPr>
              <w:rPr>
                <w:rFonts w:ascii="Aptos" w:hAnsi="Aptos" w:eastAsia="Calibri"/>
                <w:b/>
                <w:bCs/>
                <w:sz w:val="22"/>
                <w:szCs w:val="22"/>
                <w:lang w:eastAsia="en-US"/>
              </w:rPr>
            </w:pPr>
            <w:r>
              <w:rPr>
                <w:rFonts w:ascii="Aptos" w:hAnsi="Aptos" w:eastAsia="Calibri"/>
                <w:b/>
                <w:bCs/>
                <w:sz w:val="22"/>
                <w:szCs w:val="22"/>
                <w:lang w:eastAsia="en-US"/>
              </w:rPr>
              <w:t>6.2.4.</w:t>
            </w:r>
          </w:p>
        </w:tc>
        <w:tc>
          <w:tcPr>
            <w:tcW w:w="6096" w:type="dxa"/>
            <w:tcBorders>
              <w:top w:val="nil"/>
              <w:left w:val="single" w:color="auto" w:sz="4" w:space="0"/>
              <w:bottom w:val="single" w:color="auto" w:sz="4" w:space="0"/>
              <w:right w:val="single" w:color="auto" w:sz="4" w:space="0"/>
            </w:tcBorders>
            <w:shd w:val="clear" w:color="auto" w:fill="CBEBE3"/>
            <w:vAlign w:val="center"/>
          </w:tcPr>
          <w:p w:rsidRPr="00CD30E0" w:rsidR="00EF2C5E" w:rsidP="00EF2C5E" w:rsidRDefault="00EF2C5E" w14:paraId="335108DF" w14:textId="78AD79AA">
            <w:pPr>
              <w:jc w:val="both"/>
              <w:rPr>
                <w:rFonts w:ascii="Aptos" w:hAnsi="Aptos" w:eastAsia="Calibri"/>
                <w:sz w:val="22"/>
                <w:szCs w:val="22"/>
                <w:lang w:eastAsia="en-US"/>
              </w:rPr>
            </w:pPr>
            <w:proofErr w:type="spellStart"/>
            <w:r>
              <w:rPr>
                <w:rFonts w:ascii="Aptos" w:hAnsi="Aptos" w:eastAsia="Calibri"/>
                <w:sz w:val="22"/>
                <w:szCs w:val="22"/>
                <w:lang w:eastAsia="en-US"/>
              </w:rPr>
              <w:t>Ā</w:t>
            </w:r>
            <w:r w:rsidRPr="6C15EBC2">
              <w:rPr>
                <w:rFonts w:ascii="Aptos" w:hAnsi="Aptos" w:eastAsia="Calibri"/>
                <w:sz w:val="22"/>
                <w:szCs w:val="22"/>
                <w:lang w:eastAsia="en-US"/>
              </w:rPr>
              <w:t>rtelpu</w:t>
            </w:r>
            <w:proofErr w:type="spellEnd"/>
            <w:r w:rsidRPr="6C15EBC2">
              <w:rPr>
                <w:rFonts w:ascii="Aptos" w:hAnsi="Aptos" w:eastAsia="Calibri"/>
                <w:sz w:val="22"/>
                <w:szCs w:val="22"/>
                <w:lang w:eastAsia="en-US"/>
              </w:rPr>
              <w:t xml:space="preserve"> aktivitāšu sporta laukuma aprīkojuma un inventāra izmaksas un mācību priekšmeta "Sports un veselība" nodrošināšanai nepieciešamā aprīkojuma un inventāra iegādes izmaksas.</w:t>
            </w:r>
          </w:p>
          <w:p w:rsidRPr="00CD30E0" w:rsidR="00EF2C5E" w:rsidP="00EF2C5E" w:rsidRDefault="00EF2C5E" w14:paraId="46CE1B3E" w14:textId="77777777">
            <w:pPr>
              <w:jc w:val="both"/>
              <w:rPr>
                <w:rFonts w:ascii="Aptos" w:hAnsi="Aptos"/>
                <w:bCs/>
                <w:i/>
                <w:color w:val="0000FF"/>
                <w:sz w:val="22"/>
                <w:szCs w:val="22"/>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.7. apakšpunktam.</w:t>
            </w:r>
          </w:p>
          <w:p w:rsidRPr="00CD30E0" w:rsidR="00B23F75" w:rsidP="00521EF9" w:rsidRDefault="00B23F75" w14:paraId="5605C20C" w14:textId="77777777">
            <w:pPr>
              <w:jc w:val="both"/>
              <w:rPr>
                <w:rFonts w:ascii="Aptos" w:hAnsi="Aptos"/>
                <w:sz w:val="22"/>
                <w:szCs w:val="22"/>
              </w:rPr>
            </w:pPr>
          </w:p>
        </w:tc>
        <w:tc>
          <w:tcPr>
            <w:tcW w:w="992" w:type="dxa"/>
            <w:tcBorders>
              <w:top w:val="nil"/>
              <w:left w:val="nil"/>
              <w:bottom w:val="single" w:color="auto" w:sz="4" w:space="0"/>
              <w:right w:val="single" w:color="auto" w:sz="4" w:space="0"/>
            </w:tcBorders>
            <w:shd w:val="clear" w:color="auto" w:fill="CBEBE3"/>
            <w:vAlign w:val="center"/>
          </w:tcPr>
          <w:p w:rsidRPr="00CD30E0" w:rsidR="00B23F75" w:rsidP="00521EF9" w:rsidRDefault="00B23F75" w14:paraId="35F229F1"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B23F75" w:rsidP="00521EF9" w:rsidRDefault="00B23F75" w14:paraId="263FC564"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B23F75" w:rsidP="00521EF9" w:rsidRDefault="00B23F75" w14:paraId="778441B3"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B23F75" w:rsidP="00587C1C" w:rsidRDefault="00587C1C" w14:paraId="27D96EF5" w14:textId="5DCCD325">
            <w:pPr>
              <w:jc w:val="center"/>
              <w:rPr>
                <w:rFonts w:ascii="Aptos" w:hAnsi="Aptos" w:eastAsia="Calibri"/>
                <w:sz w:val="22"/>
                <w:szCs w:val="22"/>
                <w:lang w:eastAsia="en-US"/>
              </w:rPr>
            </w:pPr>
            <w:r w:rsidRPr="00CD30E0">
              <w:rPr>
                <w:rFonts w:ascii="Aptos" w:hAnsi="Aptos" w:eastAsia="Calibri"/>
                <w:sz w:val="20"/>
                <w:szCs w:val="20"/>
                <w:lang w:eastAsia="en-US"/>
              </w:rPr>
              <w:t xml:space="preserve">Izmaksu pozīciju Nr. </w:t>
            </w:r>
            <w:r>
              <w:rPr>
                <w:rFonts w:ascii="Aptos" w:hAnsi="Aptos" w:eastAsia="Calibri"/>
                <w:sz w:val="20"/>
                <w:szCs w:val="20"/>
                <w:lang w:eastAsia="en-US"/>
              </w:rPr>
              <w:t xml:space="preserve">6.2.3., 6.2.4., </w:t>
            </w:r>
            <w:r w:rsidRPr="00CD30E0">
              <w:rPr>
                <w:rFonts w:ascii="Aptos" w:hAnsi="Aptos" w:eastAsia="Calibri"/>
                <w:sz w:val="20"/>
                <w:szCs w:val="20"/>
                <w:lang w:eastAsia="en-US"/>
              </w:rPr>
              <w:t>7.</w:t>
            </w:r>
            <w:r>
              <w:rPr>
                <w:rFonts w:ascii="Aptos" w:hAnsi="Aptos" w:eastAsia="Calibri"/>
                <w:sz w:val="20"/>
                <w:szCs w:val="20"/>
                <w:lang w:eastAsia="en-US"/>
              </w:rPr>
              <w:t>5.4</w:t>
            </w:r>
            <w:r w:rsidRPr="00CD30E0">
              <w:rPr>
                <w:rFonts w:ascii="Aptos" w:hAnsi="Aptos" w:eastAsia="Calibri"/>
                <w:sz w:val="20"/>
                <w:szCs w:val="20"/>
                <w:lang w:eastAsia="en-US"/>
              </w:rPr>
              <w:t>., 7.</w:t>
            </w:r>
            <w:r>
              <w:rPr>
                <w:rFonts w:ascii="Aptos" w:hAnsi="Aptos" w:eastAsia="Calibri"/>
                <w:sz w:val="20"/>
                <w:szCs w:val="20"/>
                <w:lang w:eastAsia="en-US"/>
              </w:rPr>
              <w:t>5.5</w:t>
            </w:r>
            <w:r w:rsidRPr="00CD30E0">
              <w:rPr>
                <w:rFonts w:ascii="Aptos" w:hAnsi="Aptos" w:eastAsia="Calibri"/>
                <w:sz w:val="20"/>
                <w:szCs w:val="20"/>
                <w:lang w:eastAsia="en-US"/>
              </w:rPr>
              <w:t>.</w:t>
            </w:r>
            <w:r w:rsidRPr="00CD30E0">
              <w:rPr>
                <w:rStyle w:val="CommentReference"/>
                <w:rFonts w:ascii="Aptos" w:hAnsi="Aptos"/>
                <w:sz w:val="20"/>
                <w:szCs w:val="20"/>
              </w:rPr>
              <w:t xml:space="preserve"> </w:t>
            </w:r>
            <w:r w:rsidRPr="00CD30E0">
              <w:rPr>
                <w:rFonts w:ascii="Aptos" w:hAnsi="Aptos" w:eastAsia="Calibri"/>
                <w:sz w:val="20"/>
                <w:szCs w:val="20"/>
                <w:lang w:eastAsia="en-US"/>
              </w:rPr>
              <w:t xml:space="preserve">kopsumma nedrīkst pārsniegt </w:t>
            </w:r>
            <w:r>
              <w:rPr>
                <w:rFonts w:ascii="Aptos" w:hAnsi="Aptos" w:eastAsia="Calibri"/>
                <w:sz w:val="20"/>
                <w:szCs w:val="20"/>
                <w:lang w:eastAsia="en-US"/>
              </w:rPr>
              <w:t>5</w:t>
            </w:r>
            <w:r w:rsidRPr="00CD30E0">
              <w:rPr>
                <w:rFonts w:ascii="Aptos" w:hAnsi="Aptos" w:eastAsia="Calibri"/>
                <w:sz w:val="20"/>
                <w:szCs w:val="20"/>
                <w:lang w:eastAsia="en-US"/>
              </w:rPr>
              <w:t>0% no projekta kopējām attiecināmajām izmaksām</w:t>
            </w: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B23F75" w:rsidP="00521EF9" w:rsidRDefault="00B23F75" w14:paraId="5B827B74"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B23F75" w:rsidP="00521EF9" w:rsidRDefault="00B23F75" w14:paraId="37C6F1CD" w14:textId="77777777">
            <w:pPr>
              <w:jc w:val="right"/>
              <w:rPr>
                <w:rFonts w:ascii="Aptos" w:hAnsi="Aptos" w:eastAsia="Calibri"/>
                <w:sz w:val="22"/>
                <w:szCs w:val="22"/>
                <w:lang w:eastAsia="en-US"/>
              </w:rPr>
            </w:pPr>
          </w:p>
        </w:tc>
      </w:tr>
      <w:tr w:rsidRPr="00CD30E0" w:rsidR="00FB4553" w:rsidTr="6C15EBC2" w14:paraId="7043410E"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00CD30E0" w:rsidR="00FB4553" w:rsidP="00521EF9" w:rsidRDefault="00FB4553" w14:paraId="750D1402" w14:textId="77777777">
            <w:pPr>
              <w:rPr>
                <w:rFonts w:ascii="Aptos" w:hAnsi="Aptos" w:eastAsia="Calibri"/>
                <w:b/>
                <w:bCs/>
                <w:sz w:val="22"/>
                <w:szCs w:val="22"/>
                <w:lang w:eastAsia="en-US"/>
              </w:rPr>
            </w:pPr>
            <w:r w:rsidRPr="00CD30E0">
              <w:rPr>
                <w:rFonts w:ascii="Aptos" w:hAnsi="Aptos" w:eastAsia="Times New Roman"/>
                <w:b/>
                <w:bCs/>
                <w:sz w:val="22"/>
                <w:szCs w:val="22"/>
              </w:rPr>
              <w:t>6.4.</w:t>
            </w:r>
          </w:p>
        </w:tc>
        <w:tc>
          <w:tcPr>
            <w:tcW w:w="6096" w:type="dxa"/>
            <w:tcBorders>
              <w:top w:val="nil"/>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11C599D9" w14:textId="77777777">
            <w:pPr>
              <w:jc w:val="both"/>
              <w:rPr>
                <w:rFonts w:ascii="Aptos" w:hAnsi="Aptos" w:eastAsia="Calibri"/>
                <w:b/>
                <w:bCs/>
                <w:sz w:val="22"/>
                <w:szCs w:val="22"/>
                <w:lang w:eastAsia="en-US"/>
              </w:rPr>
            </w:pPr>
            <w:r w:rsidRPr="00CD30E0">
              <w:rPr>
                <w:rFonts w:ascii="Aptos" w:hAnsi="Aptos" w:eastAsia="Calibri"/>
                <w:b/>
                <w:bCs/>
                <w:sz w:val="22"/>
                <w:szCs w:val="22"/>
                <w:lang w:eastAsia="en-US"/>
              </w:rPr>
              <w:t>Citas izmaksas</w:t>
            </w:r>
          </w:p>
          <w:p w:rsidRPr="00CD30E0" w:rsidR="00FB4553" w:rsidP="00521EF9" w:rsidRDefault="00FB4553" w14:paraId="64ABDCE4" w14:textId="77777777">
            <w:pPr>
              <w:jc w:val="both"/>
              <w:rPr>
                <w:rFonts w:ascii="Aptos" w:hAnsi="Aptos"/>
                <w:sz w:val="22"/>
                <w:szCs w:val="22"/>
              </w:rPr>
            </w:pPr>
            <w:r w:rsidRPr="00CD30E0">
              <w:rPr>
                <w:rFonts w:ascii="Aptos" w:hAnsi="Aptos"/>
                <w:bCs/>
                <w:i/>
                <w:color w:val="0000FF"/>
                <w:sz w:val="22"/>
                <w:szCs w:val="22"/>
              </w:rPr>
              <w:t>Norāda tikai tādas informācijas un komunikācijas tehnoloģiju risinājumu ieviešanas izmaksas, kas nav ietvertas būvdarbu līgumā</w:t>
            </w:r>
          </w:p>
        </w:tc>
        <w:tc>
          <w:tcPr>
            <w:tcW w:w="992" w:type="dxa"/>
            <w:tcBorders>
              <w:top w:val="nil"/>
              <w:left w:val="nil"/>
              <w:bottom w:val="single" w:color="auto" w:sz="4" w:space="0"/>
              <w:right w:val="single" w:color="auto" w:sz="4" w:space="0"/>
            </w:tcBorders>
            <w:shd w:val="clear" w:color="auto" w:fill="CBEBE3"/>
            <w:vAlign w:val="center"/>
          </w:tcPr>
          <w:p w:rsidRPr="00CD30E0" w:rsidR="00FB4553" w:rsidP="00521EF9" w:rsidRDefault="00FB4553" w14:paraId="30460679" w14:textId="77777777">
            <w:pPr>
              <w:jc w:val="center"/>
              <w:rPr>
                <w:rFonts w:ascii="Aptos" w:hAnsi="Aptos"/>
                <w:sz w:val="22"/>
                <w:szCs w:val="22"/>
              </w:rPr>
            </w:pPr>
            <w:r w:rsidRPr="00CD30E0">
              <w:rPr>
                <w:rFonts w:ascii="Aptos" w:hAnsi="Aptos" w:eastAsia="Calibri"/>
                <w:sz w:val="22"/>
                <w:szCs w:val="22"/>
                <w:lang w:eastAsia="en-US"/>
              </w:rPr>
              <w:t>tiešās</w:t>
            </w:r>
          </w:p>
          <w:p w:rsidRPr="00CD30E0" w:rsidR="00FB4553" w:rsidP="00521EF9" w:rsidRDefault="00FB4553" w14:paraId="09731C2A"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00C2052"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C40B1F3"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8F767AF" w14:textId="77777777">
            <w:pPr>
              <w:jc w:val="right"/>
              <w:rPr>
                <w:rFonts w:ascii="Aptos" w:hAnsi="Aptos" w:eastAsia="Calibri"/>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6516517"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B9FE5E4" w14:textId="77777777">
            <w:pPr>
              <w:jc w:val="right"/>
              <w:rPr>
                <w:rFonts w:ascii="Aptos" w:hAnsi="Aptos" w:eastAsia="Calibri"/>
                <w:sz w:val="22"/>
                <w:szCs w:val="22"/>
                <w:lang w:eastAsia="en-US"/>
              </w:rPr>
            </w:pPr>
          </w:p>
        </w:tc>
      </w:tr>
      <w:tr w:rsidRPr="00CD30E0" w:rsidR="00FB4553" w:rsidTr="6C15EBC2" w14:paraId="039558EF"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00CD30E0" w:rsidR="00FB4553" w:rsidP="00521EF9" w:rsidRDefault="00FB4553" w14:paraId="5F239F35" w14:textId="77777777">
            <w:pPr>
              <w:rPr>
                <w:rFonts w:ascii="Aptos" w:hAnsi="Aptos" w:eastAsia="Calibri"/>
                <w:b/>
                <w:bCs/>
                <w:sz w:val="22"/>
                <w:szCs w:val="22"/>
                <w:lang w:eastAsia="en-US"/>
              </w:rPr>
            </w:pPr>
            <w:r w:rsidRPr="00CD30E0">
              <w:rPr>
                <w:rFonts w:ascii="Aptos" w:hAnsi="Aptos" w:eastAsia="Times New Roman"/>
                <w:sz w:val="22"/>
                <w:szCs w:val="22"/>
              </w:rPr>
              <w:t>6.4.1.</w:t>
            </w:r>
          </w:p>
        </w:tc>
        <w:tc>
          <w:tcPr>
            <w:tcW w:w="6096" w:type="dxa"/>
            <w:tcBorders>
              <w:top w:val="nil"/>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749FAE76" w14:textId="77777777">
            <w:pPr>
              <w:jc w:val="both"/>
              <w:rPr>
                <w:rFonts w:ascii="Aptos" w:hAnsi="Aptos" w:eastAsia="Times New Roman"/>
                <w:sz w:val="22"/>
                <w:szCs w:val="22"/>
              </w:rPr>
            </w:pPr>
            <w:r w:rsidRPr="00CD30E0">
              <w:rPr>
                <w:rFonts w:ascii="Aptos" w:hAnsi="Aptos" w:eastAsia="Times New Roman"/>
                <w:sz w:val="22"/>
                <w:szCs w:val="22"/>
              </w:rPr>
              <w:t xml:space="preserve">Informācijas un komunikācijas tehnoloģiju risinājumu ieviešanas izmaksas, tai skaitā bezvadu interneta un interneta </w:t>
            </w:r>
            <w:proofErr w:type="spellStart"/>
            <w:r w:rsidRPr="00CD30E0">
              <w:rPr>
                <w:rFonts w:ascii="Aptos" w:hAnsi="Aptos" w:eastAsia="Times New Roman"/>
                <w:sz w:val="22"/>
                <w:szCs w:val="22"/>
              </w:rPr>
              <w:t>pieslēguma</w:t>
            </w:r>
            <w:proofErr w:type="spellEnd"/>
            <w:r w:rsidRPr="00CD30E0">
              <w:rPr>
                <w:rFonts w:ascii="Aptos" w:hAnsi="Aptos" w:eastAsia="Times New Roman"/>
                <w:sz w:val="22"/>
                <w:szCs w:val="22"/>
              </w:rPr>
              <w:t xml:space="preserve"> izveides izmaksas, mācību procesa nodrošināšanai nepieciešamā aprīkojuma un programmatūras iegādes izmaksas. </w:t>
            </w:r>
          </w:p>
          <w:p w:rsidRPr="00CD30E0" w:rsidR="00FB4553" w:rsidP="00521EF9" w:rsidRDefault="00FB4553" w14:paraId="2CF4C886" w14:textId="77777777">
            <w:pPr>
              <w:jc w:val="both"/>
              <w:rPr>
                <w:rFonts w:ascii="Aptos" w:hAnsi="Aptos"/>
                <w:sz w:val="22"/>
                <w:szCs w:val="22"/>
              </w:rPr>
            </w:pPr>
            <w:r w:rsidRPr="00CD30E0">
              <w:rPr>
                <w:rFonts w:ascii="Aptos" w:hAnsi="Aptos"/>
                <w:bCs/>
                <w:i/>
                <w:color w:val="0000FF"/>
                <w:sz w:val="22"/>
                <w:szCs w:val="22"/>
              </w:rPr>
              <w:t>MK noteikumu 2</w:t>
            </w:r>
            <w:r>
              <w:rPr>
                <w:rFonts w:ascii="Aptos" w:hAnsi="Aptos"/>
                <w:bCs/>
                <w:i/>
                <w:color w:val="0000FF"/>
                <w:sz w:val="22"/>
                <w:szCs w:val="22"/>
              </w:rPr>
              <w:t>0</w:t>
            </w:r>
            <w:r w:rsidRPr="00CD30E0">
              <w:rPr>
                <w:rFonts w:ascii="Aptos" w:hAnsi="Aptos"/>
                <w:bCs/>
                <w:i/>
                <w:color w:val="0000FF"/>
                <w:sz w:val="22"/>
                <w:szCs w:val="22"/>
              </w:rPr>
              <w:t>.4. apakšpunkts</w:t>
            </w:r>
            <w:r w:rsidRPr="00CD30E0">
              <w:rPr>
                <w:rFonts w:ascii="Aptos" w:hAnsi="Aptos"/>
                <w:sz w:val="22"/>
                <w:szCs w:val="22"/>
              </w:rPr>
              <w:t xml:space="preserve"> </w:t>
            </w:r>
          </w:p>
          <w:p w:rsidRPr="00CD30E0" w:rsidR="00FB4553" w:rsidP="00FB4553" w:rsidRDefault="00FB4553" w14:paraId="45BD86A2" w14:textId="77777777">
            <w:pPr>
              <w:pStyle w:val="ListParagraph"/>
              <w:numPr>
                <w:ilvl w:val="0"/>
                <w:numId w:val="7"/>
              </w:numPr>
              <w:spacing w:after="160" w:line="259" w:lineRule="auto"/>
              <w:jc w:val="both"/>
              <w:rPr>
                <w:rFonts w:ascii="Aptos" w:hAnsi="Aptos"/>
              </w:rPr>
            </w:pPr>
            <w:r w:rsidRPr="00CD30E0">
              <w:rPr>
                <w:rFonts w:ascii="Aptos" w:hAnsi="Aptos"/>
                <w:bCs/>
                <w:i/>
                <w:color w:val="0000FF"/>
              </w:rPr>
              <w:t>Datortehnikas iegāde pedagogiem un atbalsta personālam nav attiecināma</w:t>
            </w:r>
            <w:r w:rsidRPr="00CD30E0">
              <w:rPr>
                <w:rFonts w:ascii="Aptos" w:hAnsi="Aptos" w:eastAsia="Times New Roman"/>
                <w:i/>
                <w:iCs/>
                <w:color w:val="0070C0"/>
              </w:rPr>
              <w:t xml:space="preserve"> </w:t>
            </w:r>
          </w:p>
        </w:tc>
        <w:tc>
          <w:tcPr>
            <w:tcW w:w="992" w:type="dxa"/>
            <w:tcBorders>
              <w:top w:val="nil"/>
              <w:left w:val="nil"/>
              <w:bottom w:val="single" w:color="auto" w:sz="4" w:space="0"/>
              <w:right w:val="single" w:color="auto" w:sz="4" w:space="0"/>
            </w:tcBorders>
            <w:shd w:val="clear" w:color="auto" w:fill="CBEBE3"/>
            <w:vAlign w:val="center"/>
          </w:tcPr>
          <w:p w:rsidRPr="00CD30E0" w:rsidR="00FB4553" w:rsidP="00521EF9" w:rsidRDefault="00FB4553" w14:paraId="12E2D969" w14:textId="77777777">
            <w:pPr>
              <w:jc w:val="center"/>
              <w:rPr>
                <w:rFonts w:ascii="Aptos" w:hAnsi="Aptos"/>
                <w:sz w:val="22"/>
                <w:szCs w:val="22"/>
              </w:rPr>
            </w:pPr>
            <w:r w:rsidRPr="00CD30E0">
              <w:rPr>
                <w:rFonts w:ascii="Aptos" w:hAnsi="Aptos" w:eastAsia="Calibri"/>
                <w:sz w:val="22"/>
                <w:szCs w:val="22"/>
                <w:lang w:eastAsia="en-US"/>
              </w:rPr>
              <w:t>tiešās</w:t>
            </w:r>
          </w:p>
          <w:p w:rsidRPr="00CD30E0" w:rsidR="00FB4553" w:rsidP="00521EF9" w:rsidRDefault="00FB4553" w14:paraId="23BB3B7B"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0E5A936"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5995A0D"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72091F8" w14:textId="77777777">
            <w:pPr>
              <w:jc w:val="right"/>
              <w:rPr>
                <w:rFonts w:ascii="Aptos" w:hAnsi="Aptos" w:eastAsia="Calibri"/>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78CAA7D"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A755D9D" w14:textId="77777777">
            <w:pPr>
              <w:jc w:val="right"/>
              <w:rPr>
                <w:rFonts w:ascii="Aptos" w:hAnsi="Aptos" w:eastAsia="Calibri"/>
                <w:sz w:val="22"/>
                <w:szCs w:val="22"/>
                <w:lang w:eastAsia="en-US"/>
              </w:rPr>
            </w:pPr>
          </w:p>
        </w:tc>
      </w:tr>
      <w:tr w:rsidRPr="00CD30E0" w:rsidR="00FB4553" w:rsidTr="6C15EBC2" w14:paraId="617043D7"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00CD30E0" w:rsidR="00FB4553" w:rsidP="00521EF9" w:rsidRDefault="00FB4553" w14:paraId="138176E8" w14:textId="77777777">
            <w:pPr>
              <w:rPr>
                <w:rFonts w:ascii="Aptos" w:hAnsi="Aptos" w:eastAsia="Calibri"/>
                <w:b/>
                <w:bCs/>
                <w:sz w:val="22"/>
                <w:szCs w:val="22"/>
                <w:lang w:eastAsia="en-US"/>
              </w:rPr>
            </w:pPr>
            <w:r w:rsidRPr="00CD30E0">
              <w:rPr>
                <w:rFonts w:ascii="Aptos" w:hAnsi="Aptos" w:eastAsia="Calibri"/>
                <w:b/>
                <w:bCs/>
                <w:sz w:val="22"/>
                <w:szCs w:val="22"/>
                <w:lang w:eastAsia="en-US"/>
              </w:rPr>
              <w:t>7.</w:t>
            </w:r>
          </w:p>
        </w:tc>
        <w:tc>
          <w:tcPr>
            <w:tcW w:w="6096" w:type="dxa"/>
            <w:tcBorders>
              <w:top w:val="nil"/>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68BB70F4" w14:textId="77777777">
            <w:pPr>
              <w:jc w:val="both"/>
              <w:rPr>
                <w:rFonts w:ascii="Aptos" w:hAnsi="Aptos"/>
                <w:b/>
                <w:bCs/>
                <w:color w:val="0000FF"/>
                <w:sz w:val="22"/>
                <w:szCs w:val="22"/>
              </w:rPr>
            </w:pPr>
            <w:r w:rsidRPr="00CD30E0">
              <w:rPr>
                <w:rFonts w:ascii="Aptos" w:hAnsi="Aptos"/>
                <w:b/>
                <w:bCs/>
                <w:sz w:val="22"/>
                <w:szCs w:val="22"/>
              </w:rPr>
              <w:t>Būvniecības izmaksas</w:t>
            </w:r>
          </w:p>
        </w:tc>
        <w:tc>
          <w:tcPr>
            <w:tcW w:w="992" w:type="dxa"/>
            <w:tcBorders>
              <w:top w:val="nil"/>
              <w:left w:val="nil"/>
              <w:bottom w:val="single" w:color="auto" w:sz="4" w:space="0"/>
              <w:right w:val="single" w:color="auto" w:sz="4" w:space="0"/>
            </w:tcBorders>
            <w:shd w:val="clear" w:color="auto" w:fill="CBEBE3"/>
            <w:vAlign w:val="center"/>
          </w:tcPr>
          <w:p w:rsidRPr="00CD30E0" w:rsidR="00FB4553" w:rsidP="00521EF9" w:rsidRDefault="00FB4553" w14:paraId="79E93633"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2D14282"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0F131FF"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017C308" w14:textId="77777777">
            <w:pPr>
              <w:jc w:val="right"/>
              <w:rPr>
                <w:rFonts w:ascii="Aptos" w:hAnsi="Aptos" w:eastAsia="Calibri"/>
                <w:sz w:val="22"/>
                <w:szCs w:val="22"/>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AA1C7A6"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B74F88E" w14:textId="77777777">
            <w:pPr>
              <w:jc w:val="right"/>
              <w:rPr>
                <w:rFonts w:ascii="Aptos" w:hAnsi="Aptos" w:eastAsia="Calibri"/>
                <w:sz w:val="22"/>
                <w:szCs w:val="22"/>
                <w:lang w:eastAsia="en-US"/>
              </w:rPr>
            </w:pPr>
          </w:p>
        </w:tc>
      </w:tr>
      <w:tr w:rsidRPr="00CD30E0" w:rsidR="00FB4553" w:rsidTr="6C15EBC2" w14:paraId="0EDBECAC"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00CD30E0" w:rsidR="00FB4553" w:rsidP="00521EF9" w:rsidRDefault="00FB4553" w14:paraId="2AE76A4B" w14:textId="77777777">
            <w:pPr>
              <w:rPr>
                <w:rFonts w:ascii="Aptos" w:hAnsi="Aptos" w:eastAsia="Calibri"/>
                <w:b/>
                <w:bCs/>
                <w:sz w:val="22"/>
                <w:szCs w:val="22"/>
                <w:lang w:eastAsia="en-US"/>
              </w:rPr>
            </w:pPr>
            <w:r w:rsidRPr="00CD30E0">
              <w:rPr>
                <w:rFonts w:ascii="Aptos" w:hAnsi="Aptos" w:eastAsia="Calibri"/>
                <w:b/>
                <w:bCs/>
                <w:sz w:val="22"/>
                <w:szCs w:val="22"/>
                <w:lang w:eastAsia="en-US"/>
              </w:rPr>
              <w:t>7.1.</w:t>
            </w:r>
          </w:p>
        </w:tc>
        <w:tc>
          <w:tcPr>
            <w:tcW w:w="6096" w:type="dxa"/>
            <w:tcBorders>
              <w:top w:val="nil"/>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0AE59B43" w14:textId="77777777">
            <w:pPr>
              <w:jc w:val="both"/>
              <w:rPr>
                <w:rFonts w:ascii="Aptos" w:hAnsi="Aptos"/>
                <w:b/>
                <w:bCs/>
                <w:sz w:val="22"/>
                <w:szCs w:val="22"/>
              </w:rPr>
            </w:pPr>
            <w:r w:rsidRPr="00CD30E0">
              <w:rPr>
                <w:rFonts w:ascii="Aptos" w:hAnsi="Aptos"/>
                <w:b/>
                <w:bCs/>
                <w:sz w:val="22"/>
                <w:szCs w:val="22"/>
              </w:rPr>
              <w:t>Projektēšanas izmaksas</w:t>
            </w:r>
          </w:p>
          <w:p w:rsidRPr="00CD30E0" w:rsidR="00FB4553" w:rsidP="00521EF9" w:rsidRDefault="00FB4553" w14:paraId="25820EEA" w14:textId="77777777">
            <w:pPr>
              <w:jc w:val="both"/>
              <w:rPr>
                <w:rFonts w:ascii="Aptos" w:hAnsi="Aptos"/>
                <w:i/>
                <w:iCs/>
                <w:sz w:val="22"/>
                <w:szCs w:val="22"/>
              </w:rPr>
            </w:pPr>
          </w:p>
        </w:tc>
        <w:tc>
          <w:tcPr>
            <w:tcW w:w="992" w:type="dxa"/>
            <w:tcBorders>
              <w:top w:val="nil"/>
              <w:left w:val="nil"/>
              <w:bottom w:val="single" w:color="auto" w:sz="4" w:space="0"/>
              <w:right w:val="single" w:color="auto" w:sz="4" w:space="0"/>
            </w:tcBorders>
            <w:shd w:val="clear" w:color="auto" w:fill="CBEBE3"/>
            <w:vAlign w:val="center"/>
          </w:tcPr>
          <w:p w:rsidRPr="00CD30E0" w:rsidR="00FB4553" w:rsidP="00521EF9" w:rsidRDefault="00FB4553" w14:paraId="0982FBFB" w14:textId="77777777">
            <w:pPr>
              <w:jc w:val="center"/>
              <w:rPr>
                <w:rFonts w:ascii="Aptos" w:hAnsi="Aptos" w:eastAsia="Calibri"/>
                <w:sz w:val="22"/>
                <w:szCs w:val="22"/>
                <w:lang w:eastAsia="en-US"/>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1097EEA"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456895C"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6E06AA8" w14:textId="77777777">
            <w:pPr>
              <w:jc w:val="center"/>
              <w:rPr>
                <w:rFonts w:ascii="Aptos" w:hAnsi="Aptos" w:eastAsia="Calibri"/>
                <w:sz w:val="22"/>
                <w:szCs w:val="22"/>
                <w:lang w:eastAsia="en-US"/>
              </w:rPr>
            </w:pPr>
            <w:r w:rsidRPr="00CD30E0">
              <w:rPr>
                <w:rFonts w:ascii="Aptos" w:hAnsi="Aptos" w:eastAsia="Calibri"/>
                <w:sz w:val="20"/>
                <w:szCs w:val="20"/>
                <w:lang w:eastAsia="en-US"/>
              </w:rPr>
              <w:t>Izmaksu pozīciju Nr. 7.1., 7.2., 7.3. un 11. kopsumma nedrīkst pārsniegt 10% no projekta kopējām attiecināmajām izmaksām</w:t>
            </w: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A68AB56"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C81E932" w14:textId="77777777">
            <w:pPr>
              <w:jc w:val="right"/>
              <w:rPr>
                <w:rFonts w:ascii="Aptos" w:hAnsi="Aptos" w:eastAsia="Calibri"/>
                <w:sz w:val="22"/>
                <w:szCs w:val="22"/>
                <w:lang w:eastAsia="en-US"/>
              </w:rPr>
            </w:pPr>
          </w:p>
        </w:tc>
      </w:tr>
      <w:tr w:rsidRPr="00CD30E0" w:rsidR="00FB4553" w:rsidTr="6C15EBC2" w14:paraId="53E437E8"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00CD30E0" w:rsidR="00FB4553" w:rsidP="00521EF9" w:rsidRDefault="00FB4553" w14:paraId="26133D3B" w14:textId="77777777">
            <w:pPr>
              <w:rPr>
                <w:rFonts w:ascii="Aptos" w:hAnsi="Aptos" w:eastAsia="Calibri"/>
                <w:sz w:val="22"/>
                <w:szCs w:val="22"/>
                <w:lang w:eastAsia="en-US"/>
              </w:rPr>
            </w:pPr>
            <w:r w:rsidRPr="00CD30E0">
              <w:rPr>
                <w:rFonts w:ascii="Aptos" w:hAnsi="Aptos" w:eastAsia="Calibri"/>
                <w:sz w:val="22"/>
                <w:szCs w:val="22"/>
                <w:lang w:eastAsia="en-US"/>
              </w:rPr>
              <w:lastRenderedPageBreak/>
              <w:t>7.1.1.</w:t>
            </w:r>
          </w:p>
        </w:tc>
        <w:tc>
          <w:tcPr>
            <w:tcW w:w="6096" w:type="dxa"/>
            <w:tcBorders>
              <w:top w:val="nil"/>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4B20C37E" w14:textId="77777777">
            <w:pPr>
              <w:jc w:val="both"/>
              <w:rPr>
                <w:rFonts w:ascii="Aptos" w:hAnsi="Aptos" w:eastAsia="Calibri"/>
                <w:sz w:val="22"/>
                <w:szCs w:val="22"/>
                <w:lang w:eastAsia="en-US"/>
              </w:rPr>
            </w:pPr>
            <w:r w:rsidRPr="00CD30E0">
              <w:rPr>
                <w:rFonts w:ascii="Aptos" w:hAnsi="Aptos" w:eastAsia="Calibri"/>
                <w:sz w:val="22"/>
                <w:szCs w:val="22"/>
                <w:lang w:eastAsia="en-US"/>
              </w:rPr>
              <w:t>Neatkarīgu būvekspertīžu veikšanas un  tehniskās apsekošanas izmaksas, tai skaitā  neatkarīgas būvprojekta ekspertīzes veikšanas izmaksas.</w:t>
            </w:r>
          </w:p>
          <w:p w:rsidRPr="00CD30E0" w:rsidR="00FB4553" w:rsidP="00521EF9" w:rsidRDefault="00FB4553" w14:paraId="42F8A86B" w14:textId="77777777">
            <w:pPr>
              <w:jc w:val="both"/>
              <w:rPr>
                <w:rFonts w:ascii="Aptos" w:hAnsi="Aptos"/>
                <w:b/>
                <w:bCs/>
                <w:sz w:val="22"/>
                <w:szCs w:val="22"/>
              </w:rPr>
            </w:pPr>
            <w:r w:rsidRPr="00CD30E0">
              <w:rPr>
                <w:rFonts w:ascii="Aptos" w:hAnsi="Aptos" w:eastAsia="Calibri"/>
                <w:i/>
                <w:iCs/>
                <w:color w:val="0000FF"/>
                <w:sz w:val="22"/>
                <w:szCs w:val="22"/>
                <w:lang w:eastAsia="en-US"/>
              </w:rPr>
              <w:t>Atbilstoši MK noteikumu 2</w:t>
            </w:r>
            <w:r>
              <w:rPr>
                <w:rFonts w:ascii="Aptos" w:hAnsi="Aptos" w:eastAsia="Calibri"/>
                <w:i/>
                <w:iCs/>
                <w:color w:val="0000FF"/>
                <w:sz w:val="22"/>
                <w:szCs w:val="22"/>
                <w:lang w:eastAsia="en-US"/>
              </w:rPr>
              <w:t>0</w:t>
            </w:r>
            <w:r w:rsidRPr="00CD30E0">
              <w:rPr>
                <w:rFonts w:ascii="Aptos" w:hAnsi="Aptos" w:eastAsia="Calibri"/>
                <w:i/>
                <w:iCs/>
                <w:color w:val="0000FF"/>
                <w:sz w:val="22"/>
                <w:szCs w:val="22"/>
                <w:lang w:eastAsia="en-US"/>
              </w:rPr>
              <w:t>.11. apakšpunktam</w:t>
            </w:r>
          </w:p>
        </w:tc>
        <w:tc>
          <w:tcPr>
            <w:tcW w:w="992" w:type="dxa"/>
            <w:tcBorders>
              <w:top w:val="nil"/>
              <w:left w:val="nil"/>
              <w:bottom w:val="single" w:color="auto" w:sz="4" w:space="0"/>
              <w:right w:val="single" w:color="auto" w:sz="4" w:space="0"/>
            </w:tcBorders>
            <w:shd w:val="clear" w:color="auto" w:fill="CBEBE3"/>
          </w:tcPr>
          <w:p w:rsidRPr="00CD30E0" w:rsidR="00FB4553" w:rsidP="00521EF9" w:rsidRDefault="00FB4553" w14:paraId="5861DD12" w14:textId="77777777">
            <w:pPr>
              <w:jc w:val="center"/>
              <w:rPr>
                <w:rFonts w:ascii="Aptos" w:hAnsi="Aptos" w:eastAsia="Calibri"/>
                <w:sz w:val="22"/>
                <w:szCs w:val="22"/>
                <w:lang w:eastAsia="en-US"/>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D6AF154"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AB8EBAC"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335FC41" w14:textId="77777777">
            <w:pPr>
              <w:jc w:val="center"/>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91B0A21"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D605686" w14:textId="77777777">
            <w:pPr>
              <w:jc w:val="right"/>
              <w:rPr>
                <w:rFonts w:ascii="Aptos" w:hAnsi="Aptos" w:eastAsia="Calibri"/>
                <w:sz w:val="22"/>
                <w:szCs w:val="22"/>
                <w:lang w:eastAsia="en-US"/>
              </w:rPr>
            </w:pPr>
          </w:p>
        </w:tc>
      </w:tr>
      <w:tr w:rsidRPr="00CD30E0" w:rsidR="00FB4553" w:rsidTr="6C15EBC2" w14:paraId="6A151265"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Pr="00CD30E0" w:rsidR="00FB4553" w:rsidP="00521EF9" w:rsidRDefault="00FB4553" w14:paraId="7541A854" w14:textId="77777777">
            <w:pPr>
              <w:rPr>
                <w:rFonts w:ascii="Aptos" w:hAnsi="Aptos" w:eastAsia="Calibri"/>
                <w:sz w:val="22"/>
                <w:szCs w:val="22"/>
                <w:lang w:eastAsia="en-US"/>
              </w:rPr>
            </w:pPr>
            <w:r w:rsidRPr="00CD30E0">
              <w:rPr>
                <w:rFonts w:ascii="Aptos" w:hAnsi="Aptos" w:eastAsia="Calibri"/>
                <w:sz w:val="22"/>
                <w:szCs w:val="22"/>
                <w:lang w:eastAsia="en-US"/>
              </w:rPr>
              <w:t>7.1.2.</w:t>
            </w:r>
          </w:p>
        </w:tc>
        <w:tc>
          <w:tcPr>
            <w:tcW w:w="6096" w:type="dxa"/>
            <w:tcBorders>
              <w:top w:val="nil"/>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72E391AD" w14:textId="77777777">
            <w:pPr>
              <w:jc w:val="both"/>
              <w:rPr>
                <w:rFonts w:ascii="Aptos" w:hAnsi="Aptos" w:eastAsia="Calibri"/>
                <w:sz w:val="22"/>
                <w:szCs w:val="22"/>
                <w:lang w:eastAsia="en-US"/>
              </w:rPr>
            </w:pPr>
            <w:proofErr w:type="spellStart"/>
            <w:r w:rsidRPr="00CD30E0">
              <w:rPr>
                <w:rFonts w:ascii="Aptos" w:hAnsi="Aptos" w:eastAsia="Calibri"/>
                <w:sz w:val="22"/>
                <w:szCs w:val="22"/>
                <w:lang w:eastAsia="en-US"/>
              </w:rPr>
              <w:t>Energosertifikācijas</w:t>
            </w:r>
            <w:proofErr w:type="spellEnd"/>
            <w:r w:rsidRPr="00CD30E0">
              <w:rPr>
                <w:rFonts w:ascii="Aptos" w:hAnsi="Aptos" w:eastAsia="Calibri"/>
                <w:sz w:val="22"/>
                <w:szCs w:val="22"/>
                <w:lang w:eastAsia="en-US"/>
              </w:rPr>
              <w:t>, ekspertīzes un izpētes izmaksas, ja to veikšana ir priekšnosacījums, lai izstrādātu būvprojektu, būvdarbu ieceres dokumentāciju vai būvprojektu minimālā sastāvā.</w:t>
            </w:r>
          </w:p>
          <w:p w:rsidRPr="00CD30E0" w:rsidR="00FB4553" w:rsidP="00521EF9" w:rsidRDefault="00FB4553" w14:paraId="1F58A118" w14:textId="77777777">
            <w:pPr>
              <w:jc w:val="both"/>
              <w:rPr>
                <w:rFonts w:ascii="Aptos" w:hAnsi="Aptos"/>
                <w:b/>
                <w:bCs/>
                <w:sz w:val="22"/>
                <w:szCs w:val="22"/>
              </w:rPr>
            </w:pPr>
            <w:r w:rsidRPr="00CD30E0">
              <w:rPr>
                <w:rFonts w:ascii="Aptos" w:hAnsi="Aptos" w:eastAsia="Calibri"/>
                <w:i/>
                <w:iCs/>
                <w:color w:val="0000FF"/>
                <w:sz w:val="22"/>
                <w:szCs w:val="22"/>
                <w:lang w:eastAsia="en-US"/>
              </w:rPr>
              <w:t>Atbilstoši MK noteikumu 2</w:t>
            </w:r>
            <w:r>
              <w:rPr>
                <w:rFonts w:ascii="Aptos" w:hAnsi="Aptos" w:eastAsia="Calibri"/>
                <w:i/>
                <w:iCs/>
                <w:color w:val="0000FF"/>
                <w:sz w:val="22"/>
                <w:szCs w:val="22"/>
                <w:lang w:eastAsia="en-US"/>
              </w:rPr>
              <w:t>0</w:t>
            </w:r>
            <w:r w:rsidRPr="00CD30E0">
              <w:rPr>
                <w:rFonts w:ascii="Aptos" w:hAnsi="Aptos" w:eastAsia="Calibri"/>
                <w:i/>
                <w:iCs/>
                <w:color w:val="0000FF"/>
                <w:sz w:val="22"/>
                <w:szCs w:val="22"/>
                <w:lang w:eastAsia="en-US"/>
              </w:rPr>
              <w:t>.12. apakšpunktam</w:t>
            </w:r>
          </w:p>
        </w:tc>
        <w:tc>
          <w:tcPr>
            <w:tcW w:w="992" w:type="dxa"/>
            <w:tcBorders>
              <w:top w:val="nil"/>
              <w:left w:val="nil"/>
              <w:bottom w:val="single" w:color="auto" w:sz="4" w:space="0"/>
              <w:right w:val="single" w:color="auto" w:sz="4" w:space="0"/>
            </w:tcBorders>
            <w:shd w:val="clear" w:color="auto" w:fill="CBEBE3"/>
          </w:tcPr>
          <w:p w:rsidRPr="00CD30E0" w:rsidR="00FB4553" w:rsidP="00521EF9" w:rsidRDefault="00FB4553" w14:paraId="2628EA51" w14:textId="77777777">
            <w:pPr>
              <w:jc w:val="center"/>
              <w:rPr>
                <w:rFonts w:ascii="Aptos" w:hAnsi="Aptos" w:eastAsia="Calibri"/>
                <w:sz w:val="22"/>
                <w:szCs w:val="22"/>
                <w:lang w:eastAsia="en-US"/>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AB1DBAD"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44542CE"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020B333" w14:textId="77777777">
            <w:pPr>
              <w:jc w:val="center"/>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187879E"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76A74F1" w14:textId="77777777">
            <w:pPr>
              <w:jc w:val="right"/>
              <w:rPr>
                <w:rFonts w:ascii="Aptos" w:hAnsi="Aptos" w:eastAsia="Calibri"/>
                <w:sz w:val="22"/>
                <w:szCs w:val="22"/>
                <w:lang w:eastAsia="en-US"/>
              </w:rPr>
            </w:pPr>
          </w:p>
        </w:tc>
      </w:tr>
      <w:tr w:rsidR="00FB4553" w:rsidTr="6C15EBC2" w14:paraId="6F85D6BB" w14:textId="77777777">
        <w:trPr>
          <w:trHeight w:val="300"/>
          <w:jc w:val="center"/>
        </w:trPr>
        <w:tc>
          <w:tcPr>
            <w:tcW w:w="1129" w:type="dxa"/>
            <w:tcBorders>
              <w:top w:val="nil"/>
              <w:left w:val="single" w:color="auto" w:sz="4" w:space="0"/>
              <w:bottom w:val="single" w:color="auto" w:sz="4" w:space="0"/>
              <w:right w:val="nil"/>
            </w:tcBorders>
            <w:shd w:val="clear" w:color="auto" w:fill="CBEBE3"/>
            <w:vAlign w:val="center"/>
          </w:tcPr>
          <w:p w:rsidR="00FB4553" w:rsidP="00521EF9" w:rsidRDefault="00FB4553" w14:paraId="456FAC85" w14:textId="77777777">
            <w:pPr>
              <w:rPr>
                <w:rFonts w:ascii="Aptos" w:hAnsi="Aptos" w:eastAsia="Calibri"/>
                <w:sz w:val="22"/>
                <w:szCs w:val="22"/>
                <w:lang w:eastAsia="en-US"/>
              </w:rPr>
            </w:pPr>
            <w:r w:rsidRPr="2C415231">
              <w:rPr>
                <w:rFonts w:ascii="Aptos" w:hAnsi="Aptos" w:eastAsia="Calibri"/>
                <w:sz w:val="22"/>
                <w:szCs w:val="22"/>
                <w:lang w:eastAsia="en-US"/>
              </w:rPr>
              <w:t xml:space="preserve">7.1.3. </w:t>
            </w:r>
          </w:p>
        </w:tc>
        <w:tc>
          <w:tcPr>
            <w:tcW w:w="6096" w:type="dxa"/>
            <w:tcBorders>
              <w:top w:val="nil"/>
              <w:left w:val="single" w:color="auto" w:sz="4" w:space="0"/>
              <w:bottom w:val="single" w:color="auto" w:sz="4" w:space="0"/>
              <w:right w:val="single" w:color="auto" w:sz="4" w:space="0"/>
            </w:tcBorders>
            <w:shd w:val="clear" w:color="auto" w:fill="CBEBE3"/>
            <w:vAlign w:val="center"/>
          </w:tcPr>
          <w:p w:rsidR="00FB4553" w:rsidP="00521EF9" w:rsidRDefault="00FB4553" w14:paraId="683A3F82" w14:textId="77777777">
            <w:pPr>
              <w:jc w:val="both"/>
              <w:rPr>
                <w:rFonts w:ascii="Aptos" w:hAnsi="Aptos" w:eastAsia="Calibri"/>
                <w:sz w:val="22"/>
                <w:szCs w:val="22"/>
                <w:lang w:eastAsia="en-US"/>
              </w:rPr>
            </w:pPr>
            <w:r w:rsidRPr="79D5E713">
              <w:rPr>
                <w:rFonts w:ascii="Aptos" w:hAnsi="Aptos" w:eastAsia="Calibri"/>
                <w:sz w:val="22"/>
                <w:szCs w:val="22"/>
                <w:lang w:eastAsia="en-US"/>
              </w:rPr>
              <w:t>būvprojekta, būvdarbu ieceres dokumentācijas, būvprojekta minimālā sastāvā, paskaidrojuma raksta izstrādes vai aktualizācijas izmaksas</w:t>
            </w:r>
          </w:p>
          <w:p w:rsidR="00FB4553" w:rsidP="00521EF9" w:rsidRDefault="00FB4553" w14:paraId="1DA34C39" w14:textId="77777777">
            <w:pPr>
              <w:jc w:val="both"/>
              <w:rPr>
                <w:rFonts w:ascii="Aptos" w:hAnsi="Aptos"/>
                <w:i/>
                <w:iCs/>
                <w:sz w:val="22"/>
                <w:szCs w:val="22"/>
              </w:rPr>
            </w:pPr>
            <w:r w:rsidRPr="79D5E713">
              <w:rPr>
                <w:rFonts w:ascii="Aptos" w:hAnsi="Aptos"/>
                <w:i/>
                <w:iCs/>
                <w:color w:val="0000FF"/>
                <w:sz w:val="22"/>
                <w:szCs w:val="22"/>
              </w:rPr>
              <w:t>Atbilstoši MK noteikumu 2</w:t>
            </w:r>
            <w:r>
              <w:rPr>
                <w:rFonts w:ascii="Aptos" w:hAnsi="Aptos"/>
                <w:i/>
                <w:iCs/>
                <w:color w:val="0000FF"/>
                <w:sz w:val="22"/>
                <w:szCs w:val="22"/>
              </w:rPr>
              <w:t>0</w:t>
            </w:r>
            <w:r w:rsidRPr="79D5E713">
              <w:rPr>
                <w:rFonts w:ascii="Aptos" w:hAnsi="Aptos"/>
                <w:i/>
                <w:iCs/>
                <w:color w:val="0000FF"/>
                <w:sz w:val="22"/>
                <w:szCs w:val="22"/>
              </w:rPr>
              <w:t>.10. apakšpunktam</w:t>
            </w:r>
          </w:p>
        </w:tc>
        <w:tc>
          <w:tcPr>
            <w:tcW w:w="992" w:type="dxa"/>
            <w:tcBorders>
              <w:top w:val="nil"/>
              <w:left w:val="nil"/>
              <w:bottom w:val="single" w:color="auto" w:sz="4" w:space="0"/>
              <w:right w:val="single" w:color="auto" w:sz="4" w:space="0"/>
            </w:tcBorders>
            <w:shd w:val="clear" w:color="auto" w:fill="CBEBE3"/>
          </w:tcPr>
          <w:p w:rsidR="00FB4553" w:rsidP="00521EF9" w:rsidRDefault="00FB4553" w14:paraId="1CAFF310" w14:textId="77777777">
            <w:pPr>
              <w:jc w:val="center"/>
              <w:rPr>
                <w:rFonts w:ascii="Aptos" w:hAnsi="Aptos" w:eastAsia="Calibri"/>
                <w:sz w:val="22"/>
                <w:szCs w:val="22"/>
                <w:lang w:eastAsia="en-US"/>
              </w:rPr>
            </w:pPr>
            <w:r w:rsidRPr="79D5E713">
              <w:rPr>
                <w:rFonts w:ascii="Aptos" w:hAnsi="Aptos" w:eastAsia="Calibri"/>
                <w:sz w:val="22"/>
                <w:szCs w:val="22"/>
                <w:lang w:eastAsia="en-US"/>
              </w:rPr>
              <w:t>tiešās</w:t>
            </w:r>
          </w:p>
          <w:p w:rsidR="00FB4553" w:rsidP="00521EF9" w:rsidRDefault="00FB4553" w14:paraId="250C63D0"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00FB4553" w:rsidP="00521EF9" w:rsidRDefault="00FB4553" w14:paraId="675DE279"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00FB4553" w:rsidP="00521EF9" w:rsidRDefault="00FB4553" w14:paraId="17C639D7"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00FB4553" w:rsidP="00521EF9" w:rsidRDefault="00FB4553" w14:paraId="2AA5A694" w14:textId="77777777">
            <w:pPr>
              <w:jc w:val="center"/>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00FB4553" w:rsidP="00521EF9" w:rsidRDefault="00FB4553" w14:paraId="2FF43B75"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00FB4553" w:rsidP="00521EF9" w:rsidRDefault="00FB4553" w14:paraId="4799BA1D" w14:textId="77777777">
            <w:pPr>
              <w:jc w:val="right"/>
              <w:rPr>
                <w:rFonts w:ascii="Aptos" w:hAnsi="Aptos" w:eastAsia="Calibri"/>
                <w:sz w:val="22"/>
                <w:szCs w:val="22"/>
                <w:lang w:eastAsia="en-US"/>
              </w:rPr>
            </w:pPr>
          </w:p>
        </w:tc>
      </w:tr>
      <w:tr w:rsidRPr="00CD30E0" w:rsidR="00FB4553" w:rsidTr="6C15EBC2" w14:paraId="3060F6AA"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7C8BA8DC" w14:textId="77777777">
            <w:pPr>
              <w:rPr>
                <w:rFonts w:ascii="Aptos" w:hAnsi="Aptos" w:eastAsia="Calibri"/>
                <w:b/>
                <w:bCs/>
                <w:sz w:val="22"/>
                <w:szCs w:val="22"/>
                <w:lang w:eastAsia="en-US"/>
              </w:rPr>
            </w:pPr>
            <w:r w:rsidRPr="00CD30E0">
              <w:rPr>
                <w:rFonts w:ascii="Aptos" w:hAnsi="Aptos" w:eastAsia="Calibri"/>
                <w:b/>
                <w:bCs/>
                <w:sz w:val="22"/>
                <w:szCs w:val="22"/>
                <w:lang w:eastAsia="en-US"/>
              </w:rPr>
              <w:t>7.2.</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14D9F38A" w14:textId="77777777">
            <w:pPr>
              <w:jc w:val="both"/>
              <w:rPr>
                <w:rFonts w:ascii="Aptos" w:hAnsi="Aptos" w:eastAsia="Calibri"/>
                <w:b/>
                <w:bCs/>
                <w:sz w:val="22"/>
                <w:szCs w:val="22"/>
                <w:lang w:eastAsia="en-US"/>
              </w:rPr>
            </w:pPr>
            <w:r w:rsidRPr="00CD30E0">
              <w:rPr>
                <w:rFonts w:ascii="Aptos" w:hAnsi="Aptos" w:eastAsia="Calibri"/>
                <w:b/>
                <w:bCs/>
                <w:sz w:val="22"/>
                <w:szCs w:val="22"/>
                <w:lang w:eastAsia="en-US"/>
              </w:rPr>
              <w:t>Autoruzraudzības izmaksas</w:t>
            </w:r>
          </w:p>
          <w:p w:rsidRPr="00CD30E0" w:rsidR="00FB4553" w:rsidP="00521EF9" w:rsidRDefault="00FB4553" w14:paraId="0860B31A" w14:textId="77777777">
            <w:pPr>
              <w:jc w:val="both"/>
              <w:rPr>
                <w:rFonts w:ascii="Aptos" w:hAnsi="Aptos" w:eastAsia="Calibri"/>
                <w:b/>
                <w:bCs/>
                <w:sz w:val="22"/>
                <w:szCs w:val="22"/>
                <w:lang w:eastAsia="en-US"/>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.9. 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00C3A83E"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D1A040C"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A1A430A"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C8A8D41" w14:textId="77777777">
            <w:pPr>
              <w:jc w:val="center"/>
              <w:rPr>
                <w:rFonts w:ascii="Aptos" w:hAnsi="Aptos" w:eastAsia="Calibri"/>
                <w:sz w:val="20"/>
                <w:szCs w:val="20"/>
                <w:lang w:eastAsia="en-US"/>
              </w:rPr>
            </w:pPr>
            <w:r w:rsidRPr="00CD30E0">
              <w:rPr>
                <w:rFonts w:ascii="Aptos" w:hAnsi="Aptos" w:eastAsia="Calibri"/>
                <w:sz w:val="20"/>
                <w:szCs w:val="20"/>
                <w:lang w:eastAsia="en-US"/>
              </w:rPr>
              <w:t>Izmaksu pozīciju Nr. 7.1., 7.2., 7.3. un 11. kopsumma nedrīkst pārsniegt 10% no projekta kopējām attiecināmajām izmaksām</w:t>
            </w: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A59E069"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5030845" w14:textId="77777777">
            <w:pPr>
              <w:jc w:val="right"/>
              <w:rPr>
                <w:rFonts w:ascii="Aptos" w:hAnsi="Aptos" w:eastAsia="Calibri"/>
                <w:sz w:val="22"/>
                <w:szCs w:val="22"/>
                <w:lang w:eastAsia="en-US"/>
              </w:rPr>
            </w:pPr>
          </w:p>
        </w:tc>
      </w:tr>
      <w:tr w:rsidRPr="00CD30E0" w:rsidR="00FB4553" w:rsidTr="6C15EBC2" w14:paraId="0630D631"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12E3A90F" w14:textId="77777777">
            <w:pPr>
              <w:rPr>
                <w:rFonts w:ascii="Aptos" w:hAnsi="Aptos" w:eastAsia="Calibri"/>
                <w:b/>
                <w:bCs/>
                <w:sz w:val="22"/>
                <w:szCs w:val="22"/>
                <w:lang w:eastAsia="en-US"/>
              </w:rPr>
            </w:pPr>
            <w:r w:rsidRPr="00CD30E0">
              <w:rPr>
                <w:rFonts w:ascii="Aptos" w:hAnsi="Aptos" w:eastAsia="Calibri"/>
                <w:b/>
                <w:bCs/>
                <w:sz w:val="22"/>
                <w:szCs w:val="22"/>
                <w:lang w:eastAsia="en-US"/>
              </w:rPr>
              <w:t>7.3.</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42D95AFF" w14:textId="77777777">
            <w:pPr>
              <w:jc w:val="both"/>
              <w:rPr>
                <w:rFonts w:ascii="Aptos" w:hAnsi="Aptos" w:eastAsia="Calibri"/>
                <w:b/>
                <w:bCs/>
                <w:sz w:val="22"/>
                <w:szCs w:val="22"/>
                <w:lang w:eastAsia="en-US"/>
              </w:rPr>
            </w:pPr>
            <w:r w:rsidRPr="00CD30E0">
              <w:rPr>
                <w:rFonts w:ascii="Aptos" w:hAnsi="Aptos" w:eastAsia="Calibri"/>
                <w:b/>
                <w:bCs/>
                <w:sz w:val="22"/>
                <w:szCs w:val="22"/>
                <w:lang w:eastAsia="en-US"/>
              </w:rPr>
              <w:t>Būvuzraudzības izmaksas</w:t>
            </w:r>
          </w:p>
          <w:p w:rsidRPr="00CD30E0" w:rsidR="00FB4553" w:rsidP="00521EF9" w:rsidRDefault="00FB4553" w14:paraId="2784CB78" w14:textId="77777777">
            <w:pPr>
              <w:jc w:val="both"/>
              <w:rPr>
                <w:rFonts w:ascii="Aptos" w:hAnsi="Aptos" w:eastAsia="Calibri"/>
                <w:b/>
                <w:bCs/>
                <w:sz w:val="22"/>
                <w:szCs w:val="22"/>
                <w:lang w:eastAsia="en-US"/>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.9. 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2C7E8479"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CACF38C"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207F050"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59B1E94" w14:textId="77777777">
            <w:pPr>
              <w:jc w:val="center"/>
              <w:rPr>
                <w:rFonts w:ascii="Aptos" w:hAnsi="Aptos" w:eastAsia="Calibri"/>
                <w:sz w:val="20"/>
                <w:szCs w:val="20"/>
                <w:lang w:eastAsia="en-US"/>
              </w:rPr>
            </w:pPr>
            <w:r w:rsidRPr="00CD30E0">
              <w:rPr>
                <w:rFonts w:ascii="Aptos" w:hAnsi="Aptos" w:eastAsia="Calibri"/>
                <w:sz w:val="20"/>
                <w:szCs w:val="20"/>
                <w:lang w:eastAsia="en-US"/>
              </w:rPr>
              <w:t>Izmaksu pozīciju Nr. 7.1., 7.2., 7.3. un 11. kopsumma nedrīkst pārsniegt 10% no projekta kopējām attiecināmajām izmaksām</w:t>
            </w: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AF0F4BA"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8E938B1" w14:textId="77777777">
            <w:pPr>
              <w:jc w:val="right"/>
              <w:rPr>
                <w:rFonts w:ascii="Aptos" w:hAnsi="Aptos" w:eastAsia="Calibri"/>
                <w:sz w:val="22"/>
                <w:szCs w:val="22"/>
                <w:lang w:eastAsia="en-US"/>
              </w:rPr>
            </w:pPr>
          </w:p>
        </w:tc>
      </w:tr>
      <w:tr w:rsidRPr="00CD30E0" w:rsidR="00FB4553" w:rsidTr="6C15EBC2" w14:paraId="1D80EB8B"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1A95BAE5" w14:textId="77777777">
            <w:pPr>
              <w:rPr>
                <w:rFonts w:ascii="Aptos" w:hAnsi="Aptos" w:eastAsia="Calibri"/>
                <w:b/>
                <w:bCs/>
                <w:sz w:val="22"/>
                <w:szCs w:val="22"/>
                <w:lang w:eastAsia="en-US"/>
              </w:rPr>
            </w:pPr>
            <w:r w:rsidRPr="00CD30E0">
              <w:rPr>
                <w:rFonts w:ascii="Aptos" w:hAnsi="Aptos" w:eastAsia="Calibri"/>
                <w:b/>
                <w:bCs/>
                <w:sz w:val="22"/>
                <w:szCs w:val="22"/>
                <w:lang w:eastAsia="en-US"/>
              </w:rPr>
              <w:t>7.5.</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7D2F934B" w14:textId="77777777">
            <w:pPr>
              <w:jc w:val="both"/>
              <w:rPr>
                <w:rFonts w:ascii="Aptos" w:hAnsi="Aptos" w:eastAsia="Calibri"/>
                <w:b/>
                <w:bCs/>
                <w:sz w:val="22"/>
                <w:szCs w:val="22"/>
                <w:lang w:eastAsia="en-US"/>
              </w:rPr>
            </w:pPr>
            <w:r w:rsidRPr="6C15EBC2">
              <w:rPr>
                <w:rFonts w:ascii="Aptos" w:hAnsi="Aptos" w:eastAsia="Calibri"/>
                <w:b/>
                <w:bCs/>
                <w:sz w:val="22"/>
                <w:szCs w:val="22"/>
                <w:lang w:eastAsia="en-US"/>
              </w:rPr>
              <w:t xml:space="preserve">Būvdarbu izmaksas </w:t>
            </w:r>
            <w:r w:rsidRPr="00934CBC">
              <w:rPr>
                <w:rFonts w:ascii="Aptos" w:hAnsi="Aptos" w:eastAsia="Calibri"/>
                <w:b/>
                <w:bCs/>
                <w:sz w:val="22"/>
                <w:szCs w:val="22"/>
                <w:lang w:eastAsia="en-US"/>
              </w:rPr>
              <w:t>(ēkas)</w:t>
            </w:r>
            <w:r w:rsidRPr="6C15EBC2">
              <w:rPr>
                <w:rFonts w:ascii="Aptos" w:hAnsi="Aptos" w:eastAsia="Calibri"/>
                <w:b/>
                <w:bCs/>
                <w:sz w:val="22"/>
                <w:szCs w:val="22"/>
                <w:lang w:eastAsia="en-US"/>
              </w:rPr>
              <w:t>, tai skaitā labiekārtošanas izmaksas</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2532959D"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0A27B22"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45A8BB0"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0ADAB96" w14:textId="77777777">
            <w:pPr>
              <w:jc w:val="right"/>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19C92BA"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EB5BF82" w14:textId="77777777">
            <w:pPr>
              <w:jc w:val="right"/>
              <w:rPr>
                <w:rFonts w:ascii="Aptos" w:hAnsi="Aptos" w:eastAsia="Calibri"/>
                <w:sz w:val="22"/>
                <w:szCs w:val="22"/>
                <w:lang w:eastAsia="en-US"/>
              </w:rPr>
            </w:pPr>
          </w:p>
        </w:tc>
      </w:tr>
      <w:tr w:rsidRPr="00CD30E0" w:rsidR="00FB4553" w:rsidTr="6C15EBC2" w14:paraId="052F5A4A"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75D8FD26" w14:textId="77777777">
            <w:pPr>
              <w:rPr>
                <w:rFonts w:ascii="Aptos" w:hAnsi="Aptos" w:eastAsia="Calibri"/>
                <w:b/>
                <w:bCs/>
                <w:sz w:val="22"/>
                <w:szCs w:val="22"/>
                <w:lang w:eastAsia="en-US"/>
              </w:rPr>
            </w:pPr>
            <w:r w:rsidRPr="00CD30E0">
              <w:rPr>
                <w:rFonts w:ascii="Aptos" w:hAnsi="Aptos" w:eastAsia="Calibri"/>
                <w:b/>
                <w:bCs/>
                <w:sz w:val="22"/>
                <w:szCs w:val="22"/>
                <w:lang w:eastAsia="en-US"/>
              </w:rPr>
              <w:t>7.5.1.</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00FB4553" w:rsidP="00521EF9" w:rsidRDefault="00FB4553" w14:paraId="207489DA" w14:textId="27C4B29D">
            <w:pPr>
              <w:jc w:val="both"/>
              <w:rPr>
                <w:rFonts w:ascii="Aptos" w:hAnsi="Aptos" w:eastAsia="Calibri"/>
                <w:sz w:val="22"/>
                <w:szCs w:val="22"/>
                <w:lang w:eastAsia="en-US"/>
              </w:rPr>
            </w:pPr>
            <w:r w:rsidRPr="6C15EBC2">
              <w:rPr>
                <w:rFonts w:ascii="Aptos" w:hAnsi="Aptos" w:eastAsia="Calibri"/>
                <w:sz w:val="22"/>
                <w:szCs w:val="22"/>
                <w:lang w:eastAsia="en-US"/>
              </w:rPr>
              <w:t xml:space="preserve">vispārējās izglītības iestādes ēkas piebūves būvniecības izmaksas </w:t>
            </w:r>
            <w:r w:rsidRPr="00934CBC">
              <w:rPr>
                <w:rFonts w:ascii="Aptos" w:hAnsi="Aptos" w:eastAsia="Calibri"/>
                <w:sz w:val="22"/>
                <w:szCs w:val="22"/>
                <w:lang w:eastAsia="en-US"/>
              </w:rPr>
              <w:t xml:space="preserve">vai </w:t>
            </w:r>
            <w:r w:rsidRPr="00934CBC" w:rsidR="0247AC42">
              <w:rPr>
                <w:rFonts w:ascii="Aptos" w:hAnsi="Aptos" w:eastAsia="Calibri"/>
                <w:sz w:val="22"/>
                <w:szCs w:val="22"/>
                <w:lang w:eastAsia="en-US"/>
              </w:rPr>
              <w:t xml:space="preserve">vispārējās izglītības iestādes ēkas </w:t>
            </w:r>
            <w:r w:rsidRPr="00934CBC">
              <w:rPr>
                <w:rFonts w:ascii="Aptos" w:hAnsi="Aptos" w:eastAsia="Calibri"/>
                <w:sz w:val="22"/>
                <w:szCs w:val="22"/>
                <w:lang w:eastAsia="en-US"/>
              </w:rPr>
              <w:t>pilna apjoma pārbūves</w:t>
            </w:r>
            <w:r w:rsidRPr="00934CBC" w:rsidR="1D95EDAF">
              <w:rPr>
                <w:rFonts w:ascii="Aptos" w:hAnsi="Aptos" w:eastAsia="Calibri"/>
                <w:sz w:val="22"/>
                <w:szCs w:val="22"/>
                <w:lang w:eastAsia="en-US"/>
              </w:rPr>
              <w:t xml:space="preserve"> (atjaunošanas)</w:t>
            </w:r>
            <w:r w:rsidRPr="00934CBC">
              <w:rPr>
                <w:rFonts w:ascii="Aptos" w:hAnsi="Aptos" w:eastAsia="Calibri"/>
                <w:sz w:val="22"/>
                <w:szCs w:val="22"/>
                <w:lang w:eastAsia="en-US"/>
              </w:rPr>
              <w:t xml:space="preserve"> izmaksas</w:t>
            </w:r>
          </w:p>
          <w:p w:rsidRPr="00CD30E0" w:rsidR="00FB4553" w:rsidP="00521EF9" w:rsidRDefault="00FB4553" w14:paraId="31D92B2A" w14:textId="77777777">
            <w:pPr>
              <w:jc w:val="both"/>
              <w:rPr>
                <w:rFonts w:ascii="Aptos" w:hAnsi="Aptos"/>
                <w:i/>
                <w:iCs/>
                <w:color w:val="0000FF"/>
                <w:sz w:val="22"/>
                <w:szCs w:val="22"/>
              </w:rPr>
            </w:pPr>
            <w:r w:rsidRPr="00CD30E0">
              <w:rPr>
                <w:rFonts w:ascii="Aptos" w:hAnsi="Aptos"/>
                <w:i/>
                <w:iCs/>
                <w:color w:val="0000FF"/>
                <w:sz w:val="22"/>
                <w:szCs w:val="22"/>
              </w:rPr>
              <w:t>Atbilstoši MK noteikumu 2</w:t>
            </w:r>
            <w:r>
              <w:rPr>
                <w:rFonts w:ascii="Aptos" w:hAnsi="Aptos"/>
                <w:i/>
                <w:iCs/>
                <w:color w:val="0000FF"/>
                <w:sz w:val="22"/>
                <w:szCs w:val="22"/>
              </w:rPr>
              <w:t>0</w:t>
            </w:r>
            <w:r w:rsidRPr="00CD30E0">
              <w:rPr>
                <w:rFonts w:ascii="Aptos" w:hAnsi="Aptos"/>
                <w:i/>
                <w:iCs/>
                <w:color w:val="0000FF"/>
                <w:sz w:val="22"/>
                <w:szCs w:val="22"/>
              </w:rPr>
              <w:t>.1. 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7359C239" w14:textId="77777777">
            <w:pPr>
              <w:jc w:val="center"/>
              <w:rPr>
                <w:rFonts w:ascii="Aptos" w:hAnsi="Aptos"/>
                <w:sz w:val="22"/>
                <w:szCs w:val="22"/>
              </w:rPr>
            </w:pPr>
            <w:r w:rsidRPr="00CD30E0">
              <w:rPr>
                <w:rFonts w:ascii="Aptos" w:hAnsi="Aptos" w:eastAsia="Calibri"/>
                <w:sz w:val="22"/>
                <w:szCs w:val="22"/>
                <w:lang w:eastAsia="en-US"/>
              </w:rPr>
              <w:t>tiešās</w:t>
            </w:r>
          </w:p>
          <w:p w:rsidRPr="00CD30E0" w:rsidR="00FB4553" w:rsidP="00521EF9" w:rsidRDefault="00FB4553" w14:paraId="557CE7FC"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3DCA250"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24BA2E4"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AB4D7C7" w14:textId="77777777">
            <w:pPr>
              <w:jc w:val="right"/>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6C6A3B1"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D829232" w14:textId="77777777">
            <w:pPr>
              <w:jc w:val="right"/>
              <w:rPr>
                <w:rFonts w:ascii="Aptos" w:hAnsi="Aptos" w:eastAsia="Calibri"/>
                <w:sz w:val="22"/>
                <w:szCs w:val="22"/>
                <w:lang w:eastAsia="en-US"/>
              </w:rPr>
            </w:pPr>
          </w:p>
        </w:tc>
      </w:tr>
      <w:tr w:rsidRPr="00CD30E0" w:rsidR="00FB4553" w:rsidTr="6C15EBC2" w14:paraId="7B0688D0"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04A77F5C" w14:textId="77777777">
            <w:pPr>
              <w:rPr>
                <w:rFonts w:ascii="Aptos" w:hAnsi="Aptos" w:eastAsia="Calibri"/>
                <w:b/>
                <w:bCs/>
                <w:sz w:val="22"/>
                <w:szCs w:val="22"/>
                <w:lang w:eastAsia="en-US"/>
              </w:rPr>
            </w:pPr>
            <w:r w:rsidRPr="00CD30E0">
              <w:rPr>
                <w:rFonts w:ascii="Aptos" w:hAnsi="Aptos" w:eastAsia="Calibri"/>
                <w:b/>
                <w:bCs/>
                <w:sz w:val="22"/>
                <w:szCs w:val="22"/>
                <w:lang w:eastAsia="en-US"/>
              </w:rPr>
              <w:lastRenderedPageBreak/>
              <w:t>7.5.2.</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28CDA1EC" w14:textId="77777777">
            <w:pPr>
              <w:jc w:val="both"/>
              <w:rPr>
                <w:rFonts w:ascii="Aptos" w:hAnsi="Aptos" w:eastAsia="Calibri"/>
                <w:sz w:val="22"/>
                <w:szCs w:val="22"/>
                <w:lang w:eastAsia="en-US"/>
              </w:rPr>
            </w:pPr>
            <w:r w:rsidRPr="00CD30E0">
              <w:rPr>
                <w:rFonts w:ascii="Aptos" w:hAnsi="Aptos" w:eastAsia="Calibri"/>
                <w:sz w:val="22"/>
                <w:szCs w:val="22"/>
                <w:lang w:eastAsia="en-US"/>
              </w:rPr>
              <w:t>vispārējās izglītības iestādes ēkas un telpu pārbūves un atjaunošanas izmaksas:</w:t>
            </w:r>
          </w:p>
          <w:p w:rsidRPr="00CD30E0" w:rsidR="00FB4553" w:rsidP="00521EF9" w:rsidRDefault="00FB4553" w14:paraId="73C9A8BB" w14:textId="77777777">
            <w:pPr>
              <w:jc w:val="both"/>
              <w:rPr>
                <w:rFonts w:ascii="Aptos" w:hAnsi="Aptos"/>
                <w:i/>
                <w:iCs/>
                <w:color w:val="0000FF"/>
                <w:sz w:val="22"/>
                <w:szCs w:val="22"/>
              </w:rPr>
            </w:pPr>
            <w:r w:rsidRPr="00CD30E0">
              <w:rPr>
                <w:rFonts w:ascii="Aptos" w:hAnsi="Aptos"/>
                <w:i/>
                <w:iCs/>
                <w:color w:val="0000FF"/>
                <w:sz w:val="22"/>
                <w:szCs w:val="22"/>
              </w:rPr>
              <w:t>Atbilstoši MK noteikumu 2</w:t>
            </w:r>
            <w:r>
              <w:rPr>
                <w:rFonts w:ascii="Aptos" w:hAnsi="Aptos"/>
                <w:i/>
                <w:iCs/>
                <w:color w:val="0000FF"/>
                <w:sz w:val="22"/>
                <w:szCs w:val="22"/>
              </w:rPr>
              <w:t>0</w:t>
            </w:r>
            <w:r w:rsidRPr="00CD30E0">
              <w:rPr>
                <w:rFonts w:ascii="Aptos" w:hAnsi="Aptos"/>
                <w:i/>
                <w:iCs/>
                <w:color w:val="0000FF"/>
                <w:sz w:val="22"/>
                <w:szCs w:val="22"/>
              </w:rPr>
              <w:t>.2. 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1A5B1183" w14:textId="77777777">
            <w:pPr>
              <w:jc w:val="center"/>
              <w:rPr>
                <w:rFonts w:ascii="Aptos" w:hAnsi="Aptos"/>
                <w:sz w:val="22"/>
                <w:szCs w:val="22"/>
              </w:rPr>
            </w:pPr>
            <w:r w:rsidRPr="00CD30E0">
              <w:rPr>
                <w:rFonts w:ascii="Aptos" w:hAnsi="Aptos" w:eastAsia="Calibri"/>
                <w:sz w:val="22"/>
                <w:szCs w:val="22"/>
                <w:lang w:eastAsia="en-US"/>
              </w:rPr>
              <w:t>tiešās</w:t>
            </w:r>
          </w:p>
          <w:p w:rsidRPr="00CD30E0" w:rsidR="00FB4553" w:rsidP="00521EF9" w:rsidRDefault="00FB4553" w14:paraId="32BB8091"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E401A6F"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C42F368"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F80C9E1" w14:textId="77777777">
            <w:pPr>
              <w:jc w:val="right"/>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ACD8232"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908A09E" w14:textId="77777777">
            <w:pPr>
              <w:jc w:val="right"/>
              <w:rPr>
                <w:rFonts w:ascii="Aptos" w:hAnsi="Aptos" w:eastAsia="Calibri"/>
                <w:sz w:val="22"/>
                <w:szCs w:val="22"/>
                <w:lang w:eastAsia="en-US"/>
              </w:rPr>
            </w:pPr>
          </w:p>
        </w:tc>
      </w:tr>
      <w:tr w:rsidRPr="00CD30E0" w:rsidR="00FB4553" w:rsidTr="6C15EBC2" w14:paraId="659D209C"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44BB9557" w14:textId="77777777">
            <w:pPr>
              <w:rPr>
                <w:rFonts w:ascii="Aptos" w:hAnsi="Aptos" w:eastAsia="Calibri"/>
                <w:b/>
                <w:bCs/>
                <w:sz w:val="22"/>
                <w:szCs w:val="22"/>
                <w:lang w:eastAsia="en-US"/>
              </w:rPr>
            </w:pPr>
            <w:r w:rsidRPr="00CD30E0">
              <w:rPr>
                <w:rFonts w:ascii="Aptos" w:hAnsi="Aptos" w:eastAsia="Calibri"/>
                <w:b/>
                <w:bCs/>
                <w:sz w:val="22"/>
                <w:szCs w:val="22"/>
                <w:lang w:eastAsia="en-US"/>
              </w:rPr>
              <w:t>7.5.2.1.</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6B5CF528" w14:textId="77777777">
            <w:pPr>
              <w:jc w:val="both"/>
              <w:rPr>
                <w:rFonts w:ascii="Aptos" w:hAnsi="Aptos"/>
                <w:i/>
                <w:iCs/>
                <w:color w:val="0000FF"/>
                <w:sz w:val="22"/>
                <w:szCs w:val="22"/>
              </w:rPr>
            </w:pPr>
            <w:r w:rsidRPr="00CD30E0">
              <w:rPr>
                <w:rFonts w:ascii="Aptos" w:hAnsi="Aptos" w:eastAsia="Calibri"/>
                <w:sz w:val="22"/>
                <w:szCs w:val="22"/>
                <w:lang w:eastAsia="en-US"/>
              </w:rPr>
              <w:t xml:space="preserve">telpu (klašu, kabinetu, auditoriju, mācību laboratoriju, tai skaitā </w:t>
            </w:r>
            <w:proofErr w:type="spellStart"/>
            <w:r w:rsidRPr="00CD30E0">
              <w:rPr>
                <w:rFonts w:ascii="Aptos" w:hAnsi="Aptos" w:eastAsia="Calibri"/>
                <w:sz w:val="22"/>
                <w:szCs w:val="22"/>
                <w:lang w:eastAsia="en-US"/>
              </w:rPr>
              <w:t>multifunkcionālu</w:t>
            </w:r>
            <w:proofErr w:type="spellEnd"/>
            <w:r w:rsidRPr="00CD30E0">
              <w:rPr>
                <w:rFonts w:ascii="Aptos" w:hAnsi="Aptos" w:eastAsia="Calibri"/>
                <w:sz w:val="22"/>
                <w:szCs w:val="22"/>
                <w:lang w:eastAsia="en-US"/>
              </w:rPr>
              <w:t xml:space="preserve"> mācību telpu, bibliotēku un lasītavu) pārbūves un atjaunošanas izmaksas</w:t>
            </w:r>
          </w:p>
          <w:p w:rsidRPr="00CD30E0" w:rsidR="00FB4553" w:rsidP="00521EF9" w:rsidRDefault="00FB4553" w14:paraId="6835F577" w14:textId="77777777">
            <w:pPr>
              <w:jc w:val="both"/>
              <w:rPr>
                <w:rFonts w:ascii="Aptos" w:hAnsi="Aptos"/>
                <w:i/>
                <w:color w:val="0000FF"/>
                <w:sz w:val="22"/>
                <w:szCs w:val="22"/>
                <w:lang w:eastAsia="en-US"/>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 xml:space="preserve">.2.1. </w:t>
            </w:r>
            <w:r w:rsidRPr="00CD30E0">
              <w:rPr>
                <w:rFonts w:ascii="Aptos" w:hAnsi="Aptos"/>
                <w:i/>
                <w:iCs/>
                <w:color w:val="0000FF"/>
                <w:sz w:val="22"/>
                <w:szCs w:val="22"/>
              </w:rPr>
              <w:t>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7916D2D5"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BA33833"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FB0026D"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E59D9DA" w14:textId="77777777">
            <w:pPr>
              <w:jc w:val="right"/>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8075A43"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D1E7C8F" w14:textId="77777777">
            <w:pPr>
              <w:jc w:val="right"/>
              <w:rPr>
                <w:rFonts w:ascii="Aptos" w:hAnsi="Aptos" w:eastAsia="Calibri"/>
                <w:sz w:val="22"/>
                <w:szCs w:val="22"/>
                <w:lang w:eastAsia="en-US"/>
              </w:rPr>
            </w:pPr>
          </w:p>
        </w:tc>
      </w:tr>
      <w:tr w:rsidRPr="00CD30E0" w:rsidR="00FB4553" w:rsidTr="6C15EBC2" w14:paraId="5BBA1158"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57F8F662" w14:textId="77777777">
            <w:pPr>
              <w:rPr>
                <w:rFonts w:ascii="Aptos" w:hAnsi="Aptos" w:eastAsia="Calibri"/>
                <w:b/>
                <w:bCs/>
                <w:sz w:val="22"/>
                <w:szCs w:val="22"/>
                <w:lang w:eastAsia="en-US"/>
              </w:rPr>
            </w:pPr>
            <w:r w:rsidRPr="00CD30E0">
              <w:rPr>
                <w:rFonts w:ascii="Aptos" w:hAnsi="Aptos" w:eastAsia="Calibri"/>
                <w:b/>
                <w:bCs/>
                <w:sz w:val="22"/>
                <w:szCs w:val="22"/>
                <w:lang w:eastAsia="en-US"/>
              </w:rPr>
              <w:t>7.5.2.2.</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0510F528" w14:textId="77777777">
            <w:pPr>
              <w:jc w:val="both"/>
              <w:rPr>
                <w:rFonts w:ascii="Aptos" w:hAnsi="Aptos" w:eastAsia="Calibri"/>
                <w:sz w:val="22"/>
                <w:szCs w:val="22"/>
                <w:lang w:eastAsia="en-US"/>
              </w:rPr>
            </w:pPr>
            <w:r>
              <w:rPr>
                <w:rFonts w:ascii="Aptos" w:hAnsi="Aptos" w:eastAsia="Calibri"/>
                <w:sz w:val="22"/>
                <w:szCs w:val="22"/>
                <w:lang w:eastAsia="en-US"/>
              </w:rPr>
              <w:t>g</w:t>
            </w:r>
            <w:r w:rsidRPr="00CD30E0">
              <w:rPr>
                <w:rFonts w:ascii="Aptos" w:hAnsi="Aptos" w:eastAsia="Calibri"/>
                <w:sz w:val="22"/>
                <w:szCs w:val="22"/>
                <w:lang w:eastAsia="en-US"/>
              </w:rPr>
              <w:t>aiteņu</w:t>
            </w:r>
            <w:r>
              <w:rPr>
                <w:rFonts w:ascii="Aptos" w:hAnsi="Aptos" w:eastAsia="Calibri"/>
                <w:sz w:val="22"/>
                <w:szCs w:val="22"/>
                <w:lang w:eastAsia="en-US"/>
              </w:rPr>
              <w:t xml:space="preserve"> </w:t>
            </w:r>
            <w:r w:rsidRPr="00CD30E0">
              <w:rPr>
                <w:rFonts w:ascii="Aptos" w:hAnsi="Aptos" w:eastAsia="Calibri"/>
                <w:sz w:val="22"/>
                <w:szCs w:val="22"/>
                <w:lang w:eastAsia="en-US"/>
              </w:rPr>
              <w:t>un sanitāro mezglu pārbūves un atjaunošanas izmaksas</w:t>
            </w:r>
          </w:p>
          <w:p w:rsidRPr="00CD30E0" w:rsidR="00FB4553" w:rsidP="00521EF9" w:rsidRDefault="00FB4553" w14:paraId="7699B40E" w14:textId="77777777">
            <w:pPr>
              <w:jc w:val="both"/>
              <w:rPr>
                <w:rFonts w:ascii="Aptos" w:hAnsi="Aptos"/>
                <w:bCs/>
                <w:i/>
                <w:color w:val="0000FF"/>
                <w:sz w:val="22"/>
                <w:szCs w:val="22"/>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.2.2. apakšpunktam</w:t>
            </w:r>
            <w:r>
              <w:rPr>
                <w:rFonts w:ascii="Aptos" w:hAnsi="Aptos"/>
                <w:bCs/>
                <w:i/>
                <w:color w:val="0000FF"/>
                <w:sz w:val="22"/>
                <w:szCs w:val="22"/>
              </w:rPr>
              <w:t>,</w:t>
            </w:r>
          </w:p>
          <w:p w:rsidRPr="00CD30E0" w:rsidR="00FB4553" w:rsidP="00521EF9" w:rsidRDefault="00FB4553" w14:paraId="019D6398" w14:textId="6F087CCE">
            <w:pPr>
              <w:jc w:val="both"/>
              <w:rPr>
                <w:rFonts w:ascii="Aptos" w:hAnsi="Aptos"/>
                <w:bCs/>
                <w:i/>
                <w:color w:val="0000FF"/>
                <w:sz w:val="22"/>
                <w:szCs w:val="22"/>
              </w:rPr>
            </w:pPr>
            <w:r w:rsidRPr="00CD30E0">
              <w:rPr>
                <w:rFonts w:ascii="Aptos" w:hAnsi="Aptos"/>
                <w:bCs/>
                <w:i/>
                <w:color w:val="0000FF"/>
                <w:sz w:val="22"/>
                <w:szCs w:val="22"/>
              </w:rPr>
              <w:t xml:space="preserve">ja tiek </w:t>
            </w:r>
            <w:r w:rsidRPr="00AE3EA5">
              <w:rPr>
                <w:rFonts w:ascii="Aptos" w:hAnsi="Aptos"/>
                <w:bCs/>
                <w:i/>
                <w:color w:val="0000FF"/>
                <w:sz w:val="22"/>
                <w:szCs w:val="22"/>
              </w:rPr>
              <w:t>plānotas</w:t>
            </w:r>
            <w:r w:rsidRPr="00CD30E0">
              <w:rPr>
                <w:rFonts w:ascii="Aptos" w:hAnsi="Aptos"/>
                <w:bCs/>
                <w:i/>
                <w:color w:val="0000FF"/>
                <w:sz w:val="22"/>
                <w:szCs w:val="22"/>
              </w:rPr>
              <w:t xml:space="preserve"> šo noteikumu 2</w:t>
            </w:r>
            <w:r>
              <w:rPr>
                <w:rFonts w:ascii="Aptos" w:hAnsi="Aptos"/>
                <w:bCs/>
                <w:i/>
                <w:color w:val="0000FF"/>
                <w:sz w:val="22"/>
                <w:szCs w:val="22"/>
              </w:rPr>
              <w:t>0</w:t>
            </w:r>
            <w:r w:rsidRPr="00CD30E0">
              <w:rPr>
                <w:rFonts w:ascii="Aptos" w:hAnsi="Aptos"/>
                <w:bCs/>
                <w:i/>
                <w:color w:val="0000FF"/>
                <w:sz w:val="22"/>
                <w:szCs w:val="22"/>
              </w:rPr>
              <w:t xml:space="preserve">.2.1. apakšpunktā </w:t>
            </w:r>
            <w:r>
              <w:rPr>
                <w:rFonts w:ascii="Aptos" w:hAnsi="Aptos"/>
                <w:bCs/>
                <w:i/>
                <w:color w:val="0000FF"/>
                <w:sz w:val="22"/>
                <w:szCs w:val="22"/>
              </w:rPr>
              <w:t>v</w:t>
            </w:r>
            <w:r w:rsidRPr="001A046D">
              <w:rPr>
                <w:rFonts w:ascii="Aptos" w:hAnsi="Aptos"/>
                <w:bCs/>
                <w:i/>
                <w:color w:val="0000FF"/>
                <w:sz w:val="22"/>
                <w:szCs w:val="22"/>
              </w:rPr>
              <w:t>ai 2</w:t>
            </w:r>
            <w:r>
              <w:rPr>
                <w:rFonts w:ascii="Aptos" w:hAnsi="Aptos"/>
                <w:bCs/>
                <w:i/>
                <w:color w:val="0000FF"/>
                <w:sz w:val="22"/>
                <w:szCs w:val="22"/>
              </w:rPr>
              <w:t>0</w:t>
            </w:r>
            <w:r w:rsidRPr="001A046D">
              <w:rPr>
                <w:rFonts w:ascii="Aptos" w:hAnsi="Aptos"/>
                <w:bCs/>
                <w:i/>
                <w:color w:val="0000FF"/>
                <w:sz w:val="22"/>
                <w:szCs w:val="22"/>
              </w:rPr>
              <w:t>.5. apakšpunktā minētās izmaksas</w:t>
            </w:r>
          </w:p>
          <w:p w:rsidRPr="00CD30E0" w:rsidR="00FB4553" w:rsidP="00521EF9" w:rsidRDefault="00FB4553" w14:paraId="0E025DEB" w14:textId="77777777">
            <w:pPr>
              <w:jc w:val="both"/>
              <w:rPr>
                <w:rFonts w:ascii="Aptos" w:hAnsi="Aptos" w:eastAsia="Calibri"/>
                <w:sz w:val="22"/>
                <w:szCs w:val="22"/>
                <w:lang w:eastAsia="en-US"/>
              </w:rPr>
            </w:pP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0BD9AD7C"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8E11400"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DC90AB2"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4AC23C9" w14:textId="77777777">
            <w:pPr>
              <w:jc w:val="right"/>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AE596AF"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4D2880C" w14:textId="77777777">
            <w:pPr>
              <w:jc w:val="right"/>
              <w:rPr>
                <w:rFonts w:ascii="Aptos" w:hAnsi="Aptos" w:eastAsia="Calibri"/>
                <w:sz w:val="22"/>
                <w:szCs w:val="22"/>
                <w:lang w:eastAsia="en-US"/>
              </w:rPr>
            </w:pPr>
          </w:p>
        </w:tc>
      </w:tr>
      <w:tr w:rsidRPr="00CD30E0" w:rsidR="00FB4553" w:rsidTr="6C15EBC2" w14:paraId="1BCA4DA2"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0C3846C5" w14:textId="77777777">
            <w:pPr>
              <w:rPr>
                <w:rFonts w:ascii="Aptos" w:hAnsi="Aptos" w:eastAsia="Calibri"/>
                <w:b/>
                <w:bCs/>
                <w:sz w:val="22"/>
                <w:szCs w:val="22"/>
                <w:lang w:eastAsia="en-US"/>
              </w:rPr>
            </w:pPr>
            <w:r w:rsidRPr="00CD30E0">
              <w:rPr>
                <w:rFonts w:ascii="Aptos" w:hAnsi="Aptos" w:eastAsia="Calibri"/>
                <w:b/>
                <w:bCs/>
                <w:sz w:val="22"/>
                <w:szCs w:val="22"/>
                <w:lang w:eastAsia="en-US"/>
              </w:rPr>
              <w:t>7.5.2.3.</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65FFB953" w14:textId="77777777">
            <w:pPr>
              <w:jc w:val="both"/>
              <w:rPr>
                <w:rFonts w:ascii="Aptos" w:hAnsi="Aptos" w:eastAsia="Calibri"/>
                <w:sz w:val="22"/>
                <w:szCs w:val="22"/>
                <w:lang w:eastAsia="en-US"/>
              </w:rPr>
            </w:pPr>
            <w:r w:rsidRPr="00CD30E0">
              <w:rPr>
                <w:rFonts w:ascii="Aptos" w:hAnsi="Aptos" w:eastAsia="Calibri"/>
                <w:sz w:val="22"/>
                <w:szCs w:val="22"/>
                <w:lang w:eastAsia="en-US"/>
              </w:rPr>
              <w:t>būvprojektā paredzētu iekārtu vai aprīkojuma iegāde un uzstādīšana, kas nepieciešama būves vai tās daļas pieņemšanai ekspluatācijā vai ēkas funkcionalitātes nodrošināšanai</w:t>
            </w:r>
          </w:p>
          <w:p w:rsidRPr="00CD30E0" w:rsidR="00FB4553" w:rsidP="00521EF9" w:rsidRDefault="00FB4553" w14:paraId="1E75831D" w14:textId="77777777">
            <w:pPr>
              <w:jc w:val="both"/>
              <w:rPr>
                <w:rFonts w:ascii="Aptos" w:hAnsi="Aptos" w:eastAsia="Calibri"/>
                <w:sz w:val="22"/>
                <w:szCs w:val="22"/>
                <w:lang w:eastAsia="en-US"/>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.2.3. 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1D33C0D6" w14:textId="77777777">
            <w:pPr>
              <w:jc w:val="center"/>
              <w:rPr>
                <w:rFonts w:ascii="Aptos" w:hAnsi="Aptos"/>
                <w:sz w:val="22"/>
                <w:szCs w:val="22"/>
              </w:rPr>
            </w:pPr>
            <w:r w:rsidRPr="00CD30E0">
              <w:rPr>
                <w:rFonts w:ascii="Aptos" w:hAnsi="Aptos" w:eastAsia="Calibri"/>
                <w:sz w:val="22"/>
                <w:szCs w:val="22"/>
                <w:lang w:eastAsia="en-US"/>
              </w:rPr>
              <w:t>tiešās</w:t>
            </w:r>
          </w:p>
          <w:p w:rsidRPr="00CD30E0" w:rsidR="00FB4553" w:rsidP="00521EF9" w:rsidRDefault="00FB4553" w14:paraId="6579884A"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26E61B8"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FA7735C"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36016E03" w14:textId="77777777">
            <w:pPr>
              <w:jc w:val="center"/>
              <w:rPr>
                <w:rFonts w:ascii="Aptos" w:hAnsi="Aptos" w:eastAsia="Calibri"/>
                <w:sz w:val="20"/>
                <w:szCs w:val="20"/>
                <w:highlight w:val="yellow"/>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FE62E8C"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C94994F" w14:textId="77777777">
            <w:pPr>
              <w:jc w:val="right"/>
              <w:rPr>
                <w:rFonts w:ascii="Aptos" w:hAnsi="Aptos" w:eastAsia="Calibri"/>
                <w:sz w:val="22"/>
                <w:szCs w:val="22"/>
                <w:lang w:eastAsia="en-US"/>
              </w:rPr>
            </w:pPr>
          </w:p>
        </w:tc>
      </w:tr>
      <w:tr w:rsidRPr="00CD30E0" w:rsidR="00FB4553" w:rsidTr="6C15EBC2" w14:paraId="683FB07A"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3B1102EA" w14:textId="77777777">
            <w:pPr>
              <w:rPr>
                <w:rFonts w:ascii="Aptos" w:hAnsi="Aptos" w:eastAsia="Calibri"/>
                <w:b/>
                <w:bCs/>
                <w:sz w:val="22"/>
                <w:szCs w:val="22"/>
                <w:lang w:eastAsia="en-US"/>
              </w:rPr>
            </w:pPr>
            <w:r w:rsidRPr="00CD30E0">
              <w:rPr>
                <w:rFonts w:ascii="Aptos" w:hAnsi="Aptos" w:eastAsia="Calibri"/>
                <w:b/>
                <w:bCs/>
                <w:sz w:val="22"/>
                <w:szCs w:val="22"/>
                <w:lang w:eastAsia="en-US"/>
              </w:rPr>
              <w:t>7.5.2.4.</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16A9944A" w14:textId="77777777">
            <w:pPr>
              <w:jc w:val="both"/>
              <w:rPr>
                <w:rFonts w:ascii="Aptos" w:hAnsi="Aptos" w:eastAsia="Calibri"/>
                <w:sz w:val="22"/>
                <w:szCs w:val="22"/>
                <w:lang w:eastAsia="en-US"/>
              </w:rPr>
            </w:pPr>
            <w:r w:rsidRPr="00CD30E0">
              <w:rPr>
                <w:rFonts w:ascii="Aptos" w:hAnsi="Aptos" w:eastAsia="Calibri"/>
                <w:sz w:val="22"/>
                <w:szCs w:val="22"/>
                <w:lang w:eastAsia="en-US"/>
              </w:rPr>
              <w:t>iekšējo inženiertīklu (iekšējo elektrotīklu, apkures sistēmu, vēdināšanas un gaisa kondicionēšanas sistēmu, ūdensvada tīklu, kanalizācijas tīklu, automātiskās ugunsgrēka atklāšanas, videonovērošanas sistēmas, tostarp videonovērošanas kameras, balss apziņošanas sistēmas, trauksmes signalizācijas un automātiskās balss ugunsgrēka izziņošanas sistēmu) izbūves un pārbūves izmaksas.</w:t>
            </w:r>
          </w:p>
          <w:p w:rsidR="00FB4553" w:rsidP="00521EF9" w:rsidRDefault="00FB4553" w14:paraId="02AAA717" w14:textId="77777777">
            <w:pPr>
              <w:jc w:val="both"/>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.2.</w:t>
            </w:r>
            <w:r w:rsidRPr="00CD30E0">
              <w:rPr>
                <w:rFonts w:ascii="Aptos" w:hAnsi="Aptos"/>
                <w:i/>
                <w:iCs/>
                <w:color w:val="0000FF"/>
                <w:sz w:val="22"/>
                <w:szCs w:val="22"/>
              </w:rPr>
              <w:t>4</w:t>
            </w:r>
            <w:r w:rsidRPr="00CD30E0">
              <w:rPr>
                <w:rFonts w:ascii="Aptos" w:hAnsi="Aptos"/>
                <w:bCs/>
                <w:i/>
                <w:color w:val="0000FF"/>
                <w:sz w:val="22"/>
                <w:szCs w:val="22"/>
              </w:rPr>
              <w:t>. apakšpunktam</w:t>
            </w:r>
            <w:r>
              <w:t xml:space="preserve"> </w:t>
            </w:r>
          </w:p>
          <w:p w:rsidRPr="002C7C54" w:rsidR="00FB4553" w:rsidP="00FB4553" w:rsidRDefault="00FB4553" w14:paraId="67D8C66A" w14:textId="77777777">
            <w:pPr>
              <w:pStyle w:val="ListParagraph"/>
              <w:numPr>
                <w:ilvl w:val="0"/>
                <w:numId w:val="8"/>
              </w:numPr>
              <w:spacing w:after="160" w:line="259" w:lineRule="auto"/>
              <w:jc w:val="both"/>
              <w:rPr>
                <w:rFonts w:ascii="Aptos" w:hAnsi="Aptos"/>
                <w:bCs/>
                <w:i/>
                <w:color w:val="0000FF"/>
              </w:rPr>
            </w:pPr>
            <w:r w:rsidRPr="002C7C54">
              <w:rPr>
                <w:rFonts w:ascii="Aptos" w:hAnsi="Aptos"/>
                <w:bCs/>
                <w:i/>
                <w:color w:val="0000FF"/>
              </w:rPr>
              <w:t>Minētās izmaksas, izņemot vēdināšanas un gaisa kondicionēšanas sistēmu izbūves un pārbūves izmaksas, plāno kā papildinošas šo noteikumu 20.2.1., 20.2.2. un 20.5. apakšpunktā minētajām izmaksām</w:t>
            </w:r>
          </w:p>
          <w:p w:rsidRPr="00CD30E0" w:rsidR="00FB4553" w:rsidP="00521EF9" w:rsidRDefault="00FB4553" w14:paraId="0240BF09" w14:textId="77777777">
            <w:pPr>
              <w:jc w:val="both"/>
              <w:rPr>
                <w:rFonts w:ascii="Aptos" w:hAnsi="Aptos" w:eastAsia="Calibri"/>
                <w:i/>
                <w:color w:val="0070C0"/>
                <w:sz w:val="22"/>
                <w:szCs w:val="22"/>
                <w:u w:val="single"/>
                <w:lang w:eastAsia="en-US"/>
              </w:rPr>
            </w:pP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08ED5D51" w14:textId="77777777">
            <w:pPr>
              <w:jc w:val="center"/>
              <w:rPr>
                <w:rFonts w:ascii="Aptos" w:hAnsi="Aptos"/>
                <w:sz w:val="22"/>
                <w:szCs w:val="22"/>
              </w:rPr>
            </w:pPr>
            <w:r w:rsidRPr="00CD30E0">
              <w:rPr>
                <w:rFonts w:ascii="Aptos" w:hAnsi="Aptos" w:eastAsia="Calibri"/>
                <w:sz w:val="22"/>
                <w:szCs w:val="22"/>
                <w:lang w:eastAsia="en-US"/>
              </w:rPr>
              <w:lastRenderedPageBreak/>
              <w:t>tiešās</w:t>
            </w:r>
          </w:p>
          <w:p w:rsidRPr="00CD30E0" w:rsidR="00FB4553" w:rsidP="00521EF9" w:rsidRDefault="00FB4553" w14:paraId="1521A3E1"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698A2BB"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8A7ACC5"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039BF902" w14:textId="77777777">
            <w:pPr>
              <w:jc w:val="center"/>
              <w:rPr>
                <w:rFonts w:ascii="Aptos" w:hAnsi="Aptos" w:eastAsia="Calibri"/>
                <w:sz w:val="20"/>
                <w:szCs w:val="20"/>
                <w:lang w:eastAsia="en-US"/>
              </w:rPr>
            </w:pPr>
            <w:r w:rsidRPr="00CD30E0">
              <w:rPr>
                <w:rFonts w:ascii="Aptos" w:hAnsi="Aptos" w:eastAsia="Calibri"/>
                <w:sz w:val="20"/>
                <w:szCs w:val="20"/>
                <w:lang w:eastAsia="en-US"/>
              </w:rPr>
              <w:t> Līdz 25 % no šo noteikumu 2</w:t>
            </w:r>
            <w:r>
              <w:rPr>
                <w:rFonts w:ascii="Aptos" w:hAnsi="Aptos" w:eastAsia="Calibri"/>
                <w:sz w:val="20"/>
                <w:szCs w:val="20"/>
                <w:lang w:eastAsia="en-US"/>
              </w:rPr>
              <w:t>0</w:t>
            </w:r>
            <w:r w:rsidRPr="00CD30E0">
              <w:rPr>
                <w:rFonts w:ascii="Aptos" w:hAnsi="Aptos" w:eastAsia="Calibri"/>
                <w:sz w:val="20"/>
                <w:szCs w:val="20"/>
                <w:lang w:eastAsia="en-US"/>
              </w:rPr>
              <w:t>.2.1.,  2</w:t>
            </w:r>
            <w:r>
              <w:rPr>
                <w:rFonts w:ascii="Aptos" w:hAnsi="Aptos" w:eastAsia="Calibri"/>
                <w:sz w:val="20"/>
                <w:szCs w:val="20"/>
                <w:lang w:eastAsia="en-US"/>
              </w:rPr>
              <w:t>0</w:t>
            </w:r>
            <w:r w:rsidRPr="00CD30E0">
              <w:rPr>
                <w:rFonts w:ascii="Aptos" w:hAnsi="Aptos" w:eastAsia="Calibri"/>
                <w:sz w:val="20"/>
                <w:szCs w:val="20"/>
                <w:lang w:eastAsia="en-US"/>
              </w:rPr>
              <w:t>.2.2. un 2</w:t>
            </w:r>
            <w:r>
              <w:rPr>
                <w:rFonts w:ascii="Aptos" w:hAnsi="Aptos" w:eastAsia="Calibri"/>
                <w:sz w:val="20"/>
                <w:szCs w:val="20"/>
                <w:lang w:eastAsia="en-US"/>
              </w:rPr>
              <w:t>0</w:t>
            </w:r>
            <w:r w:rsidRPr="00CD30E0">
              <w:rPr>
                <w:rFonts w:ascii="Aptos" w:hAnsi="Aptos" w:eastAsia="Calibri"/>
                <w:sz w:val="20"/>
                <w:szCs w:val="20"/>
                <w:lang w:eastAsia="en-US"/>
              </w:rPr>
              <w:t xml:space="preserve">.5. apakšpunktā minētajām būvdarbu attiecināmajām izmaksām. </w:t>
            </w:r>
          </w:p>
          <w:p w:rsidR="00FB4553" w:rsidP="00521EF9" w:rsidRDefault="00FB4553" w14:paraId="11AC635F" w14:textId="77777777">
            <w:pPr>
              <w:jc w:val="center"/>
              <w:rPr>
                <w:rFonts w:ascii="Aptos" w:hAnsi="Aptos" w:eastAsia="Calibri"/>
                <w:sz w:val="20"/>
                <w:szCs w:val="20"/>
                <w:lang w:eastAsia="en-US"/>
              </w:rPr>
            </w:pPr>
            <w:r w:rsidRPr="00CD30E0">
              <w:rPr>
                <w:rFonts w:ascii="Aptos" w:hAnsi="Aptos" w:eastAsia="Calibri"/>
                <w:sz w:val="20"/>
                <w:szCs w:val="20"/>
                <w:lang w:eastAsia="en-US"/>
              </w:rPr>
              <w:t xml:space="preserve">Ja projekta īstenošanas rezultātā paredzēta visu projektā atbalstāmo vispārējās izglītības iestādes klašu telpu mācību vides uzlabošana, iekšējo inženiertīklu izbūves un pārbūves izmaksas, </w:t>
            </w:r>
            <w:r w:rsidRPr="00CD30E0">
              <w:rPr>
                <w:rFonts w:ascii="Aptos" w:hAnsi="Aptos" w:eastAsia="Calibri"/>
                <w:sz w:val="20"/>
                <w:szCs w:val="20"/>
                <w:lang w:eastAsia="en-US"/>
              </w:rPr>
              <w:lastRenderedPageBreak/>
              <w:t>izņemot vēdināšanas un gaisa kondicionēšanas sistēmu izbūves un pārbūves izmaksas, nepārsniedz 25 % no projekta kopējām attiecināmajām izmaksām</w:t>
            </w:r>
            <w:r>
              <w:rPr>
                <w:rFonts w:ascii="Aptos" w:hAnsi="Aptos" w:eastAsia="Calibri"/>
                <w:sz w:val="20"/>
                <w:szCs w:val="20"/>
                <w:lang w:eastAsia="en-US"/>
              </w:rPr>
              <w:t xml:space="preserve">. </w:t>
            </w:r>
          </w:p>
          <w:p w:rsidRPr="00CD30E0" w:rsidR="00FB4553" w:rsidP="00521EF9" w:rsidRDefault="00FB4553" w14:paraId="1D6CFC58" w14:textId="04588388">
            <w:pPr>
              <w:jc w:val="center"/>
              <w:rPr>
                <w:rFonts w:ascii="Aptos" w:hAnsi="Aptos" w:eastAsia="Calibri"/>
                <w:sz w:val="20"/>
                <w:szCs w:val="20"/>
                <w:highlight w:val="yellow"/>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91984B9"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305955B" w14:textId="77777777">
            <w:pPr>
              <w:jc w:val="right"/>
              <w:rPr>
                <w:rFonts w:ascii="Aptos" w:hAnsi="Aptos" w:eastAsia="Calibri"/>
                <w:sz w:val="22"/>
                <w:szCs w:val="22"/>
                <w:lang w:eastAsia="en-US"/>
              </w:rPr>
            </w:pPr>
          </w:p>
        </w:tc>
      </w:tr>
      <w:tr w:rsidRPr="00CD30E0" w:rsidR="00FB4553" w:rsidTr="6C15EBC2" w14:paraId="6A366D8C"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6E623227" w14:textId="77777777">
            <w:pPr>
              <w:rPr>
                <w:rFonts w:ascii="Aptos" w:hAnsi="Aptos" w:eastAsia="Calibri"/>
                <w:b/>
                <w:bCs/>
                <w:sz w:val="22"/>
                <w:szCs w:val="22"/>
                <w:lang w:eastAsia="en-US"/>
              </w:rPr>
            </w:pPr>
            <w:r w:rsidRPr="00CD30E0">
              <w:rPr>
                <w:rFonts w:ascii="Aptos" w:hAnsi="Aptos" w:eastAsia="Calibri"/>
                <w:b/>
                <w:bCs/>
                <w:sz w:val="22"/>
                <w:szCs w:val="22"/>
                <w:lang w:eastAsia="en-US"/>
              </w:rPr>
              <w:t>7.5.3.</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007309EA" w:rsidP="00521EF9" w:rsidRDefault="00FB4553" w14:paraId="75E84C0D" w14:textId="77777777">
            <w:pPr>
              <w:jc w:val="both"/>
              <w:rPr>
                <w:rFonts w:ascii="Aptos" w:hAnsi="Aptos" w:eastAsia="Calibri"/>
                <w:sz w:val="22"/>
                <w:szCs w:val="22"/>
                <w:lang w:eastAsia="en-US"/>
              </w:rPr>
            </w:pPr>
            <w:r w:rsidRPr="00CD30E0">
              <w:rPr>
                <w:rFonts w:ascii="Aptos" w:hAnsi="Aptos" w:eastAsia="Calibri"/>
                <w:sz w:val="22"/>
                <w:szCs w:val="22"/>
                <w:lang w:eastAsia="en-US"/>
              </w:rPr>
              <w:t>Dabaszinātņu (</w:t>
            </w:r>
            <w:proofErr w:type="spellStart"/>
            <w:r w:rsidRPr="00CD30E0">
              <w:rPr>
                <w:rFonts w:ascii="Aptos" w:hAnsi="Aptos" w:eastAsia="Calibri"/>
                <w:sz w:val="22"/>
                <w:szCs w:val="22"/>
                <w:lang w:eastAsia="en-US"/>
              </w:rPr>
              <w:t>dabaszinību</w:t>
            </w:r>
            <w:proofErr w:type="spellEnd"/>
            <w:r w:rsidRPr="00CD30E0">
              <w:rPr>
                <w:rFonts w:ascii="Aptos" w:hAnsi="Aptos" w:eastAsia="Calibri"/>
                <w:sz w:val="22"/>
                <w:szCs w:val="22"/>
                <w:lang w:eastAsia="en-US"/>
              </w:rPr>
              <w:t xml:space="preserve"> (1.–6. klasei), ķīmijas, bioloģijas, fizikas, dizaina un tehnoloģiju, inženierzinību, ģeogrāfijas) un matemātikas kabinetu (tai skaitā praktisko darbu telpu)  izveides vai pilnveides izmaksas, tai skaitā telpu pārbūves un atjaunošanas izmaksas</w:t>
            </w:r>
            <w:r w:rsidR="007309EA">
              <w:rPr>
                <w:rFonts w:ascii="Aptos" w:hAnsi="Aptos" w:eastAsia="Calibri"/>
                <w:sz w:val="22"/>
                <w:szCs w:val="22"/>
                <w:lang w:eastAsia="en-US"/>
              </w:rPr>
              <w:t>.</w:t>
            </w:r>
          </w:p>
          <w:p w:rsidRPr="00CD30E0" w:rsidR="00FB4553" w:rsidP="00521EF9" w:rsidRDefault="007309EA" w14:paraId="482AE958" w14:textId="5E554F4A">
            <w:pPr>
              <w:jc w:val="both"/>
              <w:rPr>
                <w:rFonts w:ascii="Aptos" w:hAnsi="Aptos" w:eastAsia="Calibri"/>
                <w:sz w:val="22"/>
                <w:szCs w:val="22"/>
                <w:lang w:eastAsia="en-US"/>
              </w:rPr>
            </w:pPr>
            <w:r>
              <w:rPr>
                <w:rFonts w:ascii="Aptos" w:hAnsi="Aptos" w:eastAsia="Calibri"/>
                <w:sz w:val="22"/>
                <w:szCs w:val="22"/>
                <w:lang w:eastAsia="en-US"/>
              </w:rPr>
              <w:t xml:space="preserve">Izmaksu pozīcijā </w:t>
            </w:r>
            <w:r w:rsidR="00901331">
              <w:rPr>
                <w:rFonts w:ascii="Aptos" w:hAnsi="Aptos" w:eastAsia="Calibri"/>
                <w:sz w:val="22"/>
                <w:szCs w:val="22"/>
                <w:lang w:eastAsia="en-US"/>
              </w:rPr>
              <w:t>iekļauj</w:t>
            </w:r>
            <w:r w:rsidR="00620048">
              <w:rPr>
                <w:rFonts w:ascii="Aptos" w:hAnsi="Aptos" w:eastAsia="Calibri"/>
                <w:sz w:val="22"/>
                <w:szCs w:val="22"/>
                <w:lang w:eastAsia="en-US"/>
              </w:rPr>
              <w:t xml:space="preserve"> arī </w:t>
            </w:r>
            <w:r w:rsidRPr="00CD30E0" w:rsidR="00FB4553">
              <w:rPr>
                <w:rFonts w:ascii="Aptos" w:hAnsi="Aptos" w:eastAsia="Calibri"/>
                <w:sz w:val="22"/>
                <w:szCs w:val="22"/>
                <w:lang w:eastAsia="en-US"/>
              </w:rPr>
              <w:t xml:space="preserve">šo kabinetu </w:t>
            </w:r>
            <w:r w:rsidR="00620048">
              <w:rPr>
                <w:rFonts w:ascii="Aptos" w:hAnsi="Aptos" w:eastAsia="Calibri"/>
                <w:sz w:val="22"/>
                <w:szCs w:val="22"/>
                <w:lang w:eastAsia="en-US"/>
              </w:rPr>
              <w:t xml:space="preserve">iebūvējamā </w:t>
            </w:r>
            <w:r w:rsidRPr="00CD30E0" w:rsidR="00FB4553">
              <w:rPr>
                <w:rFonts w:ascii="Aptos" w:hAnsi="Aptos" w:eastAsia="Calibri"/>
                <w:sz w:val="22"/>
                <w:szCs w:val="22"/>
                <w:lang w:eastAsia="en-US"/>
              </w:rPr>
              <w:t>aprīkojuma iegādes izmaksas.</w:t>
            </w:r>
          </w:p>
          <w:p w:rsidRPr="00CD30E0" w:rsidR="00FB4553" w:rsidP="00521EF9" w:rsidRDefault="00FB4553" w14:paraId="3146B374" w14:textId="77777777">
            <w:pPr>
              <w:jc w:val="both"/>
              <w:rPr>
                <w:rFonts w:ascii="Aptos" w:hAnsi="Aptos" w:eastAsia="Calibri"/>
                <w:sz w:val="22"/>
                <w:szCs w:val="22"/>
                <w:lang w:eastAsia="en-US"/>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.5. 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005F44DB"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1E1459F"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A38CA38"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vAlign w:val="center"/>
          </w:tcPr>
          <w:p w:rsidRPr="00B77938" w:rsidR="00FB4553" w:rsidP="00521EF9" w:rsidRDefault="00FB4553" w14:paraId="0FB285F6" w14:textId="77777777">
            <w:pPr>
              <w:jc w:val="center"/>
              <w:rPr>
                <w:rFonts w:ascii="Aptos" w:hAnsi="Aptos" w:eastAsia="Calibri"/>
                <w:b/>
                <w:bCs/>
                <w:color w:val="EE0000"/>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EC9EA02"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3233F0C" w14:textId="77777777">
            <w:pPr>
              <w:jc w:val="right"/>
              <w:rPr>
                <w:rFonts w:ascii="Aptos" w:hAnsi="Aptos" w:eastAsia="Calibri"/>
                <w:sz w:val="22"/>
                <w:szCs w:val="22"/>
                <w:lang w:eastAsia="en-US"/>
              </w:rPr>
            </w:pPr>
          </w:p>
        </w:tc>
      </w:tr>
      <w:tr w:rsidRPr="00CD30E0" w:rsidR="00FB4553" w:rsidTr="6C15EBC2" w14:paraId="1B876E4F"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45158AEC" w14:textId="77777777">
            <w:pPr>
              <w:rPr>
                <w:rFonts w:ascii="Aptos" w:hAnsi="Aptos" w:eastAsia="Calibri"/>
                <w:b/>
                <w:bCs/>
                <w:sz w:val="22"/>
                <w:szCs w:val="22"/>
                <w:lang w:eastAsia="en-US"/>
              </w:rPr>
            </w:pPr>
            <w:r w:rsidRPr="00CD30E0">
              <w:rPr>
                <w:rFonts w:ascii="Aptos" w:hAnsi="Aptos" w:eastAsia="Calibri"/>
                <w:b/>
                <w:bCs/>
                <w:sz w:val="22"/>
                <w:szCs w:val="22"/>
                <w:lang w:eastAsia="en-US"/>
              </w:rPr>
              <w:t>7.5.4.</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00620048" w:rsidP="00521EF9" w:rsidRDefault="00FB4553" w14:paraId="7EF1416B" w14:textId="77777777">
            <w:pPr>
              <w:jc w:val="both"/>
              <w:rPr>
                <w:rFonts w:ascii="Aptos" w:hAnsi="Aptos"/>
                <w:sz w:val="22"/>
                <w:szCs w:val="22"/>
                <w:lang w:eastAsia="en-US"/>
              </w:rPr>
            </w:pPr>
            <w:r w:rsidRPr="00CD30E0">
              <w:rPr>
                <w:rFonts w:ascii="Aptos" w:hAnsi="Aptos" w:eastAsia="Calibri"/>
                <w:sz w:val="22"/>
                <w:szCs w:val="22"/>
                <w:lang w:eastAsia="en-US"/>
              </w:rPr>
              <w:t xml:space="preserve">Vispārējās izglītības iestādes dienesta viesnīcas būvniecības, pārbūves un atjaunošanas </w:t>
            </w:r>
            <w:r w:rsidRPr="00CD30E0">
              <w:rPr>
                <w:rFonts w:ascii="Aptos" w:hAnsi="Aptos"/>
                <w:sz w:val="22"/>
                <w:szCs w:val="22"/>
                <w:lang w:eastAsia="en-US"/>
              </w:rPr>
              <w:t>izmaksas</w:t>
            </w:r>
            <w:r w:rsidR="00620048">
              <w:rPr>
                <w:rFonts w:ascii="Aptos" w:hAnsi="Aptos"/>
                <w:sz w:val="22"/>
                <w:szCs w:val="22"/>
                <w:lang w:eastAsia="en-US"/>
              </w:rPr>
              <w:t>.</w:t>
            </w:r>
          </w:p>
          <w:p w:rsidRPr="00CD30E0" w:rsidR="00FB4553" w:rsidP="00521EF9" w:rsidRDefault="00620048" w14:paraId="667F4B43" w14:textId="489F32BB">
            <w:pPr>
              <w:jc w:val="both"/>
              <w:rPr>
                <w:rFonts w:ascii="Aptos" w:hAnsi="Aptos" w:eastAsia="Calibri"/>
                <w:sz w:val="22"/>
                <w:szCs w:val="22"/>
                <w:lang w:eastAsia="en-US"/>
              </w:rPr>
            </w:pPr>
            <w:r>
              <w:rPr>
                <w:rFonts w:ascii="Aptos" w:hAnsi="Aptos" w:eastAsia="Calibri"/>
                <w:sz w:val="22"/>
                <w:szCs w:val="22"/>
                <w:lang w:eastAsia="en-US"/>
              </w:rPr>
              <w:t xml:space="preserve">Izmaksu pozīcijā </w:t>
            </w:r>
            <w:r w:rsidR="00163EE9">
              <w:rPr>
                <w:rFonts w:ascii="Aptos" w:hAnsi="Aptos" w:eastAsia="Calibri"/>
                <w:sz w:val="22"/>
                <w:szCs w:val="22"/>
                <w:lang w:eastAsia="en-US"/>
              </w:rPr>
              <w:t>iekļauj</w:t>
            </w:r>
            <w:r>
              <w:rPr>
                <w:rFonts w:ascii="Aptos" w:hAnsi="Aptos" w:eastAsia="Calibri"/>
                <w:sz w:val="22"/>
                <w:szCs w:val="22"/>
                <w:lang w:eastAsia="en-US"/>
              </w:rPr>
              <w:t xml:space="preserve"> arī</w:t>
            </w:r>
            <w:r w:rsidRPr="00CD30E0" w:rsidR="00FB4553">
              <w:rPr>
                <w:rFonts w:ascii="Aptos" w:hAnsi="Aptos"/>
                <w:sz w:val="22"/>
                <w:szCs w:val="22"/>
                <w:lang w:eastAsia="en-US"/>
              </w:rPr>
              <w:t xml:space="preserve"> </w:t>
            </w:r>
            <w:r w:rsidRPr="00CD30E0">
              <w:rPr>
                <w:rFonts w:ascii="Aptos" w:hAnsi="Aptos" w:eastAsia="Calibri"/>
                <w:sz w:val="22"/>
                <w:szCs w:val="22"/>
                <w:lang w:eastAsia="en-US"/>
              </w:rPr>
              <w:t>dienesta viesnīcas</w:t>
            </w:r>
            <w:r w:rsidRPr="00CD30E0">
              <w:rPr>
                <w:rFonts w:ascii="Aptos" w:hAnsi="Aptos"/>
                <w:sz w:val="22"/>
                <w:szCs w:val="22"/>
                <w:lang w:eastAsia="en-US"/>
              </w:rPr>
              <w:t xml:space="preserve"> </w:t>
            </w:r>
            <w:r w:rsidRPr="00CD30E0" w:rsidR="00FB4553">
              <w:rPr>
                <w:rFonts w:ascii="Aptos" w:hAnsi="Aptos"/>
                <w:sz w:val="22"/>
                <w:szCs w:val="22"/>
                <w:lang w:eastAsia="en-US"/>
              </w:rPr>
              <w:t>darbības (dzīvojamo un mācību telpu,</w:t>
            </w:r>
            <w:r w:rsidRPr="00CD30E0" w:rsidR="00FB4553">
              <w:rPr>
                <w:rFonts w:ascii="Aptos" w:hAnsi="Aptos" w:eastAsia="Calibri"/>
                <w:sz w:val="22"/>
                <w:szCs w:val="22"/>
                <w:lang w:eastAsia="en-US"/>
              </w:rPr>
              <w:t xml:space="preserve"> virtuves, sanitāro mezglu, dušas telpu) nodrošināšanai nepieciešamā</w:t>
            </w:r>
            <w:r>
              <w:rPr>
                <w:rFonts w:ascii="Aptos" w:hAnsi="Aptos" w:eastAsia="Calibri"/>
                <w:sz w:val="22"/>
                <w:szCs w:val="22"/>
                <w:lang w:eastAsia="en-US"/>
              </w:rPr>
              <w:t xml:space="preserve"> iebūvējamā</w:t>
            </w:r>
            <w:r w:rsidRPr="00CD30E0" w:rsidR="00FB4553">
              <w:rPr>
                <w:rFonts w:ascii="Aptos" w:hAnsi="Aptos" w:eastAsia="Calibri"/>
                <w:sz w:val="22"/>
                <w:szCs w:val="22"/>
                <w:lang w:eastAsia="en-US"/>
              </w:rPr>
              <w:t xml:space="preserve"> aprīkojuma un mēbeļu iegādes izmaksas.</w:t>
            </w:r>
          </w:p>
          <w:p w:rsidRPr="00CD30E0" w:rsidR="00FB4553" w:rsidP="00521EF9" w:rsidRDefault="00FB4553" w14:paraId="3C7726C7" w14:textId="77777777">
            <w:pPr>
              <w:jc w:val="both"/>
              <w:rPr>
                <w:rFonts w:ascii="Aptos" w:hAnsi="Aptos" w:eastAsia="Calibri"/>
                <w:sz w:val="22"/>
                <w:szCs w:val="22"/>
                <w:lang w:eastAsia="en-US"/>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.6. 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4217672D"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6DDFCBF"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D35E53B"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77A7EAF6" w14:textId="55C63E47">
            <w:pPr>
              <w:jc w:val="center"/>
              <w:rPr>
                <w:rFonts w:ascii="Aptos" w:hAnsi="Aptos" w:eastAsia="Calibri"/>
                <w:sz w:val="20"/>
                <w:szCs w:val="20"/>
                <w:lang w:eastAsia="en-US"/>
              </w:rPr>
            </w:pPr>
            <w:r w:rsidRPr="00CD30E0">
              <w:rPr>
                <w:rFonts w:ascii="Aptos" w:hAnsi="Aptos" w:eastAsia="Calibri"/>
                <w:sz w:val="20"/>
                <w:szCs w:val="20"/>
                <w:lang w:eastAsia="en-US"/>
              </w:rPr>
              <w:t xml:space="preserve">Izmaksu pozīciju Nr. </w:t>
            </w:r>
            <w:r w:rsidR="00587C1C">
              <w:rPr>
                <w:rFonts w:ascii="Aptos" w:hAnsi="Aptos" w:eastAsia="Calibri"/>
                <w:sz w:val="20"/>
                <w:szCs w:val="20"/>
                <w:lang w:eastAsia="en-US"/>
              </w:rPr>
              <w:t xml:space="preserve">6.2.3., 6.2.4., </w:t>
            </w:r>
            <w:r w:rsidRPr="00CD30E0">
              <w:rPr>
                <w:rFonts w:ascii="Aptos" w:hAnsi="Aptos" w:eastAsia="Calibri"/>
                <w:sz w:val="20"/>
                <w:szCs w:val="20"/>
                <w:lang w:eastAsia="en-US"/>
              </w:rPr>
              <w:t>7.</w:t>
            </w:r>
            <w:r>
              <w:rPr>
                <w:rFonts w:ascii="Aptos" w:hAnsi="Aptos" w:eastAsia="Calibri"/>
                <w:sz w:val="20"/>
                <w:szCs w:val="20"/>
                <w:lang w:eastAsia="en-US"/>
              </w:rPr>
              <w:t>5.4</w:t>
            </w:r>
            <w:r w:rsidRPr="00CD30E0">
              <w:rPr>
                <w:rFonts w:ascii="Aptos" w:hAnsi="Aptos" w:eastAsia="Calibri"/>
                <w:sz w:val="20"/>
                <w:szCs w:val="20"/>
                <w:lang w:eastAsia="en-US"/>
              </w:rPr>
              <w:t>., 7.</w:t>
            </w:r>
            <w:r>
              <w:rPr>
                <w:rFonts w:ascii="Aptos" w:hAnsi="Aptos" w:eastAsia="Calibri"/>
                <w:sz w:val="20"/>
                <w:szCs w:val="20"/>
                <w:lang w:eastAsia="en-US"/>
              </w:rPr>
              <w:t>5.5</w:t>
            </w:r>
            <w:r w:rsidRPr="00CD30E0">
              <w:rPr>
                <w:rFonts w:ascii="Aptos" w:hAnsi="Aptos" w:eastAsia="Calibri"/>
                <w:sz w:val="20"/>
                <w:szCs w:val="20"/>
                <w:lang w:eastAsia="en-US"/>
              </w:rPr>
              <w:t>.</w:t>
            </w:r>
            <w:r w:rsidRPr="00CD30E0">
              <w:rPr>
                <w:rStyle w:val="CommentReference"/>
                <w:rFonts w:ascii="Aptos" w:hAnsi="Aptos"/>
                <w:sz w:val="20"/>
                <w:szCs w:val="20"/>
              </w:rPr>
              <w:t xml:space="preserve"> </w:t>
            </w:r>
            <w:r w:rsidRPr="00CD30E0">
              <w:rPr>
                <w:rFonts w:ascii="Aptos" w:hAnsi="Aptos" w:eastAsia="Calibri"/>
                <w:sz w:val="20"/>
                <w:szCs w:val="20"/>
                <w:lang w:eastAsia="en-US"/>
              </w:rPr>
              <w:t xml:space="preserve">kopsumma nedrīkst pārsniegt </w:t>
            </w:r>
            <w:r>
              <w:rPr>
                <w:rFonts w:ascii="Aptos" w:hAnsi="Aptos" w:eastAsia="Calibri"/>
                <w:sz w:val="20"/>
                <w:szCs w:val="20"/>
                <w:lang w:eastAsia="en-US"/>
              </w:rPr>
              <w:t>5</w:t>
            </w:r>
            <w:r w:rsidRPr="00CD30E0">
              <w:rPr>
                <w:rFonts w:ascii="Aptos" w:hAnsi="Aptos" w:eastAsia="Calibri"/>
                <w:sz w:val="20"/>
                <w:szCs w:val="20"/>
                <w:lang w:eastAsia="en-US"/>
              </w:rPr>
              <w:t>0% no projekta kopējām attiecināmajām izmaksām</w:t>
            </w: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FEDDA19"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2D4DF4D" w14:textId="77777777">
            <w:pPr>
              <w:jc w:val="right"/>
              <w:rPr>
                <w:rFonts w:ascii="Aptos" w:hAnsi="Aptos" w:eastAsia="Calibri"/>
                <w:sz w:val="22"/>
                <w:szCs w:val="22"/>
                <w:lang w:eastAsia="en-US"/>
              </w:rPr>
            </w:pPr>
          </w:p>
        </w:tc>
      </w:tr>
      <w:tr w:rsidRPr="00CD30E0" w:rsidR="00FB4553" w:rsidTr="6C15EBC2" w14:paraId="76E8E633"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359F7E4D" w14:textId="77777777">
            <w:pPr>
              <w:rPr>
                <w:rFonts w:ascii="Aptos" w:hAnsi="Aptos" w:eastAsia="Calibri"/>
                <w:b/>
                <w:bCs/>
                <w:sz w:val="22"/>
                <w:szCs w:val="22"/>
                <w:lang w:eastAsia="en-US"/>
              </w:rPr>
            </w:pPr>
            <w:r w:rsidRPr="00CD30E0">
              <w:rPr>
                <w:rFonts w:ascii="Aptos" w:hAnsi="Aptos" w:eastAsia="Calibri"/>
                <w:b/>
                <w:bCs/>
                <w:sz w:val="22"/>
                <w:szCs w:val="22"/>
                <w:lang w:eastAsia="en-US"/>
              </w:rPr>
              <w:t>7.5.5.</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00C3347F" w:rsidP="00521EF9" w:rsidRDefault="00FB4553" w14:paraId="2D2480A8" w14:textId="77777777">
            <w:pPr>
              <w:jc w:val="both"/>
              <w:rPr>
                <w:rFonts w:ascii="Aptos" w:hAnsi="Aptos" w:eastAsia="Calibri"/>
                <w:sz w:val="22"/>
                <w:szCs w:val="22"/>
                <w:lang w:eastAsia="en-US"/>
              </w:rPr>
            </w:pPr>
            <w:r w:rsidRPr="6C15EBC2">
              <w:rPr>
                <w:rFonts w:ascii="Aptos" w:hAnsi="Aptos" w:eastAsia="Calibri"/>
                <w:sz w:val="22"/>
                <w:szCs w:val="22"/>
                <w:lang w:eastAsia="en-US"/>
              </w:rPr>
              <w:t>Vispārējās izglītības iestādes sporta zāles un sporta laukuma, tai skaitā ārtelpu aktivitāšu sporta laukuma un ģērbtuvju pārbūves un atjaunošanas izmaksas</w:t>
            </w:r>
            <w:r w:rsidR="00C3347F">
              <w:rPr>
                <w:rFonts w:ascii="Aptos" w:hAnsi="Aptos" w:eastAsia="Calibri"/>
                <w:sz w:val="22"/>
                <w:szCs w:val="22"/>
                <w:lang w:eastAsia="en-US"/>
              </w:rPr>
              <w:t>.</w:t>
            </w:r>
            <w:r w:rsidRPr="6C15EBC2">
              <w:rPr>
                <w:rFonts w:ascii="Aptos" w:hAnsi="Aptos" w:eastAsia="Calibri"/>
                <w:sz w:val="22"/>
                <w:szCs w:val="22"/>
                <w:lang w:eastAsia="en-US"/>
              </w:rPr>
              <w:t>,</w:t>
            </w:r>
          </w:p>
          <w:p w:rsidRPr="00CD30E0" w:rsidR="00FB4553" w:rsidP="00521EF9" w:rsidRDefault="00C3347F" w14:paraId="42BD3341" w14:textId="3734386C">
            <w:pPr>
              <w:jc w:val="both"/>
              <w:rPr>
                <w:rFonts w:ascii="Aptos" w:hAnsi="Aptos" w:eastAsia="Calibri"/>
                <w:sz w:val="22"/>
                <w:szCs w:val="22"/>
                <w:lang w:eastAsia="en-US"/>
              </w:rPr>
            </w:pPr>
            <w:r>
              <w:rPr>
                <w:rFonts w:ascii="Aptos" w:hAnsi="Aptos" w:eastAsia="Calibri"/>
                <w:sz w:val="22"/>
                <w:szCs w:val="22"/>
                <w:lang w:eastAsia="en-US"/>
              </w:rPr>
              <w:t xml:space="preserve">Izmaksu pozīcijā </w:t>
            </w:r>
            <w:r w:rsidR="00163EE9">
              <w:rPr>
                <w:rFonts w:ascii="Aptos" w:hAnsi="Aptos" w:eastAsia="Calibri"/>
                <w:sz w:val="22"/>
                <w:szCs w:val="22"/>
                <w:lang w:eastAsia="en-US"/>
              </w:rPr>
              <w:t xml:space="preserve">iekļauj </w:t>
            </w:r>
            <w:r>
              <w:rPr>
                <w:rFonts w:ascii="Aptos" w:hAnsi="Aptos" w:eastAsia="Calibri"/>
                <w:sz w:val="22"/>
                <w:szCs w:val="22"/>
                <w:lang w:eastAsia="en-US"/>
              </w:rPr>
              <w:t>arī</w:t>
            </w:r>
            <w:r w:rsidRPr="6C15EBC2" w:rsidR="00FB4553">
              <w:rPr>
                <w:rFonts w:ascii="Aptos" w:hAnsi="Aptos" w:eastAsia="Calibri"/>
                <w:sz w:val="22"/>
                <w:szCs w:val="22"/>
                <w:lang w:eastAsia="en-US"/>
              </w:rPr>
              <w:t> </w:t>
            </w:r>
            <w:proofErr w:type="spellStart"/>
            <w:r w:rsidRPr="6C15EBC2" w:rsidR="00FB4553">
              <w:rPr>
                <w:rFonts w:ascii="Aptos" w:hAnsi="Aptos" w:eastAsia="Calibri"/>
                <w:sz w:val="22"/>
                <w:szCs w:val="22"/>
                <w:lang w:eastAsia="en-US"/>
              </w:rPr>
              <w:t>ārtelpu</w:t>
            </w:r>
            <w:proofErr w:type="spellEnd"/>
            <w:r w:rsidRPr="6C15EBC2" w:rsidR="00FB4553">
              <w:rPr>
                <w:rFonts w:ascii="Aptos" w:hAnsi="Aptos" w:eastAsia="Calibri"/>
                <w:sz w:val="22"/>
                <w:szCs w:val="22"/>
                <w:lang w:eastAsia="en-US"/>
              </w:rPr>
              <w:t xml:space="preserve"> aktivitāšu sporta laukuma </w:t>
            </w:r>
            <w:r w:rsidR="00901331">
              <w:rPr>
                <w:rFonts w:ascii="Aptos" w:hAnsi="Aptos" w:eastAsia="Calibri"/>
                <w:sz w:val="22"/>
                <w:szCs w:val="22"/>
                <w:lang w:eastAsia="en-US"/>
              </w:rPr>
              <w:t xml:space="preserve">iebūvējamā </w:t>
            </w:r>
            <w:r w:rsidRPr="6C15EBC2" w:rsidR="00FB4553">
              <w:rPr>
                <w:rFonts w:ascii="Aptos" w:hAnsi="Aptos" w:eastAsia="Calibri"/>
                <w:sz w:val="22"/>
                <w:szCs w:val="22"/>
                <w:lang w:eastAsia="en-US"/>
              </w:rPr>
              <w:t xml:space="preserve">aprīkojuma izmaksas un mācību priekšmeta "Sports un veselība" nodrošināšanai nepieciešamā </w:t>
            </w:r>
            <w:r w:rsidR="00901331">
              <w:rPr>
                <w:rFonts w:ascii="Aptos" w:hAnsi="Aptos" w:eastAsia="Calibri"/>
                <w:sz w:val="22"/>
                <w:szCs w:val="22"/>
                <w:lang w:eastAsia="en-US"/>
              </w:rPr>
              <w:t xml:space="preserve">iebūvējamā </w:t>
            </w:r>
            <w:r w:rsidRPr="6C15EBC2" w:rsidR="00FB4553">
              <w:rPr>
                <w:rFonts w:ascii="Aptos" w:hAnsi="Aptos" w:eastAsia="Calibri"/>
                <w:sz w:val="22"/>
                <w:szCs w:val="22"/>
                <w:lang w:eastAsia="en-US"/>
              </w:rPr>
              <w:t>aprīkojuma iegādes izmaksas.</w:t>
            </w:r>
          </w:p>
          <w:p w:rsidRPr="00CD30E0" w:rsidR="00FB4553" w:rsidP="00521EF9" w:rsidRDefault="00FB4553" w14:paraId="6F6411F0" w14:textId="77777777">
            <w:pPr>
              <w:jc w:val="both"/>
              <w:rPr>
                <w:rFonts w:ascii="Aptos" w:hAnsi="Aptos"/>
                <w:bCs/>
                <w:i/>
                <w:color w:val="0000FF"/>
                <w:sz w:val="22"/>
                <w:szCs w:val="22"/>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.7. apakšpunktam.</w:t>
            </w:r>
          </w:p>
          <w:p w:rsidRPr="00CD30E0" w:rsidR="00FB4553" w:rsidP="00521EF9" w:rsidRDefault="00FB4553" w14:paraId="6D110F68" w14:textId="77777777">
            <w:pPr>
              <w:jc w:val="both"/>
              <w:rPr>
                <w:rFonts w:ascii="Aptos" w:hAnsi="Aptos"/>
                <w:i/>
                <w:iCs/>
                <w:color w:val="0000FF"/>
                <w:sz w:val="22"/>
                <w:szCs w:val="22"/>
                <w:lang w:eastAsia="en-US"/>
              </w:rPr>
            </w:pP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42890649"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DC301F4"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D2EA28A"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611E6B1D" w14:textId="653EC2FF">
            <w:pPr>
              <w:jc w:val="center"/>
              <w:rPr>
                <w:rFonts w:ascii="Aptos" w:hAnsi="Aptos" w:eastAsia="Calibri"/>
                <w:sz w:val="20"/>
                <w:szCs w:val="20"/>
                <w:lang w:eastAsia="en-US"/>
              </w:rPr>
            </w:pPr>
            <w:r w:rsidRPr="00CD30E0">
              <w:rPr>
                <w:rFonts w:ascii="Aptos" w:hAnsi="Aptos" w:eastAsia="Calibri"/>
                <w:sz w:val="20"/>
                <w:szCs w:val="20"/>
                <w:lang w:eastAsia="en-US"/>
              </w:rPr>
              <w:t xml:space="preserve">Izmaksu pozīciju Nr. </w:t>
            </w:r>
            <w:r w:rsidR="00587C1C">
              <w:rPr>
                <w:rFonts w:ascii="Aptos" w:hAnsi="Aptos" w:eastAsia="Calibri"/>
                <w:sz w:val="20"/>
                <w:szCs w:val="20"/>
                <w:lang w:eastAsia="en-US"/>
              </w:rPr>
              <w:t xml:space="preserve">6.2.3., 6.2.4., </w:t>
            </w:r>
            <w:r w:rsidRPr="00CD30E0">
              <w:rPr>
                <w:rFonts w:ascii="Aptos" w:hAnsi="Aptos" w:eastAsia="Calibri"/>
                <w:sz w:val="20"/>
                <w:szCs w:val="20"/>
                <w:lang w:eastAsia="en-US"/>
              </w:rPr>
              <w:t>7.</w:t>
            </w:r>
            <w:r>
              <w:rPr>
                <w:rFonts w:ascii="Aptos" w:hAnsi="Aptos" w:eastAsia="Calibri"/>
                <w:sz w:val="20"/>
                <w:szCs w:val="20"/>
                <w:lang w:eastAsia="en-US"/>
              </w:rPr>
              <w:t>5.4</w:t>
            </w:r>
            <w:r w:rsidRPr="00CD30E0">
              <w:rPr>
                <w:rFonts w:ascii="Aptos" w:hAnsi="Aptos" w:eastAsia="Calibri"/>
                <w:sz w:val="20"/>
                <w:szCs w:val="20"/>
                <w:lang w:eastAsia="en-US"/>
              </w:rPr>
              <w:t>., 7.</w:t>
            </w:r>
            <w:r>
              <w:rPr>
                <w:rFonts w:ascii="Aptos" w:hAnsi="Aptos" w:eastAsia="Calibri"/>
                <w:sz w:val="20"/>
                <w:szCs w:val="20"/>
                <w:lang w:eastAsia="en-US"/>
              </w:rPr>
              <w:t>5.5</w:t>
            </w:r>
            <w:r w:rsidRPr="00CD30E0">
              <w:rPr>
                <w:rFonts w:ascii="Aptos" w:hAnsi="Aptos" w:eastAsia="Calibri"/>
                <w:sz w:val="20"/>
                <w:szCs w:val="20"/>
                <w:lang w:eastAsia="en-US"/>
              </w:rPr>
              <w:t>.</w:t>
            </w:r>
            <w:r w:rsidRPr="00CD30E0">
              <w:rPr>
                <w:rStyle w:val="CommentReference"/>
                <w:rFonts w:ascii="Aptos" w:hAnsi="Aptos"/>
                <w:sz w:val="20"/>
                <w:szCs w:val="20"/>
              </w:rPr>
              <w:t xml:space="preserve"> </w:t>
            </w:r>
            <w:r w:rsidRPr="00CD30E0">
              <w:rPr>
                <w:rFonts w:ascii="Aptos" w:hAnsi="Aptos" w:eastAsia="Calibri"/>
                <w:sz w:val="20"/>
                <w:szCs w:val="20"/>
                <w:lang w:eastAsia="en-US"/>
              </w:rPr>
              <w:t xml:space="preserve">kopsumma nedrīkst pārsniegt </w:t>
            </w:r>
            <w:r>
              <w:rPr>
                <w:rFonts w:ascii="Aptos" w:hAnsi="Aptos" w:eastAsia="Calibri"/>
                <w:sz w:val="20"/>
                <w:szCs w:val="20"/>
                <w:lang w:eastAsia="en-US"/>
              </w:rPr>
              <w:t>5</w:t>
            </w:r>
            <w:r w:rsidRPr="00CD30E0">
              <w:rPr>
                <w:rFonts w:ascii="Aptos" w:hAnsi="Aptos" w:eastAsia="Calibri"/>
                <w:sz w:val="20"/>
                <w:szCs w:val="20"/>
                <w:lang w:eastAsia="en-US"/>
              </w:rPr>
              <w:t>0% no projekta kopējām attiecināmajām izmaksām</w:t>
            </w: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7000F59"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859C50B" w14:textId="77777777">
            <w:pPr>
              <w:jc w:val="right"/>
              <w:rPr>
                <w:rFonts w:ascii="Aptos" w:hAnsi="Aptos" w:eastAsia="Calibri"/>
                <w:sz w:val="22"/>
                <w:szCs w:val="22"/>
                <w:lang w:eastAsia="en-US"/>
              </w:rPr>
            </w:pPr>
          </w:p>
        </w:tc>
      </w:tr>
      <w:tr w:rsidRPr="00CD30E0" w:rsidR="00FB4553" w:rsidTr="6C15EBC2" w14:paraId="25304A79"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5FD41D00" w14:textId="77777777">
            <w:pPr>
              <w:rPr>
                <w:rFonts w:ascii="Aptos" w:hAnsi="Aptos" w:eastAsia="Calibri"/>
                <w:b/>
                <w:bCs/>
                <w:sz w:val="22"/>
                <w:szCs w:val="22"/>
                <w:lang w:eastAsia="en-US"/>
              </w:rPr>
            </w:pPr>
            <w:r w:rsidRPr="00CD30E0">
              <w:rPr>
                <w:rFonts w:ascii="Aptos" w:hAnsi="Aptos" w:eastAsia="Calibri"/>
                <w:b/>
                <w:bCs/>
                <w:sz w:val="22"/>
                <w:szCs w:val="22"/>
                <w:lang w:eastAsia="en-US"/>
              </w:rPr>
              <w:lastRenderedPageBreak/>
              <w:t>7.5.6.</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6769672F" w14:textId="77777777">
            <w:pPr>
              <w:jc w:val="both"/>
              <w:rPr>
                <w:rFonts w:ascii="Aptos" w:hAnsi="Aptos" w:eastAsia="Calibri"/>
                <w:sz w:val="22"/>
                <w:szCs w:val="22"/>
                <w:lang w:eastAsia="en-US"/>
              </w:rPr>
            </w:pPr>
            <w:r w:rsidRPr="00CD30E0">
              <w:rPr>
                <w:rFonts w:ascii="Aptos" w:hAnsi="Aptos" w:eastAsia="Calibri"/>
                <w:sz w:val="22"/>
                <w:szCs w:val="22"/>
                <w:lang w:eastAsia="en-US"/>
              </w:rPr>
              <w:t>Teritorijas labiekārtošanas un drošības nodrošināšanas, tai skaitā attiecīgo elementu iegādes un uzstādīšanas (piemēram, soliņi, celiņi, apgaismojums, žogi, terases, nojumes, videonovērošanas kameras, apsardzes sistēma), izmaksas.</w:t>
            </w:r>
          </w:p>
          <w:p w:rsidRPr="00CD30E0" w:rsidR="00FB4553" w:rsidP="00521EF9" w:rsidRDefault="00FB4553" w14:paraId="51A85C47" w14:textId="77777777">
            <w:pPr>
              <w:jc w:val="both"/>
              <w:rPr>
                <w:rFonts w:ascii="Aptos" w:hAnsi="Aptos" w:eastAsia="Calibri"/>
                <w:sz w:val="22"/>
                <w:szCs w:val="22"/>
                <w:lang w:eastAsia="en-US"/>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.8. 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42E8E057"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AF34D8E"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2F34CA0"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vAlign w:val="center"/>
          </w:tcPr>
          <w:p w:rsidR="00FB4553" w:rsidP="00521EF9" w:rsidRDefault="00FB4553" w14:paraId="2ACF82B3" w14:textId="77777777">
            <w:pPr>
              <w:jc w:val="center"/>
              <w:rPr>
                <w:rFonts w:ascii="Aptos" w:hAnsi="Aptos" w:eastAsia="Calibri"/>
                <w:sz w:val="20"/>
                <w:szCs w:val="20"/>
                <w:lang w:eastAsia="en-US"/>
              </w:rPr>
            </w:pPr>
            <w:r w:rsidRPr="00CD30E0">
              <w:rPr>
                <w:rFonts w:ascii="Aptos" w:hAnsi="Aptos" w:eastAsia="Calibri"/>
                <w:sz w:val="20"/>
                <w:szCs w:val="20"/>
                <w:lang w:eastAsia="en-US"/>
              </w:rPr>
              <w:t>Līdz 2% no projekta kopējām attiecināmajām izmaksām</w:t>
            </w:r>
            <w:r>
              <w:rPr>
                <w:rFonts w:ascii="Aptos" w:hAnsi="Aptos" w:eastAsia="Calibri"/>
                <w:sz w:val="20"/>
                <w:szCs w:val="20"/>
                <w:lang w:eastAsia="en-US"/>
              </w:rPr>
              <w:t>.</w:t>
            </w:r>
          </w:p>
          <w:p w:rsidRPr="00CC7370" w:rsidR="00FB4553" w:rsidP="00521EF9" w:rsidRDefault="00FB4553" w14:paraId="75D5C811" w14:textId="77777777">
            <w:pPr>
              <w:spacing w:line="259" w:lineRule="auto"/>
              <w:jc w:val="center"/>
              <w:rPr>
                <w:rFonts w:ascii="Aptos" w:hAnsi="Aptos" w:eastAsia="Calibri"/>
                <w:strike/>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569397A"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0CEB631" w14:textId="77777777">
            <w:pPr>
              <w:jc w:val="right"/>
              <w:rPr>
                <w:rFonts w:ascii="Aptos" w:hAnsi="Aptos" w:eastAsia="Calibri"/>
                <w:sz w:val="22"/>
                <w:szCs w:val="22"/>
                <w:lang w:eastAsia="en-US"/>
              </w:rPr>
            </w:pPr>
          </w:p>
        </w:tc>
      </w:tr>
      <w:tr w:rsidRPr="00CD30E0" w:rsidR="00FB4553" w:rsidTr="6C15EBC2" w14:paraId="06CF5AD3"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48A5C12C" w14:textId="77777777">
            <w:pPr>
              <w:rPr>
                <w:rFonts w:ascii="Aptos" w:hAnsi="Aptos" w:eastAsia="Calibri"/>
                <w:b/>
                <w:bCs/>
                <w:sz w:val="22"/>
                <w:szCs w:val="22"/>
                <w:lang w:eastAsia="en-US"/>
              </w:rPr>
            </w:pPr>
            <w:r w:rsidRPr="00CD30E0">
              <w:rPr>
                <w:rFonts w:ascii="Aptos" w:hAnsi="Aptos" w:eastAsia="Calibri"/>
                <w:b/>
                <w:bCs/>
                <w:sz w:val="22"/>
                <w:szCs w:val="22"/>
                <w:lang w:eastAsia="en-US"/>
              </w:rPr>
              <w:t>7.6.</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19F09E30" w14:textId="77777777">
            <w:pPr>
              <w:jc w:val="both"/>
              <w:rPr>
                <w:rFonts w:ascii="Aptos" w:hAnsi="Aptos" w:eastAsia="Calibri"/>
                <w:b/>
                <w:bCs/>
                <w:sz w:val="22"/>
                <w:szCs w:val="22"/>
                <w:lang w:eastAsia="en-US"/>
              </w:rPr>
            </w:pPr>
            <w:r w:rsidRPr="00CD30E0">
              <w:rPr>
                <w:rFonts w:ascii="Aptos" w:hAnsi="Aptos" w:eastAsia="Calibri"/>
                <w:b/>
                <w:bCs/>
                <w:sz w:val="22"/>
                <w:szCs w:val="22"/>
                <w:lang w:eastAsia="en-US"/>
              </w:rPr>
              <w:t>Citas izmaksas</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3EF14BD0"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9F64321"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77A174B"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1DC449A" w14:textId="77777777">
            <w:pPr>
              <w:jc w:val="right"/>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2A40B62B"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F994A98" w14:textId="77777777">
            <w:pPr>
              <w:jc w:val="right"/>
              <w:rPr>
                <w:rFonts w:ascii="Aptos" w:hAnsi="Aptos" w:eastAsia="Calibri"/>
                <w:sz w:val="22"/>
                <w:szCs w:val="22"/>
                <w:lang w:eastAsia="en-US"/>
              </w:rPr>
            </w:pPr>
          </w:p>
        </w:tc>
      </w:tr>
      <w:tr w:rsidRPr="00CD30E0" w:rsidR="00FB4553" w:rsidTr="6C15EBC2" w14:paraId="705F546E"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5BDC0D91" w14:textId="77777777">
            <w:pPr>
              <w:rPr>
                <w:rFonts w:ascii="Aptos" w:hAnsi="Aptos" w:eastAsia="Calibri"/>
                <w:b/>
                <w:bCs/>
                <w:sz w:val="22"/>
                <w:szCs w:val="22"/>
                <w:lang w:eastAsia="en-US"/>
              </w:rPr>
            </w:pPr>
            <w:r w:rsidRPr="00CD30E0">
              <w:rPr>
                <w:rFonts w:ascii="Aptos" w:hAnsi="Aptos" w:eastAsia="Calibri"/>
                <w:b/>
                <w:bCs/>
                <w:sz w:val="22"/>
                <w:szCs w:val="22"/>
                <w:lang w:eastAsia="en-US"/>
              </w:rPr>
              <w:t>7.6.1.</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2401675E" w14:textId="77777777">
            <w:pPr>
              <w:jc w:val="both"/>
              <w:rPr>
                <w:rFonts w:ascii="Aptos" w:hAnsi="Aptos" w:eastAsia="Calibri"/>
                <w:sz w:val="22"/>
                <w:szCs w:val="22"/>
                <w:lang w:eastAsia="en-US"/>
              </w:rPr>
            </w:pPr>
            <w:r w:rsidRPr="00CD30E0">
              <w:rPr>
                <w:rFonts w:ascii="Aptos" w:hAnsi="Aptos" w:eastAsia="Calibri"/>
                <w:sz w:val="22"/>
                <w:szCs w:val="22"/>
                <w:lang w:eastAsia="en-US"/>
              </w:rPr>
              <w:t>Izmaksas,  kas  saistītas  ar  ēkas  nodošanu  ekspluatācijā,  ja  tās  nav  paredzētas  līgumā  par  būvdarbu veikšanu.</w:t>
            </w:r>
          </w:p>
          <w:p w:rsidRPr="00CD30E0" w:rsidR="00FB4553" w:rsidP="00521EF9" w:rsidRDefault="00FB4553" w14:paraId="64E74601" w14:textId="77777777">
            <w:pPr>
              <w:jc w:val="both"/>
              <w:rPr>
                <w:rFonts w:ascii="Aptos" w:hAnsi="Aptos" w:eastAsia="Calibri"/>
                <w:sz w:val="22"/>
                <w:szCs w:val="22"/>
                <w:lang w:eastAsia="en-US"/>
              </w:rPr>
            </w:pPr>
            <w:r w:rsidRPr="00CD30E0">
              <w:rPr>
                <w:rFonts w:ascii="Aptos" w:hAnsi="Aptos"/>
                <w:bCs/>
                <w:i/>
                <w:color w:val="0000FF"/>
                <w:sz w:val="22"/>
                <w:szCs w:val="22"/>
              </w:rPr>
              <w:t>Atbilstoši MK noteikumu 2</w:t>
            </w:r>
            <w:r>
              <w:rPr>
                <w:rFonts w:ascii="Aptos" w:hAnsi="Aptos"/>
                <w:bCs/>
                <w:i/>
                <w:color w:val="0000FF"/>
                <w:sz w:val="22"/>
                <w:szCs w:val="22"/>
              </w:rPr>
              <w:t>0</w:t>
            </w:r>
            <w:r w:rsidRPr="00CD30E0">
              <w:rPr>
                <w:rFonts w:ascii="Aptos" w:hAnsi="Aptos"/>
                <w:bCs/>
                <w:i/>
                <w:color w:val="0000FF"/>
                <w:sz w:val="22"/>
                <w:szCs w:val="22"/>
              </w:rPr>
              <w:t>.13. 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177591CC"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466F523"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CD6F1C4"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D05D2ED" w14:textId="77777777">
            <w:pPr>
              <w:jc w:val="right"/>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379CF6D"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3174FDB" w14:textId="77777777">
            <w:pPr>
              <w:jc w:val="right"/>
              <w:rPr>
                <w:rFonts w:ascii="Aptos" w:hAnsi="Aptos" w:eastAsia="Calibri"/>
                <w:sz w:val="22"/>
                <w:szCs w:val="22"/>
                <w:lang w:eastAsia="en-US"/>
              </w:rPr>
            </w:pPr>
          </w:p>
        </w:tc>
      </w:tr>
      <w:tr w:rsidRPr="00CD30E0" w:rsidR="00FB4553" w:rsidTr="6C15EBC2" w14:paraId="2B9B7CA8"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hideMark/>
          </w:tcPr>
          <w:p w:rsidRPr="00CD30E0" w:rsidR="00FB4553" w:rsidP="00521EF9" w:rsidRDefault="00FB4553" w14:paraId="1436F1EE" w14:textId="77777777">
            <w:pPr>
              <w:rPr>
                <w:rFonts w:ascii="Aptos" w:hAnsi="Aptos" w:eastAsia="Calibri"/>
                <w:b/>
                <w:bCs/>
                <w:sz w:val="22"/>
                <w:szCs w:val="22"/>
                <w:lang w:eastAsia="en-US"/>
              </w:rPr>
            </w:pPr>
            <w:r w:rsidRPr="00CD30E0">
              <w:rPr>
                <w:rFonts w:ascii="Aptos" w:hAnsi="Aptos" w:eastAsia="Calibri"/>
                <w:b/>
                <w:bCs/>
                <w:sz w:val="22"/>
                <w:szCs w:val="22"/>
                <w:lang w:eastAsia="en-US"/>
              </w:rPr>
              <w:t>10.</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hideMark/>
          </w:tcPr>
          <w:p w:rsidRPr="00CD30E0" w:rsidR="00FB4553" w:rsidP="00521EF9" w:rsidRDefault="00FB4553" w14:paraId="1AEBF594" w14:textId="77777777">
            <w:pPr>
              <w:jc w:val="both"/>
              <w:rPr>
                <w:rFonts w:ascii="Aptos" w:hAnsi="Aptos" w:eastAsia="Calibri"/>
                <w:i/>
                <w:iCs/>
                <w:sz w:val="22"/>
                <w:szCs w:val="22"/>
                <w:lang w:eastAsia="en-US"/>
              </w:rPr>
            </w:pPr>
            <w:r w:rsidRPr="00CD30E0">
              <w:rPr>
                <w:rFonts w:ascii="Aptos" w:hAnsi="Aptos" w:eastAsia="Calibri"/>
                <w:b/>
                <w:bCs/>
                <w:sz w:val="22"/>
                <w:szCs w:val="22"/>
                <w:lang w:eastAsia="en-US"/>
              </w:rPr>
              <w:t>Komunikācijas un vizuālās identitātes prasību nodrošināšanas pasākumu izmaksas</w:t>
            </w:r>
            <w:r w:rsidRPr="00CD30E0">
              <w:rPr>
                <w:rFonts w:ascii="Aptos" w:hAnsi="Aptos" w:eastAsia="Calibri"/>
                <w:i/>
                <w:iCs/>
                <w:sz w:val="22"/>
                <w:szCs w:val="22"/>
                <w:lang w:eastAsia="en-US"/>
              </w:rPr>
              <w:t xml:space="preserve"> </w:t>
            </w:r>
          </w:p>
          <w:p w:rsidRPr="00CD30E0" w:rsidR="00FB4553" w:rsidP="00521EF9" w:rsidRDefault="00FB4553" w14:paraId="6938F87E" w14:textId="77777777">
            <w:pPr>
              <w:jc w:val="both"/>
              <w:rPr>
                <w:rFonts w:ascii="Aptos" w:hAnsi="Aptos" w:eastAsia="Calibri"/>
                <w:i/>
                <w:iCs/>
                <w:sz w:val="22"/>
                <w:szCs w:val="22"/>
                <w:lang w:eastAsia="en-US"/>
              </w:rPr>
            </w:pPr>
            <w:r w:rsidRPr="00CD30E0">
              <w:rPr>
                <w:rFonts w:ascii="Aptos" w:hAnsi="Aptos" w:eastAsia="Calibri"/>
                <w:i/>
                <w:iCs/>
                <w:color w:val="0000FF"/>
                <w:sz w:val="22"/>
                <w:szCs w:val="22"/>
                <w:lang w:eastAsia="en-US"/>
              </w:rPr>
              <w:t>Atbilstoši MK noteikumu 2</w:t>
            </w:r>
            <w:r>
              <w:rPr>
                <w:rFonts w:ascii="Aptos" w:hAnsi="Aptos" w:eastAsia="Calibri"/>
                <w:i/>
                <w:iCs/>
                <w:color w:val="0000FF"/>
                <w:sz w:val="22"/>
                <w:szCs w:val="22"/>
                <w:lang w:eastAsia="en-US"/>
              </w:rPr>
              <w:t>0</w:t>
            </w:r>
            <w:r w:rsidRPr="00CD30E0">
              <w:rPr>
                <w:rFonts w:ascii="Aptos" w:hAnsi="Aptos" w:eastAsia="Calibri"/>
                <w:i/>
                <w:iCs/>
                <w:color w:val="0000FF"/>
                <w:sz w:val="22"/>
                <w:szCs w:val="22"/>
                <w:lang w:eastAsia="en-US"/>
              </w:rPr>
              <w:t>.14. 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49A1EFC9" w14:textId="77777777">
            <w:pPr>
              <w:jc w:val="center"/>
              <w:rPr>
                <w:rFonts w:ascii="Aptos" w:hAnsi="Aptos" w:eastAsia="Calibri"/>
                <w:sz w:val="22"/>
                <w:szCs w:val="22"/>
                <w:lang w:eastAsia="en-US"/>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478CF14"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9AD2309"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225D1E8" w14:textId="77777777">
            <w:pPr>
              <w:jc w:val="right"/>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FF28F9F"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77C6E2C" w14:textId="77777777">
            <w:pPr>
              <w:jc w:val="right"/>
              <w:rPr>
                <w:rFonts w:ascii="Aptos" w:hAnsi="Aptos" w:eastAsia="Calibri"/>
                <w:sz w:val="22"/>
                <w:szCs w:val="22"/>
                <w:lang w:eastAsia="en-US"/>
              </w:rPr>
            </w:pPr>
          </w:p>
        </w:tc>
      </w:tr>
      <w:tr w:rsidRPr="00CD30E0" w:rsidR="00FB4553" w:rsidTr="6C15EBC2" w14:paraId="7EAC1A9B"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0709F760" w14:textId="77777777">
            <w:pPr>
              <w:rPr>
                <w:rFonts w:ascii="Aptos" w:hAnsi="Aptos" w:eastAsia="Calibri"/>
                <w:b/>
                <w:bCs/>
                <w:sz w:val="22"/>
                <w:szCs w:val="22"/>
                <w:lang w:eastAsia="en-US"/>
              </w:rPr>
            </w:pPr>
            <w:r w:rsidRPr="00CD30E0">
              <w:rPr>
                <w:rFonts w:ascii="Aptos" w:hAnsi="Aptos" w:eastAsia="Calibri"/>
                <w:b/>
                <w:bCs/>
                <w:sz w:val="22"/>
                <w:szCs w:val="22"/>
                <w:lang w:eastAsia="en-US"/>
              </w:rPr>
              <w:t>11.</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2463D626" w14:textId="77777777">
            <w:pPr>
              <w:jc w:val="both"/>
              <w:rPr>
                <w:rFonts w:ascii="Aptos" w:hAnsi="Aptos" w:eastAsia="Calibri"/>
                <w:b/>
                <w:bCs/>
                <w:sz w:val="22"/>
                <w:szCs w:val="22"/>
                <w:lang w:eastAsia="en-US"/>
              </w:rPr>
            </w:pPr>
            <w:r w:rsidRPr="00CD30E0">
              <w:rPr>
                <w:rFonts w:ascii="Aptos" w:hAnsi="Aptos" w:eastAsia="Calibri"/>
                <w:b/>
                <w:bCs/>
                <w:sz w:val="22"/>
                <w:szCs w:val="22"/>
                <w:lang w:eastAsia="en-US"/>
              </w:rPr>
              <w:t>Projekta iesnieguma un to pamatojošās dokumentācijas sagatavošanas izmaksas</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251B3318"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F83D78B"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FF0AF56"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6F8346CA" w14:textId="77777777">
            <w:pPr>
              <w:jc w:val="center"/>
              <w:rPr>
                <w:rFonts w:ascii="Aptos" w:hAnsi="Aptos" w:eastAsia="Calibri"/>
                <w:sz w:val="20"/>
                <w:szCs w:val="20"/>
                <w:lang w:eastAsia="en-US"/>
              </w:rPr>
            </w:pPr>
            <w:r w:rsidRPr="00CD30E0">
              <w:rPr>
                <w:rFonts w:ascii="Aptos" w:hAnsi="Aptos" w:eastAsia="Calibri"/>
                <w:sz w:val="20"/>
                <w:szCs w:val="20"/>
                <w:lang w:eastAsia="en-US"/>
              </w:rPr>
              <w:t>Izmaksu pozīciju Nr. 7.1., 7.2., 7.3. un 11</w:t>
            </w:r>
            <w:r w:rsidRPr="00CD30E0">
              <w:rPr>
                <w:rStyle w:val="CommentReference"/>
                <w:rFonts w:ascii="Aptos" w:hAnsi="Aptos"/>
              </w:rPr>
              <w:t>.</w:t>
            </w:r>
            <w:r w:rsidRPr="00CD30E0">
              <w:rPr>
                <w:rStyle w:val="CommentReference"/>
                <w:rFonts w:ascii="Aptos" w:hAnsi="Aptos"/>
                <w:sz w:val="20"/>
                <w:szCs w:val="20"/>
              </w:rPr>
              <w:t xml:space="preserve"> </w:t>
            </w:r>
            <w:r w:rsidRPr="00CD30E0">
              <w:rPr>
                <w:rFonts w:ascii="Aptos" w:hAnsi="Aptos" w:eastAsia="Calibri"/>
                <w:sz w:val="20"/>
                <w:szCs w:val="20"/>
                <w:lang w:eastAsia="en-US"/>
              </w:rPr>
              <w:t>kopsumma nedrīkst pārsniegt 10% no projekta kopējām attiecināmajām izmaksām</w:t>
            </w: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A3F9757"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49DA413" w14:textId="77777777">
            <w:pPr>
              <w:jc w:val="right"/>
              <w:rPr>
                <w:rFonts w:ascii="Aptos" w:hAnsi="Aptos" w:eastAsia="Calibri"/>
                <w:sz w:val="22"/>
                <w:szCs w:val="22"/>
                <w:lang w:eastAsia="en-US"/>
              </w:rPr>
            </w:pPr>
          </w:p>
        </w:tc>
      </w:tr>
      <w:tr w:rsidRPr="00CD30E0" w:rsidR="00FB4553" w:rsidTr="6C15EBC2" w14:paraId="0341E85C"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2B85A4DF" w14:textId="77777777">
            <w:pPr>
              <w:rPr>
                <w:rFonts w:ascii="Aptos" w:hAnsi="Aptos" w:eastAsia="Calibri"/>
                <w:b/>
                <w:bCs/>
                <w:sz w:val="22"/>
                <w:szCs w:val="22"/>
                <w:lang w:eastAsia="en-US"/>
              </w:rPr>
            </w:pPr>
            <w:r w:rsidRPr="00CD30E0">
              <w:rPr>
                <w:rFonts w:ascii="Aptos" w:hAnsi="Aptos" w:eastAsia="Calibri"/>
                <w:b/>
                <w:bCs/>
                <w:sz w:val="22"/>
                <w:szCs w:val="22"/>
                <w:lang w:eastAsia="en-US"/>
              </w:rPr>
              <w:t>13.</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4112BC87" w14:textId="77777777">
            <w:pPr>
              <w:jc w:val="both"/>
              <w:rPr>
                <w:rFonts w:ascii="Aptos" w:hAnsi="Aptos" w:eastAsia="Calibri"/>
                <w:sz w:val="22"/>
                <w:szCs w:val="22"/>
                <w:lang w:eastAsia="en-US"/>
              </w:rPr>
            </w:pPr>
            <w:r w:rsidRPr="00CD30E0">
              <w:rPr>
                <w:rFonts w:ascii="Aptos" w:hAnsi="Aptos" w:eastAsia="Times New Roman"/>
                <w:b/>
                <w:bCs/>
                <w:sz w:val="22"/>
                <w:szCs w:val="22"/>
              </w:rPr>
              <w:t>Pārējās projekta īstenošanas izmaksas</w:t>
            </w:r>
            <w:r w:rsidRPr="00CD30E0">
              <w:rPr>
                <w:rFonts w:ascii="Aptos" w:hAnsi="Aptos" w:eastAsia="Times New Roman"/>
                <w:b/>
                <w:bCs/>
                <w:sz w:val="22"/>
                <w:szCs w:val="22"/>
              </w:rPr>
              <w:tab/>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06D765C2" w14:textId="77777777">
            <w:pPr>
              <w:jc w:val="center"/>
              <w:rPr>
                <w:rFonts w:ascii="Aptos" w:hAnsi="Apto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067675F"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9F55B36"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04B90D33" w14:textId="77777777">
            <w:pPr>
              <w:jc w:val="right"/>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A3C0431"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7B799B26" w14:textId="77777777">
            <w:pPr>
              <w:jc w:val="right"/>
              <w:rPr>
                <w:rFonts w:ascii="Aptos" w:hAnsi="Aptos" w:eastAsia="Calibri"/>
                <w:sz w:val="22"/>
                <w:szCs w:val="22"/>
                <w:lang w:eastAsia="en-US"/>
              </w:rPr>
            </w:pPr>
          </w:p>
        </w:tc>
      </w:tr>
      <w:tr w:rsidRPr="00CD30E0" w:rsidR="00FB4553" w:rsidTr="6C15EBC2" w14:paraId="4B612FFB"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127BC619" w14:textId="77777777">
            <w:pPr>
              <w:rPr>
                <w:rFonts w:ascii="Aptos" w:hAnsi="Aptos" w:eastAsia="Calibri"/>
                <w:b/>
                <w:bCs/>
                <w:sz w:val="22"/>
                <w:szCs w:val="22"/>
                <w:lang w:eastAsia="en-US"/>
              </w:rPr>
            </w:pPr>
            <w:r w:rsidRPr="00CD30E0">
              <w:rPr>
                <w:rFonts w:ascii="Aptos" w:hAnsi="Aptos" w:eastAsia="Calibri"/>
                <w:b/>
                <w:bCs/>
                <w:sz w:val="22"/>
                <w:szCs w:val="22"/>
                <w:lang w:eastAsia="en-US"/>
              </w:rPr>
              <w:t>13.1.</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316B7B29" w14:textId="77777777">
            <w:pPr>
              <w:jc w:val="both"/>
              <w:rPr>
                <w:rFonts w:ascii="Aptos" w:hAnsi="Aptos" w:eastAsia="Calibri"/>
                <w:sz w:val="22"/>
                <w:szCs w:val="22"/>
                <w:lang w:eastAsia="en-US"/>
              </w:rPr>
            </w:pPr>
            <w:r w:rsidRPr="00CD30E0">
              <w:rPr>
                <w:rFonts w:ascii="Aptos" w:hAnsi="Aptos" w:eastAsia="Calibri"/>
                <w:sz w:val="22"/>
                <w:szCs w:val="22"/>
                <w:lang w:eastAsia="en-US"/>
              </w:rPr>
              <w:t xml:space="preserve">Horizontālā principa "Vienlīdzība, iekļaušana, </w:t>
            </w:r>
            <w:proofErr w:type="spellStart"/>
            <w:r w:rsidRPr="00CD30E0">
              <w:rPr>
                <w:rFonts w:ascii="Aptos" w:hAnsi="Aptos" w:eastAsia="Calibri"/>
                <w:sz w:val="22"/>
                <w:szCs w:val="22"/>
                <w:lang w:eastAsia="en-US"/>
              </w:rPr>
              <w:t>nediskriminācija</w:t>
            </w:r>
            <w:proofErr w:type="spellEnd"/>
            <w:r w:rsidRPr="00CD30E0">
              <w:rPr>
                <w:rFonts w:ascii="Aptos" w:hAnsi="Aptos" w:eastAsia="Calibri"/>
                <w:sz w:val="22"/>
                <w:szCs w:val="22"/>
                <w:lang w:eastAsia="en-US"/>
              </w:rPr>
              <w:t xml:space="preserve"> un </w:t>
            </w:r>
            <w:proofErr w:type="spellStart"/>
            <w:r w:rsidRPr="00CD30E0">
              <w:rPr>
                <w:rFonts w:ascii="Aptos" w:hAnsi="Aptos" w:eastAsia="Calibri"/>
                <w:sz w:val="22"/>
                <w:szCs w:val="22"/>
                <w:lang w:eastAsia="en-US"/>
              </w:rPr>
              <w:t>pamattiesību</w:t>
            </w:r>
            <w:proofErr w:type="spellEnd"/>
            <w:r w:rsidRPr="00CD30E0">
              <w:rPr>
                <w:rFonts w:ascii="Aptos" w:hAnsi="Aptos" w:eastAsia="Calibri"/>
                <w:sz w:val="22"/>
                <w:szCs w:val="22"/>
                <w:lang w:eastAsia="en-US"/>
              </w:rPr>
              <w:t xml:space="preserve"> ievērošana" darbību īstenošanas izmaksas, tai skaitā  vides un informācijas </w:t>
            </w:r>
            <w:proofErr w:type="spellStart"/>
            <w:r w:rsidRPr="00CD30E0">
              <w:rPr>
                <w:rFonts w:ascii="Aptos" w:hAnsi="Aptos" w:eastAsia="Calibri"/>
                <w:sz w:val="22"/>
                <w:szCs w:val="22"/>
                <w:lang w:eastAsia="en-US"/>
              </w:rPr>
              <w:t>piekļūstamības</w:t>
            </w:r>
            <w:proofErr w:type="spellEnd"/>
            <w:r w:rsidRPr="00CD30E0">
              <w:rPr>
                <w:rFonts w:ascii="Aptos" w:hAnsi="Aptos" w:eastAsia="Calibri"/>
                <w:sz w:val="22"/>
                <w:szCs w:val="22"/>
                <w:lang w:eastAsia="en-US"/>
              </w:rPr>
              <w:t xml:space="preserve"> ekspertu konsultāciju izmaksas</w:t>
            </w:r>
          </w:p>
          <w:p w:rsidRPr="00CD30E0" w:rsidR="00FB4553" w:rsidP="00521EF9" w:rsidRDefault="00FB4553" w14:paraId="0360A8B8" w14:textId="77777777">
            <w:pPr>
              <w:jc w:val="both"/>
              <w:rPr>
                <w:rFonts w:ascii="Aptos" w:hAnsi="Aptos" w:eastAsia="Calibri"/>
                <w:sz w:val="22"/>
                <w:szCs w:val="22"/>
                <w:lang w:eastAsia="en-US"/>
              </w:rPr>
            </w:pPr>
            <w:r w:rsidRPr="00CD30E0">
              <w:rPr>
                <w:rFonts w:ascii="Aptos" w:hAnsi="Aptos" w:eastAsia="Calibri"/>
                <w:i/>
                <w:iCs/>
                <w:color w:val="0000FF"/>
                <w:sz w:val="22"/>
                <w:szCs w:val="22"/>
                <w:lang w:eastAsia="en-US"/>
              </w:rPr>
              <w:t>Atbilstoši MK noteikumu 2</w:t>
            </w:r>
            <w:r>
              <w:rPr>
                <w:rFonts w:ascii="Aptos" w:hAnsi="Aptos" w:eastAsia="Calibri"/>
                <w:i/>
                <w:iCs/>
                <w:color w:val="0000FF"/>
                <w:sz w:val="22"/>
                <w:szCs w:val="22"/>
                <w:lang w:eastAsia="en-US"/>
              </w:rPr>
              <w:t>0</w:t>
            </w:r>
            <w:r w:rsidRPr="00CD30E0">
              <w:rPr>
                <w:rFonts w:ascii="Aptos" w:hAnsi="Aptos" w:eastAsia="Calibri"/>
                <w:i/>
                <w:iCs/>
                <w:color w:val="0000FF"/>
                <w:sz w:val="22"/>
                <w:szCs w:val="22"/>
                <w:lang w:eastAsia="en-US"/>
              </w:rPr>
              <w:t>.15. apakšpunktam</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2E353FA3"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BD70ACF"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13C682B1"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41906B76" w14:textId="77777777">
            <w:pPr>
              <w:jc w:val="right"/>
              <w:rPr>
                <w:rFonts w:ascii="Aptos" w:hAnsi="Aptos" w:eastAsia="Calibri"/>
                <w:sz w:val="20"/>
                <w:szCs w:val="20"/>
                <w:lang w:eastAsia="en-US"/>
              </w:rPr>
            </w:pP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5C775952"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9AA7541" w14:textId="77777777">
            <w:pPr>
              <w:jc w:val="right"/>
              <w:rPr>
                <w:rFonts w:ascii="Aptos" w:hAnsi="Aptos" w:eastAsia="Calibri"/>
                <w:sz w:val="22"/>
                <w:szCs w:val="22"/>
                <w:lang w:eastAsia="en-US"/>
              </w:rPr>
            </w:pPr>
          </w:p>
        </w:tc>
      </w:tr>
      <w:tr w:rsidRPr="00CD30E0" w:rsidR="00FB4553" w:rsidTr="6C15EBC2" w14:paraId="5CF1FBF1" w14:textId="77777777">
        <w:trPr>
          <w:trHeight w:val="300"/>
          <w:jc w:val="center"/>
        </w:trPr>
        <w:tc>
          <w:tcPr>
            <w:tcW w:w="1129" w:type="dxa"/>
            <w:tcBorders>
              <w:top w:val="single" w:color="auto" w:sz="4" w:space="0"/>
              <w:left w:val="single" w:color="auto" w:sz="4" w:space="0"/>
              <w:bottom w:val="single" w:color="auto" w:sz="4" w:space="0"/>
              <w:right w:val="nil"/>
            </w:tcBorders>
            <w:shd w:val="clear" w:color="auto" w:fill="CBEBE3"/>
            <w:vAlign w:val="center"/>
          </w:tcPr>
          <w:p w:rsidRPr="00CD30E0" w:rsidR="00FB4553" w:rsidP="00521EF9" w:rsidRDefault="00FB4553" w14:paraId="6A7A8334" w14:textId="77777777">
            <w:pPr>
              <w:rPr>
                <w:rFonts w:ascii="Aptos" w:hAnsi="Aptos" w:eastAsia="Calibri"/>
                <w:b/>
                <w:bCs/>
                <w:sz w:val="22"/>
                <w:szCs w:val="22"/>
                <w:lang w:eastAsia="en-US"/>
              </w:rPr>
            </w:pPr>
            <w:r w:rsidRPr="00CD30E0">
              <w:rPr>
                <w:rFonts w:ascii="Aptos" w:hAnsi="Aptos" w:eastAsia="Calibri"/>
                <w:b/>
                <w:bCs/>
                <w:sz w:val="22"/>
                <w:szCs w:val="22"/>
                <w:lang w:eastAsia="en-US"/>
              </w:rPr>
              <w:t>15.</w:t>
            </w:r>
          </w:p>
        </w:tc>
        <w:tc>
          <w:tcPr>
            <w:tcW w:w="6096"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7908459E" w14:textId="77777777">
            <w:pPr>
              <w:jc w:val="both"/>
              <w:rPr>
                <w:rFonts w:ascii="Aptos" w:hAnsi="Aptos" w:eastAsia="Calibri"/>
                <w:b/>
                <w:bCs/>
                <w:sz w:val="22"/>
                <w:szCs w:val="22"/>
                <w:lang w:eastAsia="en-US"/>
              </w:rPr>
            </w:pPr>
            <w:r w:rsidRPr="00CD30E0">
              <w:rPr>
                <w:rFonts w:ascii="Aptos" w:hAnsi="Aptos" w:eastAsia="Calibri"/>
                <w:b/>
                <w:bCs/>
                <w:sz w:val="22"/>
                <w:szCs w:val="22"/>
                <w:lang w:eastAsia="en-US"/>
              </w:rPr>
              <w:t>Neparedzēti izdevumi</w:t>
            </w:r>
          </w:p>
          <w:p w:rsidRPr="00CD30E0" w:rsidR="00FB4553" w:rsidP="00521EF9" w:rsidRDefault="00FB4553" w14:paraId="4D63B589" w14:textId="77777777">
            <w:pPr>
              <w:jc w:val="both"/>
              <w:rPr>
                <w:rFonts w:ascii="Aptos" w:hAnsi="Aptos"/>
              </w:rPr>
            </w:pPr>
            <w:r w:rsidRPr="00CD30E0">
              <w:rPr>
                <w:rFonts w:ascii="Aptos" w:hAnsi="Aptos" w:eastAsia="Calibri"/>
                <w:i/>
                <w:iCs/>
                <w:color w:val="0000FF"/>
                <w:sz w:val="22"/>
                <w:szCs w:val="22"/>
                <w:lang w:eastAsia="en-US"/>
              </w:rPr>
              <w:t>Atbilstoši MK noteikumu 2</w:t>
            </w:r>
            <w:r>
              <w:rPr>
                <w:rFonts w:ascii="Aptos" w:hAnsi="Aptos" w:eastAsia="Calibri"/>
                <w:i/>
                <w:iCs/>
                <w:color w:val="0000FF"/>
                <w:sz w:val="22"/>
                <w:szCs w:val="22"/>
                <w:lang w:eastAsia="en-US"/>
              </w:rPr>
              <w:t>0</w:t>
            </w:r>
            <w:r w:rsidRPr="00CD30E0">
              <w:rPr>
                <w:rFonts w:ascii="Aptos" w:hAnsi="Aptos" w:eastAsia="Calibri"/>
                <w:i/>
                <w:iCs/>
                <w:color w:val="0000FF"/>
                <w:sz w:val="22"/>
                <w:szCs w:val="22"/>
                <w:lang w:eastAsia="en-US"/>
              </w:rPr>
              <w:t>.16. apakšpunktam</w:t>
            </w:r>
            <w:r w:rsidRPr="00CD30E0">
              <w:rPr>
                <w:rFonts w:ascii="Aptos" w:hAnsi="Aptos"/>
              </w:rPr>
              <w:t xml:space="preserve"> </w:t>
            </w:r>
          </w:p>
          <w:p w:rsidRPr="00CD30E0" w:rsidR="00FB4553" w:rsidP="00521EF9" w:rsidRDefault="00FB4553" w14:paraId="05381B6B" w14:textId="77777777">
            <w:pPr>
              <w:jc w:val="both"/>
              <w:rPr>
                <w:rFonts w:ascii="Aptos" w:hAnsi="Aptos" w:eastAsia="Calibri"/>
                <w:i/>
                <w:iCs/>
                <w:color w:val="0000FF"/>
                <w:sz w:val="22"/>
                <w:szCs w:val="22"/>
                <w:lang w:eastAsia="en-US"/>
              </w:rPr>
            </w:pPr>
            <w:r w:rsidRPr="00CD30E0">
              <w:rPr>
                <w:rFonts w:ascii="Aptos" w:hAnsi="Aptos" w:eastAsia="Calibri"/>
                <w:i/>
                <w:iCs/>
                <w:color w:val="0000FF"/>
                <w:sz w:val="22"/>
                <w:szCs w:val="22"/>
                <w:lang w:eastAsia="en-US"/>
              </w:rPr>
              <w:t>Neparedzētos izdevumus pirms to veikšanas finansējuma saņēmējs saskaņo ar sadarbības iestādi.</w:t>
            </w:r>
          </w:p>
        </w:tc>
        <w:tc>
          <w:tcPr>
            <w:tcW w:w="992" w:type="dxa"/>
            <w:tcBorders>
              <w:top w:val="single" w:color="auto" w:sz="4" w:space="0"/>
              <w:left w:val="nil"/>
              <w:bottom w:val="single" w:color="auto" w:sz="4" w:space="0"/>
              <w:right w:val="single" w:color="auto" w:sz="4" w:space="0"/>
            </w:tcBorders>
            <w:shd w:val="clear" w:color="auto" w:fill="CBEBE3"/>
          </w:tcPr>
          <w:p w:rsidRPr="00CD30E0" w:rsidR="00FB4553" w:rsidP="00521EF9" w:rsidRDefault="00FB4553" w14:paraId="548098C2" w14:textId="77777777">
            <w:pPr>
              <w:jc w:val="center"/>
              <w:rPr>
                <w:rFonts w:ascii="Aptos" w:hAnsi="Aptos"/>
                <w:sz w:val="22"/>
                <w:szCs w:val="22"/>
              </w:rPr>
            </w:pPr>
            <w:r w:rsidRPr="00CD30E0">
              <w:rPr>
                <w:rFonts w:ascii="Aptos" w:hAnsi="Aptos" w:eastAsia="Calibri"/>
                <w:sz w:val="22"/>
                <w:szCs w:val="22"/>
                <w:lang w:eastAsia="en-US"/>
              </w:rPr>
              <w:t>tiešās</w:t>
            </w: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4712FDA" w14:textId="77777777">
            <w:pPr>
              <w:jc w:val="center"/>
              <w:rPr>
                <w:rFonts w:ascii="Aptos" w:hAnsi="Aptos"/>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545B52E" w14:textId="77777777">
            <w:pPr>
              <w:jc w:val="right"/>
              <w:rPr>
                <w:rFonts w:ascii="Aptos" w:hAnsi="Aptos" w:eastAsia="Calibri"/>
                <w:sz w:val="22"/>
                <w:szCs w:val="22"/>
                <w:lang w:eastAsia="en-US"/>
              </w:rPr>
            </w:pPr>
          </w:p>
        </w:tc>
        <w:tc>
          <w:tcPr>
            <w:tcW w:w="2410" w:type="dxa"/>
            <w:tcBorders>
              <w:top w:val="single" w:color="auto" w:sz="4" w:space="0"/>
              <w:left w:val="single" w:color="auto" w:sz="4" w:space="0"/>
              <w:bottom w:val="single" w:color="auto" w:sz="4" w:space="0"/>
              <w:right w:val="single" w:color="auto" w:sz="4" w:space="0"/>
            </w:tcBorders>
            <w:shd w:val="clear" w:color="auto" w:fill="CBEBE3"/>
            <w:vAlign w:val="center"/>
          </w:tcPr>
          <w:p w:rsidRPr="00CD30E0" w:rsidR="00FB4553" w:rsidP="00521EF9" w:rsidRDefault="00FB4553" w14:paraId="3E4490A2" w14:textId="77777777">
            <w:pPr>
              <w:jc w:val="center"/>
              <w:rPr>
                <w:rFonts w:ascii="Aptos" w:hAnsi="Aptos" w:eastAsia="Calibri"/>
                <w:sz w:val="20"/>
                <w:szCs w:val="20"/>
                <w:lang w:eastAsia="en-US"/>
              </w:rPr>
            </w:pPr>
          </w:p>
          <w:p w:rsidRPr="00CD30E0" w:rsidR="00FB4553" w:rsidP="00521EF9" w:rsidRDefault="00FB4553" w14:paraId="676D7868" w14:textId="77777777">
            <w:pPr>
              <w:jc w:val="center"/>
              <w:rPr>
                <w:rFonts w:ascii="Aptos" w:hAnsi="Aptos" w:eastAsia="Calibri"/>
                <w:sz w:val="20"/>
                <w:szCs w:val="20"/>
                <w:lang w:eastAsia="en-US"/>
              </w:rPr>
            </w:pPr>
            <w:r w:rsidRPr="00CD30E0">
              <w:rPr>
                <w:rFonts w:ascii="Aptos" w:hAnsi="Aptos" w:eastAsia="Calibri"/>
                <w:sz w:val="20"/>
                <w:szCs w:val="20"/>
                <w:lang w:eastAsia="en-US"/>
              </w:rPr>
              <w:t>Līdz 5% no projekta kopējām attiecināmajām izmaksām</w:t>
            </w:r>
          </w:p>
        </w:tc>
        <w:tc>
          <w:tcPr>
            <w:tcW w:w="708"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6DB11AA6" w14:textId="77777777">
            <w:pPr>
              <w:jc w:val="right"/>
              <w:rPr>
                <w:rFonts w:ascii="Aptos" w:hAnsi="Aptos" w:eastAsia="Calibri"/>
                <w:sz w:val="22"/>
                <w:szCs w:val="22"/>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CBEBE3"/>
          </w:tcPr>
          <w:p w:rsidRPr="00CD30E0" w:rsidR="00FB4553" w:rsidP="00521EF9" w:rsidRDefault="00FB4553" w14:paraId="3E584F96" w14:textId="77777777">
            <w:pPr>
              <w:jc w:val="right"/>
              <w:rPr>
                <w:rFonts w:ascii="Aptos" w:hAnsi="Aptos" w:eastAsia="Calibri"/>
                <w:sz w:val="22"/>
                <w:szCs w:val="22"/>
                <w:lang w:eastAsia="en-US"/>
              </w:rPr>
            </w:pPr>
          </w:p>
        </w:tc>
      </w:tr>
    </w:tbl>
    <w:p w:rsidRPr="00CD30E0" w:rsidR="00FB4553" w:rsidP="00FB4553" w:rsidRDefault="00FB4553" w14:paraId="4A5B2D35" w14:textId="77777777">
      <w:pPr>
        <w:rPr>
          <w:rFonts w:ascii="Aptos" w:hAnsi="Aptos" w:eastAsia="Times New Roman"/>
          <w:b/>
          <w:bCs/>
          <w:sz w:val="28"/>
          <w:szCs w:val="28"/>
        </w:rPr>
      </w:pPr>
    </w:p>
    <w:p w:rsidRPr="00CD30E0" w:rsidR="00FB4553" w:rsidP="6C15EBC2" w:rsidRDefault="00FB4553" w14:paraId="26E2303C" w14:textId="13C38029">
      <w:pPr>
        <w:jc w:val="both"/>
        <w:rPr>
          <w:rFonts w:ascii="Aptos" w:hAnsi="Aptos"/>
          <w:i/>
          <w:iCs/>
          <w:color w:val="0000FF"/>
        </w:rPr>
      </w:pPr>
      <w:r w:rsidRPr="6C15EBC2">
        <w:rPr>
          <w:rFonts w:ascii="Aptos" w:hAnsi="Aptos"/>
          <w:i/>
          <w:iCs/>
          <w:color w:val="0000FF"/>
        </w:rPr>
        <w:lastRenderedPageBreak/>
        <w:t>Šajā sadaļā izmaksu pozīcijas ir norādītas atbilstoši MK noteikumu</w:t>
      </w:r>
      <w:r w:rsidRPr="6C15EBC2">
        <w:rPr>
          <w:rStyle w:val="FootnoteReference"/>
          <w:rFonts w:ascii="Aptos" w:hAnsi="Aptos"/>
          <w:i/>
          <w:iCs/>
          <w:color w:val="0000FF"/>
        </w:rPr>
        <w:footnoteReference w:id="2"/>
      </w:r>
      <w:r w:rsidRPr="6C15EBC2">
        <w:rPr>
          <w:rFonts w:ascii="Aptos" w:hAnsi="Aptos"/>
          <w:i/>
          <w:iCs/>
          <w:color w:val="0000FF"/>
        </w:rPr>
        <w:t xml:space="preserve"> 20.</w:t>
      </w:r>
      <w:r w:rsidR="002251E0">
        <w:rPr>
          <w:rFonts w:ascii="Aptos" w:hAnsi="Aptos"/>
          <w:i/>
          <w:iCs/>
          <w:color w:val="0000FF"/>
        </w:rPr>
        <w:t xml:space="preserve"> un 22.</w:t>
      </w:r>
      <w:r w:rsidRPr="6C15EBC2">
        <w:rPr>
          <w:rFonts w:ascii="Aptos" w:hAnsi="Aptos"/>
          <w:i/>
          <w:iCs/>
          <w:color w:val="0000FF"/>
        </w:rPr>
        <w:t xml:space="preserve"> punkt</w:t>
      </w:r>
      <w:r w:rsidR="006D4A0B">
        <w:rPr>
          <w:rFonts w:ascii="Aptos" w:hAnsi="Aptos"/>
          <w:i/>
          <w:iCs/>
          <w:color w:val="0000FF"/>
        </w:rPr>
        <w:t>os</w:t>
      </w:r>
      <w:r w:rsidRPr="6C15EBC2">
        <w:rPr>
          <w:rFonts w:ascii="Aptos" w:hAnsi="Aptos"/>
          <w:i/>
          <w:iCs/>
          <w:color w:val="0000FF"/>
        </w:rPr>
        <w:t xml:space="preserve"> noteiktajām attiecināmajām izmaksām.</w:t>
      </w:r>
    </w:p>
    <w:p w:rsidRPr="00CD30E0" w:rsidR="00FB4553" w:rsidP="00FB4553" w:rsidRDefault="00FB4553" w14:paraId="4E612970" w14:textId="77777777">
      <w:pPr>
        <w:rPr>
          <w:rFonts w:ascii="Aptos" w:hAnsi="Aptos"/>
          <w:i/>
          <w:iCs/>
          <w:color w:val="0000FF"/>
        </w:rPr>
      </w:pPr>
    </w:p>
    <w:p w:rsidRPr="00CD30E0" w:rsidR="00FB4553" w:rsidP="00FB4553" w:rsidRDefault="00FB4553" w14:paraId="007F9E02" w14:textId="77777777">
      <w:pPr>
        <w:rPr>
          <w:rFonts w:ascii="Aptos" w:hAnsi="Aptos"/>
          <w:i/>
          <w:iCs/>
          <w:color w:val="0000FF"/>
        </w:rPr>
      </w:pPr>
      <w:r w:rsidRPr="00CD30E0">
        <w:rPr>
          <w:rFonts w:ascii="Aptos" w:hAnsi="Aptos"/>
          <w:i/>
          <w:iCs/>
          <w:color w:val="0000FF"/>
        </w:rPr>
        <w:t>Plānojot attiecināmās izmaksas, jāņem vērā MK noteikumos noteiktās izmaksu pozīcijas, to piemērošanas un apmēra ierobežojumi, kā arī:</w:t>
      </w:r>
    </w:p>
    <w:p w:rsidRPr="00CD30E0" w:rsidR="00FB4553" w:rsidP="00FB4553" w:rsidRDefault="00FB4553" w14:paraId="3ADD70EB" w14:textId="77777777">
      <w:pPr>
        <w:numPr>
          <w:ilvl w:val="0"/>
          <w:numId w:val="1"/>
        </w:numPr>
        <w:jc w:val="both"/>
        <w:rPr>
          <w:rFonts w:ascii="Aptos" w:hAnsi="Aptos"/>
          <w:i/>
          <w:iCs/>
          <w:color w:val="0000FF"/>
        </w:rPr>
      </w:pPr>
      <w:r w:rsidRPr="00CD30E0">
        <w:rPr>
          <w:rFonts w:ascii="Aptos" w:hAnsi="Aptos"/>
          <w:i/>
          <w:iCs/>
          <w:color w:val="0000FF"/>
        </w:rPr>
        <w:t>“Vadlīnijas attiecināmo izmaksu noteikšanai Eiropas Savienības kohēzijas politikas programmas 2021. – 2027. gada plānošanas periodā”</w:t>
      </w:r>
      <w:r w:rsidRPr="00CD30E0">
        <w:rPr>
          <w:rStyle w:val="FootnoteReference"/>
          <w:rFonts w:ascii="Aptos" w:hAnsi="Aptos"/>
          <w:i/>
          <w:iCs/>
          <w:color w:val="0000FF"/>
        </w:rPr>
        <w:footnoteReference w:id="3"/>
      </w:r>
      <w:r w:rsidRPr="00CD30E0">
        <w:rPr>
          <w:rFonts w:ascii="Aptos" w:hAnsi="Aptos"/>
          <w:i/>
          <w:iCs/>
          <w:color w:val="0000FF"/>
        </w:rPr>
        <w:t>;</w:t>
      </w:r>
    </w:p>
    <w:p w:rsidRPr="00CD30E0" w:rsidR="00FB4553" w:rsidP="00FB4553" w:rsidRDefault="00FB4553" w14:paraId="5C41B812" w14:textId="77777777">
      <w:pPr>
        <w:numPr>
          <w:ilvl w:val="0"/>
          <w:numId w:val="1"/>
        </w:numPr>
        <w:jc w:val="both"/>
        <w:rPr>
          <w:rStyle w:val="Hyperlink"/>
          <w:rFonts w:ascii="Aptos" w:hAnsi="Aptos"/>
          <w:i/>
          <w:iCs/>
        </w:rPr>
      </w:pPr>
      <w:r w:rsidRPr="00CD30E0">
        <w:rPr>
          <w:rFonts w:ascii="Aptos" w:hAnsi="Aptos"/>
          <w:i/>
          <w:iCs/>
          <w:color w:val="0000FF"/>
        </w:rPr>
        <w:t>“Vadlīnijas par vienkāršoto izmaksu izmantošanas iespējām un to piemērošana Eiropas Savienības kohēzijas politikas programmas 2021. – 2027. gadam ietvaros”</w:t>
      </w:r>
      <w:r w:rsidRPr="00CD30E0">
        <w:rPr>
          <w:rStyle w:val="FootnoteReference"/>
          <w:rFonts w:ascii="Aptos" w:hAnsi="Aptos"/>
          <w:i/>
          <w:iCs/>
          <w:color w:val="0000FF"/>
        </w:rPr>
        <w:footnoteReference w:id="4"/>
      </w:r>
      <w:r w:rsidRPr="00CD30E0">
        <w:rPr>
          <w:rStyle w:val="Hyperlink"/>
          <w:rFonts w:ascii="Aptos" w:hAnsi="Aptos"/>
          <w:i/>
          <w:iCs/>
        </w:rPr>
        <w:t>.</w:t>
      </w:r>
    </w:p>
    <w:p w:rsidRPr="00CD30E0" w:rsidR="00FB4553" w:rsidP="00FB4553" w:rsidRDefault="00FB4553" w14:paraId="603F6187" w14:textId="77777777">
      <w:pPr>
        <w:rPr>
          <w:rFonts w:ascii="Aptos" w:hAnsi="Aptos"/>
          <w:noProof/>
          <w:highlight w:val="yellow"/>
        </w:rPr>
      </w:pPr>
    </w:p>
    <w:p w:rsidRPr="00CD30E0" w:rsidR="00FB4553" w:rsidP="00FB4553" w:rsidRDefault="00FB4553" w14:paraId="7A8D73D2" w14:textId="77777777">
      <w:pPr>
        <w:jc w:val="both"/>
        <w:rPr>
          <w:rFonts w:ascii="Aptos" w:hAnsi="Aptos"/>
          <w:b/>
          <w:bCs/>
          <w:i/>
          <w:iCs/>
          <w:color w:val="0000FF"/>
        </w:rPr>
      </w:pPr>
      <w:r w:rsidRPr="00CD30E0">
        <w:rPr>
          <w:rFonts w:ascii="Aptos" w:hAnsi="Aptos"/>
          <w:b/>
          <w:bCs/>
          <w:i/>
          <w:iCs/>
          <w:color w:val="0000FF"/>
        </w:rPr>
        <w:t>! Atbilstoši MK noteikumu 1</w:t>
      </w:r>
      <w:r>
        <w:rPr>
          <w:rFonts w:ascii="Aptos" w:hAnsi="Aptos"/>
          <w:b/>
          <w:bCs/>
          <w:i/>
          <w:iCs/>
          <w:color w:val="0000FF"/>
        </w:rPr>
        <w:t>4</w:t>
      </w:r>
      <w:r w:rsidRPr="00CD30E0">
        <w:rPr>
          <w:rFonts w:ascii="Aptos" w:hAnsi="Aptos"/>
          <w:b/>
          <w:bCs/>
          <w:i/>
          <w:iCs/>
          <w:color w:val="0000FF"/>
        </w:rPr>
        <w:t xml:space="preserve">. punktam, viena projekta iesnieguma minimālais kopējo attiecināmo izmaksu apmērs nav mazāks kā 200 000 </w:t>
      </w:r>
      <w:proofErr w:type="spellStart"/>
      <w:r w:rsidRPr="00CD30E0">
        <w:rPr>
          <w:rFonts w:ascii="Aptos" w:hAnsi="Aptos"/>
          <w:b/>
          <w:bCs/>
          <w:i/>
          <w:iCs/>
          <w:color w:val="0000FF"/>
        </w:rPr>
        <w:t>euro</w:t>
      </w:r>
      <w:proofErr w:type="spellEnd"/>
      <w:r w:rsidRPr="00CD30E0">
        <w:rPr>
          <w:rFonts w:ascii="Aptos" w:hAnsi="Aptos"/>
          <w:b/>
          <w:bCs/>
          <w:i/>
          <w:iCs/>
          <w:color w:val="0000FF"/>
        </w:rPr>
        <w:t xml:space="preserve"> (ieskaitot).</w:t>
      </w:r>
    </w:p>
    <w:p w:rsidR="00FB4553" w:rsidP="6C15EBC2" w:rsidRDefault="00FB4553" w14:paraId="1FA14231" w14:textId="4E185D04">
      <w:pPr>
        <w:jc w:val="both"/>
        <w:rPr>
          <w:rFonts w:ascii="Aptos" w:hAnsi="Aptos"/>
          <w:b/>
          <w:bCs/>
          <w:i/>
          <w:iCs/>
          <w:color w:val="0000FF"/>
        </w:rPr>
      </w:pPr>
      <w:r w:rsidRPr="6C15EBC2">
        <w:rPr>
          <w:rFonts w:ascii="Aptos" w:hAnsi="Aptos"/>
          <w:b/>
          <w:bCs/>
          <w:i/>
          <w:iCs/>
          <w:color w:val="0000FF"/>
        </w:rPr>
        <w:t>! Projekta kopējās attiecināmās izmaksas nepārsniedz MK noteikumu 12.punktā  pašvaldībai noteikto apmēru.</w:t>
      </w:r>
    </w:p>
    <w:p w:rsidRPr="00CD30E0" w:rsidR="00FB4553" w:rsidP="00FB4553" w:rsidRDefault="00FB4553" w14:paraId="087511DE" w14:textId="77777777">
      <w:pPr>
        <w:spacing w:before="60" w:after="60"/>
        <w:jc w:val="both"/>
        <w:rPr>
          <w:rFonts w:ascii="Aptos" w:hAnsi="Aptos"/>
          <w:b/>
          <w:bCs/>
          <w:i/>
          <w:iCs/>
          <w:color w:val="0000FF"/>
        </w:rPr>
      </w:pPr>
    </w:p>
    <w:p w:rsidRPr="00CD30E0" w:rsidR="00FB4553" w:rsidP="00FB4553" w:rsidRDefault="00FB4553" w14:paraId="0E3B30BE" w14:textId="77777777">
      <w:pPr>
        <w:spacing w:before="60" w:after="60"/>
        <w:jc w:val="both"/>
        <w:rPr>
          <w:rFonts w:ascii="Aptos" w:hAnsi="Aptos"/>
          <w:i/>
          <w:iCs/>
          <w:color w:val="0000FF"/>
        </w:rPr>
      </w:pPr>
      <w:r w:rsidRPr="00CD30E0">
        <w:rPr>
          <w:rFonts w:ascii="Aptos" w:hAnsi="Aptos"/>
          <w:b/>
          <w:bCs/>
          <w:i/>
          <w:iCs/>
          <w:color w:val="0000FF"/>
        </w:rPr>
        <w:t>Šajā sadaļā projekta iesniedzējs</w:t>
      </w:r>
      <w:r w:rsidRPr="00CD30E0">
        <w:rPr>
          <w:rFonts w:ascii="Aptos" w:hAnsi="Aptos"/>
          <w:i/>
          <w:iCs/>
          <w:color w:val="0000FF"/>
        </w:rPr>
        <w:t>:</w:t>
      </w:r>
    </w:p>
    <w:p w:rsidRPr="00CD30E0" w:rsidR="00FB4553" w:rsidP="00FB4553" w:rsidRDefault="00FB4553" w14:paraId="0FC99A41" w14:textId="77777777">
      <w:pPr>
        <w:numPr>
          <w:ilvl w:val="0"/>
          <w:numId w:val="3"/>
        </w:numPr>
        <w:spacing w:before="60" w:after="60" w:line="259" w:lineRule="auto"/>
        <w:contextualSpacing/>
        <w:jc w:val="both"/>
        <w:rPr>
          <w:rFonts w:ascii="Aptos" w:hAnsi="Aptos" w:eastAsia="Calibri"/>
          <w:i/>
          <w:color w:val="0000FF"/>
          <w:lang w:eastAsia="en-US"/>
        </w:rPr>
      </w:pPr>
      <w:r w:rsidRPr="00CD30E0">
        <w:rPr>
          <w:rFonts w:ascii="Aptos" w:hAnsi="Aptos" w:eastAsia="Calibri"/>
          <w:b/>
          <w:bCs/>
          <w:i/>
          <w:color w:val="0000FF"/>
          <w:lang w:eastAsia="en-US"/>
        </w:rPr>
        <w:t>iekļauj tikai tās izmaksas, kuras paredzēts segt no projekta finansējuma, tas ir, no ERAF un pašvaldības budžeta līdzfinansējuma,</w:t>
      </w:r>
      <w:r w:rsidRPr="00CD30E0">
        <w:rPr>
          <w:rFonts w:ascii="Aptos" w:hAnsi="Aptos" w:eastAsia="Calibri"/>
          <w:i/>
          <w:color w:val="0000FF"/>
          <w:lang w:eastAsia="en-US"/>
        </w:rPr>
        <w:t xml:space="preserve"> un kuru </w:t>
      </w:r>
      <w:r w:rsidRPr="00CD30E0">
        <w:rPr>
          <w:rFonts w:ascii="Aptos" w:hAnsi="Aptos"/>
          <w:i/>
          <w:iCs/>
          <w:color w:val="0000FF"/>
        </w:rPr>
        <w:t>lietderība un plānotais izmaksu apmērs ir pamatots (sadaļā “Darbības” un pievienotajos izmaksu apmēru pamatojošos dokumentos)</w:t>
      </w:r>
      <w:r w:rsidRPr="00CD30E0">
        <w:rPr>
          <w:rFonts w:ascii="Aptos" w:hAnsi="Aptos" w:eastAsia="Calibri"/>
          <w:i/>
          <w:color w:val="0000FF"/>
          <w:lang w:eastAsia="en-US"/>
        </w:rPr>
        <w:t>;</w:t>
      </w:r>
    </w:p>
    <w:p w:rsidRPr="00CD30E0" w:rsidR="00FB4553" w:rsidP="00FB4553" w:rsidRDefault="00FB4553" w14:paraId="442F700D" w14:textId="77777777">
      <w:pPr>
        <w:numPr>
          <w:ilvl w:val="0"/>
          <w:numId w:val="3"/>
        </w:numPr>
        <w:spacing w:before="60" w:after="60" w:line="259" w:lineRule="auto"/>
        <w:contextualSpacing/>
        <w:jc w:val="both"/>
        <w:rPr>
          <w:rFonts w:ascii="Aptos" w:hAnsi="Aptos" w:eastAsia="Calibri"/>
          <w:i/>
          <w:color w:val="0000FF"/>
          <w:lang w:eastAsia="en-US"/>
        </w:rPr>
      </w:pPr>
      <w:r w:rsidRPr="00CD30E0">
        <w:rPr>
          <w:rFonts w:ascii="Aptos" w:hAnsi="Aptos" w:eastAsia="Calibri"/>
          <w:i/>
          <w:color w:val="0000FF"/>
          <w:lang w:eastAsia="en-US"/>
        </w:rPr>
        <w:t xml:space="preserve">definētajām izmaksu pozīcijām, </w:t>
      </w:r>
      <w:r w:rsidRPr="00CD30E0">
        <w:rPr>
          <w:rFonts w:ascii="Aptos" w:hAnsi="Aptos" w:eastAsia="Calibri"/>
          <w:i/>
          <w:color w:val="0000FF"/>
          <w:u w:val="single"/>
          <w:lang w:eastAsia="en-US"/>
        </w:rPr>
        <w:t xml:space="preserve">izmantojot pirms budžeta pozīcijas koda esošo simbolu </w:t>
      </w:r>
      <w:r w:rsidRPr="00CD30E0">
        <w:rPr>
          <w:rFonts w:ascii="Aptos" w:hAnsi="Aptos" w:eastAsia="Calibri"/>
          <w:noProof/>
          <w:sz w:val="22"/>
          <w:szCs w:val="22"/>
          <w:lang w:eastAsia="en-US"/>
        </w:rPr>
        <w:drawing>
          <wp:inline distT="0" distB="0" distL="0" distR="0" wp14:anchorId="303D1BB3" wp14:editId="335C6CCF">
            <wp:extent cx="145473" cy="138546"/>
            <wp:effectExtent l="0" t="0" r="6985" b="0"/>
            <wp:docPr id="1380498984" name="Picture 138049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 t="1" r="21259" b="13761"/>
                    <a:stretch/>
                  </pic:blipFill>
                  <pic:spPr bwMode="auto">
                    <a:xfrm>
                      <a:off x="0" y="0"/>
                      <a:ext cx="148406" cy="141339"/>
                    </a:xfrm>
                    <a:prstGeom prst="rect">
                      <a:avLst/>
                    </a:prstGeom>
                    <a:ln>
                      <a:noFill/>
                    </a:ln>
                    <a:extLst>
                      <a:ext uri="{53640926-AAD7-44D8-BBD7-CCE9431645EC}">
                        <a14:shadowObscured xmlns:a14="http://schemas.microsoft.com/office/drawing/2010/main"/>
                      </a:ext>
                    </a:extLst>
                  </pic:spPr>
                </pic:pic>
              </a:graphicData>
            </a:graphic>
          </wp:inline>
        </w:drawing>
      </w:r>
      <w:r w:rsidRPr="00CD30E0">
        <w:rPr>
          <w:rFonts w:ascii="Aptos" w:hAnsi="Aptos" w:eastAsia="Calibri"/>
          <w:i/>
          <w:color w:val="0000FF"/>
          <w:u w:val="single"/>
          <w:lang w:eastAsia="en-US"/>
        </w:rPr>
        <w:t xml:space="preserve">, var izveidot zemāka līmeņa izmaksu </w:t>
      </w:r>
      <w:proofErr w:type="spellStart"/>
      <w:r w:rsidRPr="00CD30E0">
        <w:rPr>
          <w:rFonts w:ascii="Aptos" w:hAnsi="Aptos" w:eastAsia="Calibri"/>
          <w:i/>
          <w:color w:val="0000FF"/>
          <w:u w:val="single"/>
          <w:lang w:eastAsia="en-US"/>
        </w:rPr>
        <w:t>apakšpozīcijas</w:t>
      </w:r>
      <w:proofErr w:type="spellEnd"/>
      <w:r w:rsidRPr="00CD30E0">
        <w:rPr>
          <w:rFonts w:ascii="Aptos" w:hAnsi="Aptos" w:eastAsia="Calibri"/>
          <w:i/>
          <w:color w:val="0000FF"/>
          <w:lang w:eastAsia="en-US"/>
        </w:rPr>
        <w:t xml:space="preserve"> detalizētākai izmaksu pozīciju atspoguļošanai. Ja tiek veidotas zemāka līmeņa izmaksu pozīcijas, tad: </w:t>
      </w:r>
    </w:p>
    <w:p w:rsidRPr="00CD30E0" w:rsidR="00FB4553" w:rsidP="00FB4553" w:rsidRDefault="00FB4553" w14:paraId="6AEA84A7" w14:textId="77777777">
      <w:pPr>
        <w:numPr>
          <w:ilvl w:val="1"/>
          <w:numId w:val="2"/>
        </w:numPr>
        <w:spacing w:before="60" w:after="60" w:line="259" w:lineRule="auto"/>
        <w:contextualSpacing/>
        <w:jc w:val="both"/>
        <w:rPr>
          <w:rFonts w:ascii="Aptos" w:hAnsi="Aptos" w:eastAsia="Calibri"/>
          <w:i/>
          <w:color w:val="0000FF"/>
          <w:lang w:eastAsia="en-US"/>
        </w:rPr>
      </w:pPr>
      <w:r w:rsidRPr="00CD30E0">
        <w:rPr>
          <w:rFonts w:ascii="Aptos" w:hAnsi="Aptos" w:eastAsia="Calibri"/>
          <w:i/>
          <w:color w:val="0000FF"/>
          <w:u w:val="single"/>
          <w:lang w:eastAsia="en-US"/>
        </w:rPr>
        <w:t>kolonnā “Nosaukums”</w:t>
      </w:r>
      <w:r w:rsidRPr="00CD30E0">
        <w:rPr>
          <w:rFonts w:ascii="Aptos" w:hAnsi="Aptos" w:eastAsia="Calibri"/>
          <w:i/>
          <w:color w:val="0000FF"/>
          <w:lang w:eastAsia="en-US"/>
        </w:rPr>
        <w:t xml:space="preserve"> attiecīgajai izmaksu pozīcijai definē nosaukumu, kas raksturo iekļautās izmaksas;</w:t>
      </w:r>
    </w:p>
    <w:p w:rsidRPr="00CD30E0" w:rsidR="00FB4553" w:rsidP="00FB4553" w:rsidRDefault="00FB4553" w14:paraId="41EFE404" w14:textId="77777777">
      <w:pPr>
        <w:numPr>
          <w:ilvl w:val="1"/>
          <w:numId w:val="2"/>
        </w:numPr>
        <w:spacing w:before="60" w:after="60" w:line="259" w:lineRule="auto"/>
        <w:contextualSpacing/>
        <w:jc w:val="both"/>
        <w:rPr>
          <w:rFonts w:ascii="Aptos" w:hAnsi="Aptos" w:eastAsia="Calibri"/>
          <w:i/>
          <w:color w:val="0000FF"/>
          <w:lang w:eastAsia="en-US"/>
        </w:rPr>
      </w:pPr>
      <w:r w:rsidRPr="00CD30E0">
        <w:rPr>
          <w:rFonts w:ascii="Aptos" w:hAnsi="Aptos" w:eastAsia="Calibri"/>
          <w:i/>
          <w:iCs/>
          <w:color w:val="0000FF"/>
          <w:u w:val="single"/>
          <w:lang w:eastAsia="en-US"/>
        </w:rPr>
        <w:t>kolonna “Izmaksu veids”</w:t>
      </w:r>
      <w:r w:rsidRPr="00CD30E0">
        <w:rPr>
          <w:rFonts w:ascii="Aptos" w:hAnsi="Aptos" w:eastAsia="Calibri"/>
          <w:i/>
          <w:iCs/>
          <w:color w:val="0000FF"/>
          <w:lang w:eastAsia="en-US"/>
        </w:rPr>
        <w:t xml:space="preserve"> tiks aizpildīta automātiski;</w:t>
      </w:r>
    </w:p>
    <w:p w:rsidRPr="00CD30E0" w:rsidR="00FB4553" w:rsidP="00FB4553" w:rsidRDefault="00FB4553" w14:paraId="2B0B5648" w14:textId="77777777">
      <w:pPr>
        <w:numPr>
          <w:ilvl w:val="0"/>
          <w:numId w:val="4"/>
        </w:numPr>
        <w:spacing w:before="60" w:after="60" w:line="259" w:lineRule="auto"/>
        <w:contextualSpacing/>
        <w:jc w:val="both"/>
        <w:rPr>
          <w:rFonts w:ascii="Aptos" w:hAnsi="Aptos" w:eastAsia="Calibri"/>
          <w:i/>
          <w:color w:val="0000FF"/>
          <w:lang w:eastAsia="en-US"/>
        </w:rPr>
      </w:pPr>
      <w:r w:rsidRPr="00CD30E0">
        <w:rPr>
          <w:rFonts w:ascii="Aptos" w:hAnsi="Aptos" w:eastAsia="Calibri"/>
          <w:i/>
          <w:color w:val="0000FF"/>
          <w:u w:val="single"/>
          <w:lang w:eastAsia="en-US"/>
        </w:rPr>
        <w:lastRenderedPageBreak/>
        <w:t>kolonnā “Projekta darbības Nr.”</w:t>
      </w:r>
      <w:r w:rsidRPr="00CD30E0">
        <w:rPr>
          <w:rFonts w:ascii="Aptos" w:hAnsi="Aptos" w:eastAsia="Calibri"/>
          <w:i/>
          <w:color w:val="0000FF"/>
          <w:lang w:eastAsia="en-US"/>
        </w:rPr>
        <w:t xml:space="preserve"> izvēlas un norāda atsauci uz projekta darbību vai </w:t>
      </w:r>
      <w:proofErr w:type="spellStart"/>
      <w:r w:rsidRPr="00CD30E0">
        <w:rPr>
          <w:rFonts w:ascii="Aptos" w:hAnsi="Aptos" w:eastAsia="Calibri"/>
          <w:i/>
          <w:color w:val="0000FF"/>
          <w:lang w:eastAsia="en-US"/>
        </w:rPr>
        <w:t>apakšdarbību</w:t>
      </w:r>
      <w:proofErr w:type="spellEnd"/>
      <w:r w:rsidRPr="00CD30E0">
        <w:rPr>
          <w:rFonts w:ascii="Aptos" w:hAnsi="Aptos" w:eastAsia="Calibri"/>
          <w:i/>
          <w:color w:val="0000FF"/>
          <w:lang w:eastAsia="en-US"/>
        </w:rPr>
        <w:t xml:space="preserve">, uz kuru šīs izmaksas attiecināmas, nodrošinot, ka izmaksas loģiski </w:t>
      </w:r>
      <w:r w:rsidRPr="00CD30E0">
        <w:rPr>
          <w:rFonts w:ascii="Aptos" w:hAnsi="Aptos"/>
          <w:i/>
          <w:iCs/>
          <w:color w:val="0000FF"/>
        </w:rPr>
        <w:t>izriet no projekta darbībām</w:t>
      </w:r>
      <w:r w:rsidRPr="00CD30E0">
        <w:rPr>
          <w:rFonts w:ascii="Aptos" w:hAnsi="Aptos" w:eastAsia="Calibri"/>
          <w:i/>
          <w:color w:val="0000FF"/>
          <w:lang w:eastAsia="en-US"/>
        </w:rPr>
        <w:t xml:space="preserve">. Ja izmaksas attiecināmas uz vairākām projekta darbībām vai </w:t>
      </w:r>
      <w:proofErr w:type="spellStart"/>
      <w:r w:rsidRPr="00CD30E0">
        <w:rPr>
          <w:rFonts w:ascii="Aptos" w:hAnsi="Aptos" w:eastAsia="Calibri"/>
          <w:i/>
          <w:color w:val="0000FF"/>
          <w:lang w:eastAsia="en-US"/>
        </w:rPr>
        <w:t>apakšdarbībām</w:t>
      </w:r>
      <w:proofErr w:type="spellEnd"/>
      <w:r w:rsidRPr="00CD30E0">
        <w:rPr>
          <w:rFonts w:ascii="Aptos" w:hAnsi="Aptos" w:eastAsia="Calibri"/>
          <w:i/>
          <w:color w:val="0000FF"/>
          <w:lang w:eastAsia="en-US"/>
        </w:rPr>
        <w:t>, tad norāda visas;</w:t>
      </w:r>
    </w:p>
    <w:p w:rsidRPr="00CD30E0" w:rsidR="00FB4553" w:rsidP="00FB4553" w:rsidRDefault="00FB4553" w14:paraId="6CF9C00D" w14:textId="77777777">
      <w:pPr>
        <w:numPr>
          <w:ilvl w:val="0"/>
          <w:numId w:val="4"/>
        </w:numPr>
        <w:spacing w:before="60" w:after="60" w:line="259" w:lineRule="auto"/>
        <w:contextualSpacing/>
        <w:jc w:val="both"/>
        <w:rPr>
          <w:rFonts w:ascii="Aptos" w:hAnsi="Aptos" w:eastAsia="Calibri"/>
          <w:i/>
          <w:color w:val="0000FF"/>
          <w:lang w:eastAsia="en-US"/>
        </w:rPr>
      </w:pPr>
      <w:r w:rsidRPr="00CD30E0">
        <w:rPr>
          <w:rFonts w:ascii="Aptos" w:hAnsi="Aptos" w:eastAsia="Calibri"/>
          <w:i/>
          <w:color w:val="0000FF"/>
          <w:u w:val="single"/>
          <w:lang w:eastAsia="en-US"/>
        </w:rPr>
        <w:t>kolonnā “Attiecināmās izmaksas”</w:t>
      </w:r>
      <w:r w:rsidRPr="00CD30E0">
        <w:rPr>
          <w:rFonts w:ascii="Aptos" w:hAnsi="Aptos" w:eastAsia="Calibri"/>
          <w:i/>
          <w:color w:val="0000FF"/>
          <w:lang w:eastAsia="en-US"/>
        </w:rPr>
        <w:t xml:space="preserve"> norāda attiecīgās izmaksas </w:t>
      </w:r>
      <w:proofErr w:type="spellStart"/>
      <w:r w:rsidRPr="00CD30E0">
        <w:rPr>
          <w:rFonts w:ascii="Aptos" w:hAnsi="Aptos" w:eastAsia="Calibri"/>
          <w:i/>
          <w:color w:val="0000FF"/>
          <w:lang w:eastAsia="en-US"/>
        </w:rPr>
        <w:t>euro</w:t>
      </w:r>
      <w:proofErr w:type="spellEnd"/>
      <w:r w:rsidRPr="00CD30E0">
        <w:rPr>
          <w:rFonts w:ascii="Aptos" w:hAnsi="Aptos" w:eastAsia="Calibri"/>
          <w:i/>
          <w:color w:val="0000FF"/>
          <w:lang w:eastAsia="en-US"/>
        </w:rPr>
        <w:t xml:space="preserve"> ar diviem cipariem aiz komata. </w:t>
      </w:r>
    </w:p>
    <w:p w:rsidRPr="00CD30E0" w:rsidR="00FB4553" w:rsidP="00FB4553" w:rsidRDefault="00FB4553" w14:paraId="44499FE5" w14:textId="77777777">
      <w:pPr>
        <w:numPr>
          <w:ilvl w:val="0"/>
          <w:numId w:val="5"/>
        </w:numPr>
        <w:spacing w:before="60" w:after="60" w:line="259" w:lineRule="auto"/>
        <w:contextualSpacing/>
        <w:jc w:val="both"/>
        <w:rPr>
          <w:rFonts w:ascii="Aptos" w:hAnsi="Aptos" w:eastAsia="Calibri"/>
          <w:i/>
          <w:iCs/>
          <w:color w:val="0000FF"/>
          <w:lang w:eastAsia="en-US"/>
        </w:rPr>
      </w:pPr>
      <w:r w:rsidRPr="00CD30E0">
        <w:rPr>
          <w:rFonts w:ascii="Aptos" w:hAnsi="Aptos" w:eastAsia="Calibri"/>
          <w:i/>
          <w:iCs/>
          <w:color w:val="0000FF"/>
          <w:u w:val="single"/>
          <w:lang w:eastAsia="en-US"/>
        </w:rPr>
        <w:t>kolonnā “t.sk. PVN”</w:t>
      </w:r>
      <w:r w:rsidRPr="00CD30E0">
        <w:rPr>
          <w:rFonts w:ascii="Aptos" w:hAnsi="Aptos" w:eastAsia="Calibri"/>
          <w:i/>
          <w:iCs/>
          <w:color w:val="0000FF"/>
          <w:lang w:eastAsia="en-US"/>
        </w:rPr>
        <w:t xml:space="preserve"> norāda plānoto pievienotās vērtības nodokļa apmēru. Saskaņā ar MK noteikumu 24. punktā noteikto pievienotās vērtības nodoklis, kas tiešā veidā saistīts ar projektu, uzskatāms par attiecināmām izmaksām saskaņā ar regulas  2021/1060 64. panta 1. punkta "c" apakšpunktā ietvertajiem nosacījumiem.</w:t>
      </w:r>
    </w:p>
    <w:p w:rsidRPr="00CD30E0" w:rsidR="00FB4553" w:rsidP="00FB4553" w:rsidRDefault="00FB4553" w14:paraId="5787E0B1" w14:textId="77777777">
      <w:pPr>
        <w:pStyle w:val="NormalWeb"/>
        <w:numPr>
          <w:ilvl w:val="0"/>
          <w:numId w:val="6"/>
        </w:numPr>
        <w:spacing w:before="240" w:beforeAutospacing="0" w:after="0" w:afterAutospacing="0"/>
        <w:jc w:val="both"/>
        <w:rPr>
          <w:rFonts w:ascii="Aptos" w:hAnsi="Aptos"/>
          <w:i/>
          <w:iCs/>
          <w:color w:val="0000FF"/>
        </w:rPr>
      </w:pPr>
      <w:r w:rsidRPr="00CD30E0">
        <w:rPr>
          <w:rFonts w:ascii="Aptos" w:hAnsi="Aptos"/>
          <w:i/>
          <w:iCs/>
          <w:color w:val="0000FF"/>
        </w:rPr>
        <w:t xml:space="preserve">Izmaksas, kas saskaņā ar šiem noteikumiem nav noteiktas kā attiecināmās izmaksas, ir finansējamas </w:t>
      </w:r>
      <w:r w:rsidRPr="002867D1">
        <w:rPr>
          <w:rFonts w:ascii="Aptos" w:hAnsi="Aptos"/>
          <w:i/>
          <w:iCs/>
          <w:color w:val="0000FF"/>
          <w:u w:val="single"/>
        </w:rPr>
        <w:t>ārpus projekta</w:t>
      </w:r>
      <w:r w:rsidRPr="002867D1">
        <w:rPr>
          <w:rFonts w:ascii="Aptos" w:hAnsi="Aptos"/>
          <w:i/>
          <w:iCs/>
          <w:color w:val="0000FF"/>
        </w:rPr>
        <w:t>, jeb</w:t>
      </w:r>
      <w:r>
        <w:rPr>
          <w:rFonts w:ascii="Aptos" w:hAnsi="Aptos"/>
          <w:i/>
          <w:iCs/>
          <w:color w:val="0000FF"/>
          <w:u w:val="single"/>
        </w:rPr>
        <w:t xml:space="preserve"> </w:t>
      </w:r>
      <w:proofErr w:type="spellStart"/>
      <w:r>
        <w:rPr>
          <w:rFonts w:ascii="Aptos" w:hAnsi="Aptos"/>
          <w:i/>
          <w:iCs/>
          <w:color w:val="0000FF"/>
          <w:u w:val="single"/>
        </w:rPr>
        <w:t>ārpusprojekta</w:t>
      </w:r>
      <w:proofErr w:type="spellEnd"/>
      <w:r>
        <w:rPr>
          <w:rFonts w:ascii="Aptos" w:hAnsi="Aptos"/>
          <w:i/>
          <w:iCs/>
          <w:color w:val="0000FF"/>
          <w:u w:val="single"/>
        </w:rPr>
        <w:t xml:space="preserve"> izmaksas</w:t>
      </w:r>
      <w:r w:rsidRPr="00CD30E0">
        <w:rPr>
          <w:rFonts w:ascii="Aptos" w:hAnsi="Aptos"/>
          <w:i/>
          <w:iCs/>
          <w:color w:val="0000FF"/>
        </w:rPr>
        <w:t>.</w:t>
      </w:r>
    </w:p>
    <w:p w:rsidRPr="00CD30E0" w:rsidR="00FB4553" w:rsidP="00FB4553" w:rsidRDefault="00FB4553" w14:paraId="12C3D19A" w14:textId="77777777">
      <w:pPr>
        <w:pStyle w:val="NormalWeb"/>
        <w:numPr>
          <w:ilvl w:val="0"/>
          <w:numId w:val="6"/>
        </w:numPr>
        <w:spacing w:before="240" w:beforeAutospacing="0" w:after="0" w:afterAutospacing="0"/>
        <w:jc w:val="both"/>
        <w:rPr>
          <w:rFonts w:ascii="Aptos" w:hAnsi="Aptos"/>
          <w:i/>
          <w:iCs/>
          <w:color w:val="0000FF"/>
        </w:rPr>
      </w:pPr>
      <w:r w:rsidRPr="00CD30E0">
        <w:rPr>
          <w:rFonts w:ascii="Aptos" w:hAnsi="Aptos"/>
          <w:i/>
          <w:iCs/>
          <w:color w:val="0000FF"/>
        </w:rPr>
        <w:t xml:space="preserve">Ja projekta izmaksām projekta īstenošanas gaitā radušās sadārdzinājuma izmaksas, finansējuma saņēmējs tās sedz no saviem līdzekļiem. </w:t>
      </w:r>
    </w:p>
    <w:p w:rsidRPr="00CD30E0" w:rsidR="00FB4553" w:rsidP="00FB4553" w:rsidRDefault="00FB4553" w14:paraId="7D4CB89D" w14:textId="77777777">
      <w:pPr>
        <w:pStyle w:val="NormalWeb"/>
        <w:spacing w:before="240" w:beforeAutospacing="0" w:after="0" w:afterAutospacing="0"/>
        <w:jc w:val="both"/>
        <w:rPr>
          <w:rFonts w:ascii="Aptos" w:hAnsi="Aptos"/>
          <w:i/>
          <w:iCs/>
          <w:color w:val="0000FF"/>
        </w:rPr>
      </w:pPr>
      <w:r w:rsidRPr="00CD30E0">
        <w:rPr>
          <w:rFonts w:ascii="Aptos" w:hAnsi="Aptos"/>
          <w:i/>
          <w:iCs/>
          <w:color w:val="0000FF"/>
        </w:rPr>
        <w:t>Izmaksas ir attiecināmas no MK noteikumu spēkā stāšanās dienas, izņemot MK noteikumu </w:t>
      </w:r>
      <w:hyperlink w:tgtFrame="_blank" w:history="1" r:id="rId11">
        <w:r w:rsidRPr="00CD30E0">
          <w:rPr>
            <w:rStyle w:val="Hyperlink"/>
            <w:rFonts w:ascii="Aptos" w:hAnsi="Aptos"/>
            <w:i/>
            <w:iCs/>
          </w:rPr>
          <w:t>2</w:t>
        </w:r>
        <w:r>
          <w:rPr>
            <w:rStyle w:val="Hyperlink"/>
            <w:rFonts w:ascii="Aptos" w:hAnsi="Aptos"/>
            <w:i/>
            <w:iCs/>
          </w:rPr>
          <w:t>0</w:t>
        </w:r>
        <w:r w:rsidRPr="00CD30E0">
          <w:rPr>
            <w:rStyle w:val="Hyperlink"/>
            <w:rFonts w:ascii="Aptos" w:hAnsi="Aptos"/>
            <w:i/>
            <w:iCs/>
          </w:rPr>
          <w:t>.10.</w:t>
        </w:r>
      </w:hyperlink>
      <w:r w:rsidRPr="00CD30E0">
        <w:rPr>
          <w:rFonts w:ascii="Aptos" w:hAnsi="Aptos"/>
          <w:i/>
          <w:iCs/>
          <w:color w:val="0000FF"/>
        </w:rPr>
        <w:t>, </w:t>
      </w:r>
      <w:hyperlink w:tgtFrame="_blank" w:history="1" r:id="rId12">
        <w:r w:rsidRPr="00CD30E0">
          <w:rPr>
            <w:rStyle w:val="Hyperlink"/>
            <w:rFonts w:ascii="Aptos" w:hAnsi="Aptos"/>
            <w:i/>
            <w:iCs/>
          </w:rPr>
          <w:t>2</w:t>
        </w:r>
        <w:r>
          <w:rPr>
            <w:rStyle w:val="Hyperlink"/>
            <w:rFonts w:ascii="Aptos" w:hAnsi="Aptos"/>
            <w:i/>
            <w:iCs/>
          </w:rPr>
          <w:t>0</w:t>
        </w:r>
        <w:r w:rsidRPr="00CD30E0">
          <w:rPr>
            <w:rStyle w:val="Hyperlink"/>
            <w:rFonts w:ascii="Aptos" w:hAnsi="Aptos"/>
            <w:i/>
            <w:iCs/>
          </w:rPr>
          <w:t>.11.</w:t>
        </w:r>
      </w:hyperlink>
      <w:r w:rsidRPr="00CD30E0">
        <w:rPr>
          <w:rFonts w:ascii="Aptos" w:hAnsi="Aptos"/>
          <w:i/>
          <w:iCs/>
          <w:color w:val="0000FF"/>
        </w:rPr>
        <w:t> un </w:t>
      </w:r>
      <w:hyperlink w:tgtFrame="_blank" w:history="1" r:id="rId13">
        <w:r w:rsidRPr="00CD30E0">
          <w:rPr>
            <w:rStyle w:val="Hyperlink"/>
            <w:rFonts w:ascii="Aptos" w:hAnsi="Aptos"/>
            <w:i/>
            <w:iCs/>
          </w:rPr>
          <w:t>2</w:t>
        </w:r>
        <w:r>
          <w:rPr>
            <w:rStyle w:val="Hyperlink"/>
            <w:rFonts w:ascii="Aptos" w:hAnsi="Aptos"/>
            <w:i/>
            <w:iCs/>
          </w:rPr>
          <w:t>0</w:t>
        </w:r>
        <w:r w:rsidRPr="00CD30E0">
          <w:rPr>
            <w:rStyle w:val="Hyperlink"/>
            <w:rFonts w:ascii="Aptos" w:hAnsi="Aptos"/>
            <w:i/>
            <w:iCs/>
          </w:rPr>
          <w:t>.12. apakšpunktā</w:t>
        </w:r>
      </w:hyperlink>
      <w:r w:rsidRPr="00CD30E0">
        <w:rPr>
          <w:rFonts w:ascii="Aptos" w:hAnsi="Aptos"/>
          <w:i/>
          <w:iCs/>
          <w:color w:val="0000FF"/>
        </w:rPr>
        <w:t> minētās izmaksas, kas ir attiecināmas, ja tās veiktas, sākot ar 2023. gada 1. janvāri. Izmaksas par darbībām, kuras tiek pabeigtas līdz projekta iesnieguma iesniegšanai sadarbības iestādē, nav attiecināma</w:t>
      </w:r>
      <w:r>
        <w:rPr>
          <w:rFonts w:ascii="Aptos" w:hAnsi="Aptos"/>
          <w:i/>
          <w:iCs/>
          <w:color w:val="0000FF"/>
        </w:rPr>
        <w:t>.</w:t>
      </w:r>
      <w:r w:rsidRPr="00CD30E0">
        <w:rPr>
          <w:rFonts w:ascii="Aptos" w:hAnsi="Aptos"/>
          <w:i/>
          <w:iCs/>
          <w:color w:val="0000FF"/>
        </w:rPr>
        <w:t xml:space="preserve"> </w:t>
      </w:r>
    </w:p>
    <w:p w:rsidR="002E390A" w:rsidP="00FB4553" w:rsidRDefault="00FB4553" w14:paraId="0666A170" w14:textId="03535DAB">
      <w:r w:rsidRPr="00CD30E0">
        <w:rPr>
          <w:rFonts w:ascii="Aptos" w:hAnsi="Aptos" w:eastAsia="Times New Roman"/>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CD30E0">
        <w:rPr>
          <w:rFonts w:ascii="Aptos" w:hAnsi="Aptos" w:eastAsia="Times New Roman"/>
          <w:i/>
          <w:iCs/>
          <w:color w:val="0000FF"/>
        </w:rPr>
        <w:t>apakšpozīcijās</w:t>
      </w:r>
      <w:proofErr w:type="spellEnd"/>
      <w:r w:rsidRPr="00CD30E0">
        <w:rPr>
          <w:rFonts w:ascii="Aptos" w:hAnsi="Aptos" w:eastAsia="Times New Roman"/>
          <w:i/>
          <w:iCs/>
          <w:color w:val="0000FF"/>
        </w:rPr>
        <w:t xml:space="preserve"> un izmaksu vienībās, kā arī izmaksu pozīciju vienības un skaits ļauj secināt, ka tās atbilst projektā izvirzīto mērķu un rādītāju sasniegšan</w:t>
      </w:r>
      <w:r>
        <w:rPr>
          <w:rFonts w:ascii="Aptos" w:hAnsi="Aptos" w:eastAsia="Times New Roman"/>
          <w:i/>
          <w:iCs/>
          <w:color w:val="0000FF"/>
        </w:rPr>
        <w:t>ai.</w:t>
      </w:r>
    </w:p>
    <w:sectPr w:rsidR="002E390A" w:rsidSect="00423D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125" w:rsidP="00FB4553" w:rsidRDefault="00CC0125" w14:paraId="76D31C17" w14:textId="77777777">
      <w:r>
        <w:separator/>
      </w:r>
    </w:p>
  </w:endnote>
  <w:endnote w:type="continuationSeparator" w:id="0">
    <w:p w:rsidR="00CC0125" w:rsidP="00FB4553" w:rsidRDefault="00CC0125" w14:paraId="688F327F" w14:textId="77777777">
      <w:r>
        <w:continuationSeparator/>
      </w:r>
    </w:p>
  </w:endnote>
  <w:endnote w:type="continuationNotice" w:id="1">
    <w:p w:rsidR="00CC0125" w:rsidRDefault="00CC0125" w14:paraId="510956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oper Black">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125" w:rsidP="00FB4553" w:rsidRDefault="00CC0125" w14:paraId="1D5DE82D" w14:textId="77777777">
      <w:r>
        <w:separator/>
      </w:r>
    </w:p>
  </w:footnote>
  <w:footnote w:type="continuationSeparator" w:id="0">
    <w:p w:rsidR="00CC0125" w:rsidP="00FB4553" w:rsidRDefault="00CC0125" w14:paraId="511F38A4" w14:textId="77777777">
      <w:r>
        <w:continuationSeparator/>
      </w:r>
    </w:p>
  </w:footnote>
  <w:footnote w:type="continuationNotice" w:id="1">
    <w:p w:rsidR="00CC0125" w:rsidRDefault="00CC0125" w14:paraId="0D5F38CB" w14:textId="77777777"/>
  </w:footnote>
  <w:footnote w:id="2">
    <w:p w:rsidRPr="002867D1" w:rsidR="00FB4553" w:rsidP="00FB4553" w:rsidRDefault="00FB4553" w14:paraId="7BC71650" w14:textId="33FBE5F4">
      <w:pPr>
        <w:pStyle w:val="FootnoteText"/>
        <w:jc w:val="both"/>
        <w:rPr>
          <w:rFonts w:ascii="Aptos" w:hAnsi="Aptos"/>
        </w:rPr>
      </w:pPr>
      <w:r w:rsidRPr="002867D1">
        <w:rPr>
          <w:rStyle w:val="FootnoteReference"/>
          <w:rFonts w:ascii="Aptos" w:hAnsi="Aptos"/>
        </w:rPr>
        <w:footnoteRef/>
      </w:r>
      <w:r w:rsidRPr="002867D1">
        <w:rPr>
          <w:rFonts w:ascii="Aptos" w:hAnsi="Aptos"/>
        </w:rPr>
        <w:t xml:space="preserve"> </w:t>
      </w:r>
      <w:r w:rsidRPr="005A2B23" w:rsidR="005A2B23">
        <w:rPr>
          <w:rFonts w:ascii="Aptos" w:hAnsi="Aptos"/>
        </w:rPr>
        <w:t>2025. gada 16. decembr</w:t>
      </w:r>
      <w:r w:rsidR="005A2B23">
        <w:rPr>
          <w:rFonts w:ascii="Aptos" w:hAnsi="Aptos"/>
        </w:rPr>
        <w:t>a MK noteikumi Nr. 783 “</w:t>
      </w:r>
      <w:r w:rsidRPr="002867D1">
        <w:rPr>
          <w:rFonts w:ascii="Aptos" w:hAnsi="Aptos"/>
        </w:rPr>
        <w:t>Eiropas Savienības Kohēzijas politikas programmas 2021.–2027.</w:t>
      </w:r>
      <w:r w:rsidRPr="002867D1">
        <w:rPr>
          <w:rFonts w:ascii="Arial" w:hAnsi="Arial" w:cs="Arial"/>
        </w:rPr>
        <w:t> </w:t>
      </w:r>
      <w:r w:rsidRPr="002867D1">
        <w:rPr>
          <w:rFonts w:ascii="Aptos" w:hAnsi="Aptos"/>
        </w:rPr>
        <w:t>gadam 4.2.1. specifisk</w:t>
      </w:r>
      <w:r w:rsidRPr="002867D1">
        <w:rPr>
          <w:rFonts w:ascii="Aptos" w:hAnsi="Aptos" w:cs="Aptos"/>
        </w:rPr>
        <w:t>ā</w:t>
      </w:r>
      <w:r w:rsidRPr="002867D1">
        <w:rPr>
          <w:rFonts w:ascii="Aptos" w:hAnsi="Aptos"/>
        </w:rPr>
        <w:t xml:space="preserve"> atbalsta m</w:t>
      </w:r>
      <w:r w:rsidRPr="002867D1">
        <w:rPr>
          <w:rFonts w:ascii="Aptos" w:hAnsi="Aptos" w:cs="Aptos"/>
        </w:rPr>
        <w:t>ē</w:t>
      </w:r>
      <w:r w:rsidRPr="002867D1">
        <w:rPr>
          <w:rFonts w:ascii="Aptos" w:hAnsi="Aptos"/>
        </w:rPr>
        <w:t>r</w:t>
      </w:r>
      <w:r w:rsidRPr="002867D1">
        <w:rPr>
          <w:rFonts w:ascii="Aptos" w:hAnsi="Aptos" w:cs="Aptos"/>
        </w:rPr>
        <w:t>ķ</w:t>
      </w:r>
      <w:r w:rsidRPr="002867D1">
        <w:rPr>
          <w:rFonts w:ascii="Aptos" w:hAnsi="Aptos"/>
        </w:rPr>
        <w:t>a "Uzlabot vienl</w:t>
      </w:r>
      <w:r w:rsidRPr="002867D1">
        <w:rPr>
          <w:rFonts w:ascii="Aptos" w:hAnsi="Aptos" w:cs="Aptos"/>
        </w:rPr>
        <w:t>ī</w:t>
      </w:r>
      <w:r w:rsidRPr="002867D1">
        <w:rPr>
          <w:rFonts w:ascii="Aptos" w:hAnsi="Aptos"/>
        </w:rPr>
        <w:t>dz</w:t>
      </w:r>
      <w:r w:rsidRPr="002867D1">
        <w:rPr>
          <w:rFonts w:ascii="Aptos" w:hAnsi="Aptos" w:cs="Aptos"/>
        </w:rPr>
        <w:t>ī</w:t>
      </w:r>
      <w:r w:rsidRPr="002867D1">
        <w:rPr>
          <w:rFonts w:ascii="Aptos" w:hAnsi="Aptos"/>
        </w:rPr>
        <w:t>gu piek</w:t>
      </w:r>
      <w:r w:rsidRPr="002867D1">
        <w:rPr>
          <w:rFonts w:ascii="Aptos" w:hAnsi="Aptos" w:cs="Aptos"/>
        </w:rPr>
        <w:t>ļ</w:t>
      </w:r>
      <w:r w:rsidRPr="002867D1">
        <w:rPr>
          <w:rFonts w:ascii="Aptos" w:hAnsi="Aptos"/>
        </w:rPr>
        <w:t>uvi iek</w:t>
      </w:r>
      <w:r w:rsidRPr="002867D1">
        <w:rPr>
          <w:rFonts w:ascii="Aptos" w:hAnsi="Aptos" w:cs="Aptos"/>
        </w:rPr>
        <w:t>ļ</w:t>
      </w:r>
      <w:r w:rsidRPr="002867D1">
        <w:rPr>
          <w:rFonts w:ascii="Aptos" w:hAnsi="Aptos"/>
        </w:rPr>
        <w:t>aujo</w:t>
      </w:r>
      <w:r w:rsidRPr="002867D1">
        <w:rPr>
          <w:rFonts w:ascii="Aptos" w:hAnsi="Aptos" w:cs="Aptos"/>
        </w:rPr>
        <w:t>š</w:t>
      </w:r>
      <w:r w:rsidRPr="002867D1">
        <w:rPr>
          <w:rFonts w:ascii="Aptos" w:hAnsi="Aptos"/>
        </w:rPr>
        <w:t>iem un kvalitat</w:t>
      </w:r>
      <w:r w:rsidRPr="002867D1">
        <w:rPr>
          <w:rFonts w:ascii="Aptos" w:hAnsi="Aptos" w:cs="Aptos"/>
        </w:rPr>
        <w:t>ī</w:t>
      </w:r>
      <w:r w:rsidRPr="002867D1">
        <w:rPr>
          <w:rFonts w:ascii="Aptos" w:hAnsi="Aptos"/>
        </w:rPr>
        <w:t>viem pakalpojumiem izgl</w:t>
      </w:r>
      <w:r w:rsidRPr="002867D1">
        <w:rPr>
          <w:rFonts w:ascii="Aptos" w:hAnsi="Aptos" w:cs="Aptos"/>
        </w:rPr>
        <w:t>ī</w:t>
      </w:r>
      <w:r w:rsidRPr="002867D1">
        <w:rPr>
          <w:rFonts w:ascii="Aptos" w:hAnsi="Aptos"/>
        </w:rPr>
        <w:t>t</w:t>
      </w:r>
      <w:r w:rsidRPr="002867D1">
        <w:rPr>
          <w:rFonts w:ascii="Aptos" w:hAnsi="Aptos" w:cs="Aptos"/>
        </w:rPr>
        <w:t>ī</w:t>
      </w:r>
      <w:r w:rsidRPr="002867D1">
        <w:rPr>
          <w:rFonts w:ascii="Aptos" w:hAnsi="Aptos"/>
        </w:rPr>
        <w:t>bas, m</w:t>
      </w:r>
      <w:r w:rsidRPr="002867D1">
        <w:rPr>
          <w:rFonts w:ascii="Aptos" w:hAnsi="Aptos" w:cs="Aptos"/>
        </w:rPr>
        <w:t>ā</w:t>
      </w:r>
      <w:r w:rsidRPr="002867D1">
        <w:rPr>
          <w:rFonts w:ascii="Aptos" w:hAnsi="Aptos"/>
        </w:rPr>
        <w:t>c</w:t>
      </w:r>
      <w:r w:rsidRPr="002867D1">
        <w:rPr>
          <w:rFonts w:ascii="Aptos" w:hAnsi="Aptos" w:cs="Aptos"/>
        </w:rPr>
        <w:t>ī</w:t>
      </w:r>
      <w:r w:rsidRPr="002867D1">
        <w:rPr>
          <w:rFonts w:ascii="Aptos" w:hAnsi="Aptos"/>
        </w:rPr>
        <w:t>bu un m</w:t>
      </w:r>
      <w:r w:rsidRPr="002867D1">
        <w:rPr>
          <w:rFonts w:ascii="Aptos" w:hAnsi="Aptos" w:cs="Aptos"/>
        </w:rPr>
        <w:t>ūž</w:t>
      </w:r>
      <w:r w:rsidRPr="002867D1">
        <w:rPr>
          <w:rFonts w:ascii="Aptos" w:hAnsi="Aptos"/>
        </w:rPr>
        <w:t>izgl</w:t>
      </w:r>
      <w:r w:rsidRPr="002867D1">
        <w:rPr>
          <w:rFonts w:ascii="Aptos" w:hAnsi="Aptos" w:cs="Aptos"/>
        </w:rPr>
        <w:t>ī</w:t>
      </w:r>
      <w:r w:rsidRPr="002867D1">
        <w:rPr>
          <w:rFonts w:ascii="Aptos" w:hAnsi="Aptos"/>
        </w:rPr>
        <w:t>t</w:t>
      </w:r>
      <w:r w:rsidRPr="002867D1">
        <w:rPr>
          <w:rFonts w:ascii="Aptos" w:hAnsi="Aptos" w:cs="Aptos"/>
        </w:rPr>
        <w:t>ī</w:t>
      </w:r>
      <w:r w:rsidRPr="002867D1">
        <w:rPr>
          <w:rFonts w:ascii="Aptos" w:hAnsi="Aptos"/>
        </w:rPr>
        <w:t>bas jom</w:t>
      </w:r>
      <w:r w:rsidRPr="002867D1">
        <w:rPr>
          <w:rFonts w:ascii="Aptos" w:hAnsi="Aptos" w:cs="Aptos"/>
        </w:rPr>
        <w:t>ā</w:t>
      </w:r>
      <w:r w:rsidRPr="002867D1">
        <w:rPr>
          <w:rFonts w:ascii="Aptos" w:hAnsi="Aptos"/>
        </w:rPr>
        <w:t>, att</w:t>
      </w:r>
      <w:r w:rsidRPr="002867D1">
        <w:rPr>
          <w:rFonts w:ascii="Aptos" w:hAnsi="Aptos" w:cs="Aptos"/>
        </w:rPr>
        <w:t>ī</w:t>
      </w:r>
      <w:r w:rsidRPr="002867D1">
        <w:rPr>
          <w:rFonts w:ascii="Aptos" w:hAnsi="Aptos"/>
        </w:rPr>
        <w:t>stot pieejamu infrastrukt</w:t>
      </w:r>
      <w:r w:rsidRPr="002867D1">
        <w:rPr>
          <w:rFonts w:ascii="Aptos" w:hAnsi="Aptos" w:cs="Aptos"/>
        </w:rPr>
        <w:t>ū</w:t>
      </w:r>
      <w:r w:rsidRPr="002867D1">
        <w:rPr>
          <w:rFonts w:ascii="Aptos" w:hAnsi="Aptos"/>
        </w:rPr>
        <w:t>ru, tostarp veicinot notur</w:t>
      </w:r>
      <w:r w:rsidRPr="002867D1">
        <w:rPr>
          <w:rFonts w:ascii="Aptos" w:hAnsi="Aptos" w:cs="Aptos"/>
        </w:rPr>
        <w:t>ī</w:t>
      </w:r>
      <w:r w:rsidRPr="002867D1">
        <w:rPr>
          <w:rFonts w:ascii="Aptos" w:hAnsi="Aptos"/>
        </w:rPr>
        <w:t>bu izgl</w:t>
      </w:r>
      <w:r w:rsidRPr="002867D1">
        <w:rPr>
          <w:rFonts w:ascii="Aptos" w:hAnsi="Aptos" w:cs="Aptos"/>
        </w:rPr>
        <w:t>ī</w:t>
      </w:r>
      <w:r w:rsidRPr="002867D1">
        <w:rPr>
          <w:rFonts w:ascii="Aptos" w:hAnsi="Aptos"/>
        </w:rPr>
        <w:t>to</w:t>
      </w:r>
      <w:r w:rsidRPr="002867D1">
        <w:rPr>
          <w:rFonts w:ascii="Aptos" w:hAnsi="Aptos" w:cs="Aptos"/>
        </w:rPr>
        <w:t>š</w:t>
      </w:r>
      <w:r w:rsidRPr="002867D1">
        <w:rPr>
          <w:rFonts w:ascii="Aptos" w:hAnsi="Aptos"/>
        </w:rPr>
        <w:t>an</w:t>
      </w:r>
      <w:r w:rsidRPr="002867D1">
        <w:rPr>
          <w:rFonts w:ascii="Aptos" w:hAnsi="Aptos" w:cs="Aptos"/>
        </w:rPr>
        <w:t>ā</w:t>
      </w:r>
      <w:r w:rsidRPr="002867D1">
        <w:rPr>
          <w:rFonts w:ascii="Aptos" w:hAnsi="Aptos"/>
        </w:rPr>
        <w:t xml:space="preserve"> un m</w:t>
      </w:r>
      <w:r w:rsidRPr="002867D1">
        <w:rPr>
          <w:rFonts w:ascii="Aptos" w:hAnsi="Aptos" w:cs="Aptos"/>
        </w:rPr>
        <w:t>ā</w:t>
      </w:r>
      <w:r w:rsidRPr="002867D1">
        <w:rPr>
          <w:rFonts w:ascii="Aptos" w:hAnsi="Aptos"/>
        </w:rPr>
        <w:t>c</w:t>
      </w:r>
      <w:r w:rsidRPr="002867D1">
        <w:rPr>
          <w:rFonts w:ascii="Aptos" w:hAnsi="Aptos" w:cs="Aptos"/>
        </w:rPr>
        <w:t>ī</w:t>
      </w:r>
      <w:r w:rsidRPr="002867D1">
        <w:rPr>
          <w:rFonts w:ascii="Aptos" w:hAnsi="Aptos"/>
        </w:rPr>
        <w:t>b</w:t>
      </w:r>
      <w:r w:rsidRPr="002867D1">
        <w:rPr>
          <w:rFonts w:ascii="Aptos" w:hAnsi="Aptos" w:cs="Aptos"/>
        </w:rPr>
        <w:t>ā</w:t>
      </w:r>
      <w:r w:rsidRPr="002867D1">
        <w:rPr>
          <w:rFonts w:ascii="Aptos" w:hAnsi="Aptos"/>
        </w:rPr>
        <w:t>s att</w:t>
      </w:r>
      <w:r w:rsidRPr="002867D1">
        <w:rPr>
          <w:rFonts w:ascii="Aptos" w:hAnsi="Aptos" w:cs="Aptos"/>
        </w:rPr>
        <w:t>ā</w:t>
      </w:r>
      <w:r w:rsidRPr="002867D1">
        <w:rPr>
          <w:rFonts w:ascii="Aptos" w:hAnsi="Aptos"/>
        </w:rPr>
        <w:t>lin</w:t>
      </w:r>
      <w:r w:rsidRPr="002867D1">
        <w:rPr>
          <w:rFonts w:ascii="Aptos" w:hAnsi="Aptos" w:cs="Aptos"/>
        </w:rPr>
        <w:t>ā</w:t>
      </w:r>
      <w:r w:rsidRPr="002867D1">
        <w:rPr>
          <w:rFonts w:ascii="Aptos" w:hAnsi="Aptos"/>
        </w:rPr>
        <w:t>t</w:t>
      </w:r>
      <w:r w:rsidRPr="002867D1">
        <w:rPr>
          <w:rFonts w:ascii="Aptos" w:hAnsi="Aptos" w:cs="Aptos"/>
        </w:rPr>
        <w:t>ā</w:t>
      </w:r>
      <w:r w:rsidRPr="002867D1">
        <w:rPr>
          <w:rFonts w:ascii="Aptos" w:hAnsi="Aptos"/>
        </w:rPr>
        <w:t xml:space="preserve"> un tie</w:t>
      </w:r>
      <w:r w:rsidRPr="002867D1">
        <w:rPr>
          <w:rFonts w:ascii="Aptos" w:hAnsi="Aptos" w:cs="Aptos"/>
        </w:rPr>
        <w:t>š</w:t>
      </w:r>
      <w:r w:rsidRPr="002867D1">
        <w:rPr>
          <w:rFonts w:ascii="Aptos" w:hAnsi="Aptos"/>
        </w:rPr>
        <w:t>saistes re</w:t>
      </w:r>
      <w:r w:rsidRPr="002867D1">
        <w:rPr>
          <w:rFonts w:ascii="Aptos" w:hAnsi="Aptos" w:cs="Aptos"/>
        </w:rPr>
        <w:t>žī</w:t>
      </w:r>
      <w:r w:rsidRPr="002867D1">
        <w:rPr>
          <w:rFonts w:ascii="Aptos" w:hAnsi="Aptos"/>
        </w:rPr>
        <w:t>m</w:t>
      </w:r>
      <w:r w:rsidRPr="002867D1">
        <w:rPr>
          <w:rFonts w:ascii="Aptos" w:hAnsi="Aptos" w:cs="Aptos"/>
        </w:rPr>
        <w:t>ā</w:t>
      </w:r>
      <w:r w:rsidRPr="002867D1">
        <w:rPr>
          <w:rFonts w:ascii="Aptos" w:hAnsi="Aptos"/>
        </w:rPr>
        <w:t>" 4.2.1.5.</w:t>
      </w:r>
      <w:r w:rsidRPr="002867D1">
        <w:rPr>
          <w:rFonts w:ascii="Arial" w:hAnsi="Arial" w:cs="Arial"/>
        </w:rPr>
        <w:t> </w:t>
      </w:r>
      <w:r w:rsidRPr="002867D1">
        <w:rPr>
          <w:rFonts w:ascii="Aptos" w:hAnsi="Aptos"/>
        </w:rPr>
        <w:t>pas</w:t>
      </w:r>
      <w:r w:rsidRPr="002867D1">
        <w:rPr>
          <w:rFonts w:ascii="Aptos" w:hAnsi="Aptos" w:cs="Aptos"/>
        </w:rPr>
        <w:t>ā</w:t>
      </w:r>
      <w:r w:rsidRPr="002867D1">
        <w:rPr>
          <w:rFonts w:ascii="Aptos" w:hAnsi="Aptos"/>
        </w:rPr>
        <w:t>kuma "Izgl</w:t>
      </w:r>
      <w:r w:rsidRPr="002867D1">
        <w:rPr>
          <w:rFonts w:ascii="Aptos" w:hAnsi="Aptos" w:cs="Aptos"/>
        </w:rPr>
        <w:t>ī</w:t>
      </w:r>
      <w:r w:rsidRPr="002867D1">
        <w:rPr>
          <w:rFonts w:ascii="Aptos" w:hAnsi="Aptos"/>
        </w:rPr>
        <w:t>t</w:t>
      </w:r>
      <w:r w:rsidRPr="002867D1">
        <w:rPr>
          <w:rFonts w:ascii="Aptos" w:hAnsi="Aptos" w:cs="Aptos"/>
        </w:rPr>
        <w:t>ī</w:t>
      </w:r>
      <w:r w:rsidRPr="002867D1">
        <w:rPr>
          <w:rFonts w:ascii="Aptos" w:hAnsi="Aptos"/>
        </w:rPr>
        <w:t>bas iest</w:t>
      </w:r>
      <w:r w:rsidRPr="002867D1">
        <w:rPr>
          <w:rFonts w:ascii="Aptos" w:hAnsi="Aptos" w:cs="Aptos"/>
        </w:rPr>
        <w:t>āž</w:t>
      </w:r>
      <w:r w:rsidRPr="002867D1">
        <w:rPr>
          <w:rFonts w:ascii="Aptos" w:hAnsi="Aptos"/>
        </w:rPr>
        <w:t>u nodro</w:t>
      </w:r>
      <w:r w:rsidRPr="002867D1">
        <w:rPr>
          <w:rFonts w:ascii="Aptos" w:hAnsi="Aptos" w:cs="Aptos"/>
        </w:rPr>
        <w:t>š</w:t>
      </w:r>
      <w:r w:rsidRPr="002867D1">
        <w:rPr>
          <w:rFonts w:ascii="Aptos" w:hAnsi="Aptos"/>
        </w:rPr>
        <w:t>in</w:t>
      </w:r>
      <w:r w:rsidRPr="002867D1">
        <w:rPr>
          <w:rFonts w:ascii="Aptos" w:hAnsi="Aptos" w:cs="Aptos"/>
        </w:rPr>
        <w:t>ā</w:t>
      </w:r>
      <w:r w:rsidRPr="002867D1">
        <w:rPr>
          <w:rFonts w:ascii="Aptos" w:hAnsi="Aptos"/>
        </w:rPr>
        <w:t>jums pilnveidot</w:t>
      </w:r>
      <w:r w:rsidRPr="002867D1">
        <w:rPr>
          <w:rFonts w:ascii="Aptos" w:hAnsi="Aptos" w:cs="Aptos"/>
        </w:rPr>
        <w:t>ā</w:t>
      </w:r>
      <w:r w:rsidRPr="002867D1">
        <w:rPr>
          <w:rFonts w:ascii="Aptos" w:hAnsi="Aptos"/>
        </w:rPr>
        <w:t xml:space="preserve"> visp</w:t>
      </w:r>
      <w:r w:rsidRPr="002867D1">
        <w:rPr>
          <w:rFonts w:ascii="Aptos" w:hAnsi="Aptos" w:cs="Aptos"/>
        </w:rPr>
        <w:t>ā</w:t>
      </w:r>
      <w:r w:rsidRPr="002867D1">
        <w:rPr>
          <w:rFonts w:ascii="Aptos" w:hAnsi="Aptos"/>
        </w:rPr>
        <w:t>r</w:t>
      </w:r>
      <w:r w:rsidRPr="002867D1">
        <w:rPr>
          <w:rFonts w:ascii="Aptos" w:hAnsi="Aptos" w:cs="Aptos"/>
        </w:rPr>
        <w:t>ē</w:t>
      </w:r>
      <w:r w:rsidRPr="002867D1">
        <w:rPr>
          <w:rFonts w:ascii="Aptos" w:hAnsi="Aptos"/>
        </w:rPr>
        <w:t>j</w:t>
      </w:r>
      <w:r w:rsidRPr="002867D1">
        <w:rPr>
          <w:rFonts w:ascii="Aptos" w:hAnsi="Aptos" w:cs="Aptos"/>
        </w:rPr>
        <w:t>ā</w:t>
      </w:r>
      <w:r w:rsidRPr="002867D1">
        <w:rPr>
          <w:rFonts w:ascii="Aptos" w:hAnsi="Aptos"/>
        </w:rPr>
        <w:t>s izgl</w:t>
      </w:r>
      <w:r w:rsidRPr="002867D1">
        <w:rPr>
          <w:rFonts w:ascii="Aptos" w:hAnsi="Aptos" w:cs="Aptos"/>
        </w:rPr>
        <w:t>ī</w:t>
      </w:r>
      <w:r w:rsidRPr="002867D1">
        <w:rPr>
          <w:rFonts w:ascii="Aptos" w:hAnsi="Aptos"/>
        </w:rPr>
        <w:t>t</w:t>
      </w:r>
      <w:r w:rsidRPr="002867D1">
        <w:rPr>
          <w:rFonts w:ascii="Aptos" w:hAnsi="Aptos" w:cs="Aptos"/>
        </w:rPr>
        <w:t>ī</w:t>
      </w:r>
      <w:r w:rsidRPr="002867D1">
        <w:rPr>
          <w:rFonts w:ascii="Aptos" w:hAnsi="Aptos"/>
        </w:rPr>
        <w:t>bas satura kvalitat</w:t>
      </w:r>
      <w:r w:rsidRPr="002867D1">
        <w:rPr>
          <w:rFonts w:ascii="Aptos" w:hAnsi="Aptos" w:cs="Aptos"/>
        </w:rPr>
        <w:t>ī</w:t>
      </w:r>
      <w:r w:rsidRPr="002867D1">
        <w:rPr>
          <w:rFonts w:ascii="Aptos" w:hAnsi="Aptos"/>
        </w:rPr>
        <w:t>vai ievie</w:t>
      </w:r>
      <w:r w:rsidRPr="002867D1">
        <w:rPr>
          <w:rFonts w:ascii="Aptos" w:hAnsi="Aptos" w:cs="Aptos"/>
        </w:rPr>
        <w:t>š</w:t>
      </w:r>
      <w:r w:rsidRPr="002867D1">
        <w:rPr>
          <w:rFonts w:ascii="Aptos" w:hAnsi="Aptos"/>
        </w:rPr>
        <w:t>anai pamata un vid</w:t>
      </w:r>
      <w:r w:rsidRPr="002867D1">
        <w:rPr>
          <w:rFonts w:ascii="Aptos" w:hAnsi="Aptos" w:cs="Aptos"/>
        </w:rPr>
        <w:t>ē</w:t>
      </w:r>
      <w:r w:rsidRPr="002867D1">
        <w:rPr>
          <w:rFonts w:ascii="Aptos" w:hAnsi="Aptos"/>
        </w:rPr>
        <w:t>j</w:t>
      </w:r>
      <w:r w:rsidRPr="002867D1">
        <w:rPr>
          <w:rFonts w:ascii="Aptos" w:hAnsi="Aptos" w:cs="Aptos"/>
        </w:rPr>
        <w:t>ā</w:t>
      </w:r>
      <w:r w:rsidRPr="002867D1">
        <w:rPr>
          <w:rFonts w:ascii="Aptos" w:hAnsi="Aptos"/>
        </w:rPr>
        <w:t>s izgl</w:t>
      </w:r>
      <w:r w:rsidRPr="002867D1">
        <w:rPr>
          <w:rFonts w:ascii="Aptos" w:hAnsi="Aptos" w:cs="Aptos"/>
        </w:rPr>
        <w:t>ī</w:t>
      </w:r>
      <w:r w:rsidRPr="002867D1">
        <w:rPr>
          <w:rFonts w:ascii="Aptos" w:hAnsi="Aptos"/>
        </w:rPr>
        <w:t>t</w:t>
      </w:r>
      <w:r w:rsidRPr="002867D1">
        <w:rPr>
          <w:rFonts w:ascii="Aptos" w:hAnsi="Aptos" w:cs="Aptos"/>
        </w:rPr>
        <w:t>ī</w:t>
      </w:r>
      <w:r w:rsidRPr="002867D1">
        <w:rPr>
          <w:rFonts w:ascii="Aptos" w:hAnsi="Aptos"/>
        </w:rPr>
        <w:t>bas pak</w:t>
      </w:r>
      <w:r w:rsidRPr="002867D1">
        <w:rPr>
          <w:rFonts w:ascii="Aptos" w:hAnsi="Aptos" w:cs="Aptos"/>
        </w:rPr>
        <w:t>ā</w:t>
      </w:r>
      <w:r w:rsidRPr="002867D1">
        <w:rPr>
          <w:rFonts w:ascii="Aptos" w:hAnsi="Aptos"/>
        </w:rPr>
        <w:t>p</w:t>
      </w:r>
      <w:r w:rsidRPr="002867D1">
        <w:rPr>
          <w:rFonts w:ascii="Aptos" w:hAnsi="Aptos" w:cs="Aptos"/>
        </w:rPr>
        <w:t>ē</w:t>
      </w:r>
      <w:r w:rsidRPr="002867D1">
        <w:rPr>
          <w:rFonts w:ascii="Aptos" w:hAnsi="Aptos"/>
        </w:rPr>
        <w:t>" tre</w:t>
      </w:r>
      <w:r w:rsidRPr="002867D1">
        <w:rPr>
          <w:rFonts w:ascii="Aptos" w:hAnsi="Aptos" w:cs="Aptos"/>
        </w:rPr>
        <w:t>šā</w:t>
      </w:r>
      <w:r w:rsidRPr="002867D1">
        <w:rPr>
          <w:rFonts w:ascii="Aptos" w:hAnsi="Aptos"/>
        </w:rPr>
        <w:t>s projekta iesniegumu atlases kārtas īstenošanas noteikumi</w:t>
      </w:r>
      <w:r w:rsidR="005A2B23">
        <w:rPr>
          <w:rFonts w:ascii="Aptos" w:hAnsi="Aptos"/>
        </w:rPr>
        <w:t>”</w:t>
      </w:r>
    </w:p>
  </w:footnote>
  <w:footnote w:id="3">
    <w:p w:rsidRPr="002867D1" w:rsidR="00FB4553" w:rsidP="00FB4553" w:rsidRDefault="00FB4553" w14:paraId="1FB00874" w14:textId="77777777">
      <w:pPr>
        <w:pStyle w:val="FootnoteText"/>
        <w:jc w:val="both"/>
        <w:rPr>
          <w:rFonts w:ascii="Aptos" w:hAnsi="Aptos"/>
        </w:rPr>
      </w:pPr>
      <w:r w:rsidRPr="002867D1">
        <w:rPr>
          <w:rStyle w:val="FootnoteReference"/>
          <w:rFonts w:ascii="Aptos" w:hAnsi="Aptos"/>
        </w:rPr>
        <w:footnoteRef/>
      </w:r>
      <w:r w:rsidRPr="002867D1">
        <w:rPr>
          <w:rFonts w:ascii="Aptos" w:hAnsi="Aptos"/>
        </w:rPr>
        <w:t xml:space="preserve"> Pieejamas: </w:t>
      </w:r>
      <w:hyperlink w:history="1" r:id="rId1">
        <w:r w:rsidRPr="002867D1">
          <w:rPr>
            <w:rStyle w:val="Hyperlink"/>
            <w:rFonts w:ascii="Aptos" w:hAnsi="Aptos"/>
          </w:rPr>
          <w:t>https://m.esfondi.lv/upload/2021-2027/attiec_vadl_21-27__final.pdf</w:t>
        </w:r>
      </w:hyperlink>
      <w:r w:rsidRPr="002867D1">
        <w:rPr>
          <w:rFonts w:ascii="Aptos" w:hAnsi="Aptos"/>
        </w:rPr>
        <w:t xml:space="preserve"> </w:t>
      </w:r>
    </w:p>
  </w:footnote>
  <w:footnote w:id="4">
    <w:p w:rsidR="00FB4553" w:rsidP="00FB4553" w:rsidRDefault="00FB4553" w14:paraId="3F411AB0" w14:textId="77777777">
      <w:pPr>
        <w:jc w:val="both"/>
      </w:pPr>
      <w:r w:rsidRPr="002867D1">
        <w:rPr>
          <w:rStyle w:val="FootnoteReference"/>
          <w:rFonts w:ascii="Aptos" w:hAnsi="Aptos"/>
          <w:sz w:val="20"/>
          <w:szCs w:val="20"/>
        </w:rPr>
        <w:footnoteRef/>
      </w:r>
      <w:r w:rsidRPr="002867D1">
        <w:rPr>
          <w:rFonts w:ascii="Aptos" w:hAnsi="Aptos"/>
          <w:sz w:val="20"/>
          <w:szCs w:val="20"/>
        </w:rPr>
        <w:t xml:space="preserve"> Pieejamas: </w:t>
      </w:r>
      <w:hyperlink w:history="1" r:id="rId2">
        <w:r w:rsidRPr="002867D1">
          <w:rPr>
            <w:rStyle w:val="Hyperlink"/>
            <w:rFonts w:ascii="Aptos" w:hAnsi="Aptos"/>
            <w:sz w:val="20"/>
            <w:szCs w:val="20"/>
          </w:rPr>
          <w:t>https://m.esfondi.lv/upload/Vadlinijas/vadlinijas_vienkarsotas_izmaksas_2021-2027.pdf</w:t>
        </w:r>
      </w:hyperlink>
      <w:r w:rsidRPr="00422BF4">
        <w:rPr>
          <w:rFonts w:ascii="Aptos" w:hAnsi="Apto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E78"/>
    <w:multiLevelType w:val="hybridMultilevel"/>
    <w:tmpl w:val="709A52CC"/>
    <w:lvl w:ilvl="0" w:tplc="CC9870E2">
      <w:start w:val="1"/>
      <w:numFmt w:val="bullet"/>
      <w:lvlText w:val="!"/>
      <w:lvlJc w:val="left"/>
      <w:pPr>
        <w:ind w:left="720" w:hanging="360"/>
      </w:pPr>
      <w:rPr>
        <w:rFonts w:hint="default" w:ascii="Cooper Black" w:hAnsi="Cooper Black"/>
        <w:color w:val="0000FF"/>
        <w:sz w:val="24"/>
        <w:szCs w:val="24"/>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 w15:restartNumberingAfterBreak="0">
    <w:nsid w:val="29363DE2"/>
    <w:multiLevelType w:val="hybridMultilevel"/>
    <w:tmpl w:val="DE82BF04"/>
    <w:lvl w:ilvl="0" w:tplc="D7A21DD4">
      <w:start w:val="1"/>
      <w:numFmt w:val="bullet"/>
      <w:lvlText w:val=""/>
      <w:lvlJc w:val="left"/>
      <w:pPr>
        <w:ind w:left="720" w:hanging="360"/>
      </w:pPr>
      <w:rPr>
        <w:rFonts w:hint="default" w:ascii="Symbol" w:hAnsi="Symbol"/>
        <w:color w:val="0000FF"/>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30AF727C"/>
    <w:multiLevelType w:val="hybridMultilevel"/>
    <w:tmpl w:val="763C5F7A"/>
    <w:lvl w:ilvl="0" w:tplc="D7A21DD4">
      <w:start w:val="1"/>
      <w:numFmt w:val="bullet"/>
      <w:lvlText w:val=""/>
      <w:lvlJc w:val="left"/>
      <w:pPr>
        <w:ind w:left="720" w:hanging="360"/>
      </w:pPr>
      <w:rPr>
        <w:rFonts w:hint="default" w:ascii="Symbol" w:hAnsi="Symbol"/>
        <w:color w:val="0000FF"/>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42D94559"/>
    <w:multiLevelType w:val="hybridMultilevel"/>
    <w:tmpl w:val="EE3E7726"/>
    <w:lvl w:ilvl="0" w:tplc="FFFFFFFF">
      <w:start w:val="1"/>
      <w:numFmt w:val="bullet"/>
      <w:lvlText w:val=""/>
      <w:lvlJc w:val="left"/>
      <w:pPr>
        <w:ind w:left="720" w:hanging="360"/>
      </w:pPr>
      <w:rPr>
        <w:rFonts w:hint="default" w:ascii="Wingdings" w:hAnsi="Wingdings"/>
      </w:rPr>
    </w:lvl>
    <w:lvl w:ilvl="1" w:tplc="C1488F1C">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598755DA"/>
    <w:multiLevelType w:val="hybridMultilevel"/>
    <w:tmpl w:val="A5EA9072"/>
    <w:lvl w:ilvl="0" w:tplc="F0021BF0">
      <w:start w:val="1"/>
      <w:numFmt w:val="bullet"/>
      <w:lvlText w:val="!"/>
      <w:lvlJc w:val="left"/>
      <w:pPr>
        <w:ind w:left="720" w:hanging="360"/>
      </w:pPr>
      <w:rPr>
        <w:rFonts w:hint="default" w:ascii="Cooper Black" w:hAnsi="Cooper Black"/>
        <w:b/>
        <w:bCs w:val="0"/>
        <w:i/>
        <w:iCs w:val="0"/>
        <w:color w:val="0000FF"/>
        <w:sz w:val="24"/>
        <w:szCs w:val="24"/>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 w15:restartNumberingAfterBreak="0">
    <w:nsid w:val="5D7F0BA6"/>
    <w:multiLevelType w:val="hybridMultilevel"/>
    <w:tmpl w:val="5FA24514"/>
    <w:lvl w:ilvl="0" w:tplc="D7A21DD4">
      <w:start w:val="1"/>
      <w:numFmt w:val="bullet"/>
      <w:lvlText w:val=""/>
      <w:lvlJc w:val="left"/>
      <w:pPr>
        <w:ind w:left="720" w:hanging="360"/>
      </w:pPr>
      <w:rPr>
        <w:rFonts w:hint="default" w:ascii="Symbol" w:hAnsi="Symbol"/>
        <w:color w:val="0000FF"/>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639F1D19"/>
    <w:multiLevelType w:val="hybridMultilevel"/>
    <w:tmpl w:val="FD94D72C"/>
    <w:lvl w:ilvl="0" w:tplc="F0021BF0">
      <w:start w:val="1"/>
      <w:numFmt w:val="bullet"/>
      <w:lvlText w:val="!"/>
      <w:lvlJc w:val="left"/>
      <w:pPr>
        <w:ind w:left="720" w:hanging="360"/>
      </w:pPr>
      <w:rPr>
        <w:rFonts w:hint="default" w:ascii="Cooper Black" w:hAnsi="Cooper Black"/>
        <w:b/>
        <w:bCs w:val="0"/>
        <w:i/>
        <w:iCs w:val="0"/>
        <w:color w:val="0000FF"/>
        <w:sz w:val="24"/>
        <w:szCs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69EE2366"/>
    <w:multiLevelType w:val="hybridMultilevel"/>
    <w:tmpl w:val="990E3E44"/>
    <w:lvl w:ilvl="0" w:tplc="D7A21DD4">
      <w:start w:val="1"/>
      <w:numFmt w:val="bullet"/>
      <w:lvlText w:val=""/>
      <w:lvlJc w:val="left"/>
      <w:pPr>
        <w:ind w:left="720" w:hanging="360"/>
      </w:pPr>
      <w:rPr>
        <w:rFonts w:hint="default" w:ascii="Symbol" w:hAnsi="Symbol"/>
        <w:color w:val="0000FF"/>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197498752">
    <w:abstractNumId w:val="2"/>
  </w:num>
  <w:num w:numId="2" w16cid:durableId="1626886549">
    <w:abstractNumId w:val="3"/>
  </w:num>
  <w:num w:numId="3" w16cid:durableId="808282821">
    <w:abstractNumId w:val="7"/>
  </w:num>
  <w:num w:numId="4" w16cid:durableId="1467817618">
    <w:abstractNumId w:val="1"/>
  </w:num>
  <w:num w:numId="5" w16cid:durableId="524369568">
    <w:abstractNumId w:val="5"/>
  </w:num>
  <w:num w:numId="6" w16cid:durableId="2142306414">
    <w:abstractNumId w:val="6"/>
  </w:num>
  <w:num w:numId="7" w16cid:durableId="182986463">
    <w:abstractNumId w:val="0"/>
  </w:num>
  <w:num w:numId="8" w16cid:durableId="37245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D8"/>
    <w:rsid w:val="000624CB"/>
    <w:rsid w:val="000C3467"/>
    <w:rsid w:val="00143409"/>
    <w:rsid w:val="00163EE9"/>
    <w:rsid w:val="001E5C6A"/>
    <w:rsid w:val="002251E0"/>
    <w:rsid w:val="002E390A"/>
    <w:rsid w:val="00350B0B"/>
    <w:rsid w:val="00355044"/>
    <w:rsid w:val="003D2880"/>
    <w:rsid w:val="003E3C38"/>
    <w:rsid w:val="00423DAC"/>
    <w:rsid w:val="00451E40"/>
    <w:rsid w:val="004B40D8"/>
    <w:rsid w:val="00500E18"/>
    <w:rsid w:val="00521EF9"/>
    <w:rsid w:val="005320E3"/>
    <w:rsid w:val="00545AB4"/>
    <w:rsid w:val="00546679"/>
    <w:rsid w:val="00550351"/>
    <w:rsid w:val="00587C1C"/>
    <w:rsid w:val="00596EFB"/>
    <w:rsid w:val="005A2B23"/>
    <w:rsid w:val="005F1181"/>
    <w:rsid w:val="00620048"/>
    <w:rsid w:val="006C7B24"/>
    <w:rsid w:val="006D4A0B"/>
    <w:rsid w:val="007309EA"/>
    <w:rsid w:val="007A2178"/>
    <w:rsid w:val="00842C39"/>
    <w:rsid w:val="008A03F7"/>
    <w:rsid w:val="008C5045"/>
    <w:rsid w:val="008D2008"/>
    <w:rsid w:val="00901331"/>
    <w:rsid w:val="00934CBC"/>
    <w:rsid w:val="0096645A"/>
    <w:rsid w:val="00991A1A"/>
    <w:rsid w:val="00A005A6"/>
    <w:rsid w:val="00A77509"/>
    <w:rsid w:val="00AD02FC"/>
    <w:rsid w:val="00B23F75"/>
    <w:rsid w:val="00BC6221"/>
    <w:rsid w:val="00C3347F"/>
    <w:rsid w:val="00C7641B"/>
    <w:rsid w:val="00CA335B"/>
    <w:rsid w:val="00CC0125"/>
    <w:rsid w:val="00CD0900"/>
    <w:rsid w:val="00CF7516"/>
    <w:rsid w:val="00D03890"/>
    <w:rsid w:val="00D1076A"/>
    <w:rsid w:val="00D302E7"/>
    <w:rsid w:val="00DE7A87"/>
    <w:rsid w:val="00E248EE"/>
    <w:rsid w:val="00E672DE"/>
    <w:rsid w:val="00EF2C5E"/>
    <w:rsid w:val="00F0587F"/>
    <w:rsid w:val="00FA69C1"/>
    <w:rsid w:val="00FB31CA"/>
    <w:rsid w:val="00FB4553"/>
    <w:rsid w:val="00FC6950"/>
    <w:rsid w:val="00FD58AC"/>
    <w:rsid w:val="0247AC42"/>
    <w:rsid w:val="04669971"/>
    <w:rsid w:val="06162BEA"/>
    <w:rsid w:val="1D95EDAF"/>
    <w:rsid w:val="2744A4BA"/>
    <w:rsid w:val="2A6FC0EA"/>
    <w:rsid w:val="2D4A690C"/>
    <w:rsid w:val="3D954405"/>
    <w:rsid w:val="412FEE47"/>
    <w:rsid w:val="4BA415E0"/>
    <w:rsid w:val="68D55D94"/>
    <w:rsid w:val="6C15EBC2"/>
    <w:rsid w:val="6E0C0291"/>
    <w:rsid w:val="769706F0"/>
    <w:rsid w:val="76A0D00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DA02"/>
  <w15:chartTrackingRefBased/>
  <w15:docId w15:val="{08E8779E-C177-43F9-9402-42E3955A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4553"/>
    <w:pPr>
      <w:spacing w:after="0" w:line="240" w:lineRule="auto"/>
    </w:pPr>
    <w:rPr>
      <w:rFonts w:ascii="Times New Roman" w:hAnsi="Times New Roman" w:cs="Times New Roman" w:eastAsiaTheme="minorEastAsia"/>
      <w:kern w:val="0"/>
      <w:sz w:val="24"/>
      <w:szCs w:val="24"/>
      <w:lang w:eastAsia="lv-LV"/>
      <w14:ligatures w14:val="none"/>
    </w:rPr>
  </w:style>
  <w:style w:type="paragraph" w:styleId="Heading1">
    <w:name w:val="heading 1"/>
    <w:basedOn w:val="Normal"/>
    <w:next w:val="Normal"/>
    <w:link w:val="Heading1Char"/>
    <w:uiPriority w:val="9"/>
    <w:qFormat/>
    <w:rsid w:val="004B40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0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0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0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0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0D8"/>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40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B40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B40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B40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B40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B40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B40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B40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B40D8"/>
    <w:rPr>
      <w:rFonts w:eastAsiaTheme="majorEastAsia" w:cstheme="majorBidi"/>
      <w:color w:val="272727" w:themeColor="text1" w:themeTint="D8"/>
    </w:rPr>
  </w:style>
  <w:style w:type="paragraph" w:styleId="Title">
    <w:name w:val="Title"/>
    <w:basedOn w:val="Normal"/>
    <w:next w:val="Normal"/>
    <w:link w:val="TitleChar"/>
    <w:uiPriority w:val="10"/>
    <w:qFormat/>
    <w:rsid w:val="004B40D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B40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B40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B4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0D8"/>
    <w:pPr>
      <w:spacing w:before="160"/>
      <w:jc w:val="center"/>
    </w:pPr>
    <w:rPr>
      <w:i/>
      <w:iCs/>
      <w:color w:val="404040" w:themeColor="text1" w:themeTint="BF"/>
    </w:rPr>
  </w:style>
  <w:style w:type="character" w:styleId="QuoteChar" w:customStyle="1">
    <w:name w:val="Quote Char"/>
    <w:basedOn w:val="DefaultParagraphFont"/>
    <w:link w:val="Quote"/>
    <w:uiPriority w:val="29"/>
    <w:rsid w:val="004B40D8"/>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4B40D8"/>
    <w:pPr>
      <w:ind w:left="720"/>
      <w:contextualSpacing/>
    </w:pPr>
  </w:style>
  <w:style w:type="character" w:styleId="IntenseEmphasis">
    <w:name w:val="Intense Emphasis"/>
    <w:basedOn w:val="DefaultParagraphFont"/>
    <w:uiPriority w:val="21"/>
    <w:qFormat/>
    <w:rsid w:val="004B40D8"/>
    <w:rPr>
      <w:i/>
      <w:iCs/>
      <w:color w:val="0F4761" w:themeColor="accent1" w:themeShade="BF"/>
    </w:rPr>
  </w:style>
  <w:style w:type="paragraph" w:styleId="IntenseQuote">
    <w:name w:val="Intense Quote"/>
    <w:basedOn w:val="Normal"/>
    <w:next w:val="Normal"/>
    <w:link w:val="IntenseQuoteChar"/>
    <w:uiPriority w:val="30"/>
    <w:qFormat/>
    <w:rsid w:val="004B40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B40D8"/>
    <w:rPr>
      <w:i/>
      <w:iCs/>
      <w:color w:val="0F4761" w:themeColor="accent1" w:themeShade="BF"/>
    </w:rPr>
  </w:style>
  <w:style w:type="character" w:styleId="IntenseReference">
    <w:name w:val="Intense Reference"/>
    <w:basedOn w:val="DefaultParagraphFont"/>
    <w:uiPriority w:val="32"/>
    <w:qFormat/>
    <w:rsid w:val="004B40D8"/>
    <w:rPr>
      <w:b/>
      <w:bCs/>
      <w:smallCaps/>
      <w:color w:val="0F4761" w:themeColor="accent1" w:themeShade="BF"/>
      <w:spacing w:val="5"/>
    </w:rPr>
  </w:style>
  <w:style w:type="character" w:styleId="Hyperlink">
    <w:name w:val="Hyperlink"/>
    <w:basedOn w:val="DefaultParagraphFont"/>
    <w:uiPriority w:val="99"/>
    <w:unhideWhenUsed/>
    <w:rsid w:val="00FB4553"/>
    <w:rPr>
      <w:color w:val="0000FF"/>
      <w:u w:val="single"/>
    </w:rPr>
  </w:style>
  <w:style w:type="paragraph" w:styleId="NormalWeb">
    <w:name w:val="Normal (Web)"/>
    <w:basedOn w:val="Normal"/>
    <w:uiPriority w:val="99"/>
    <w:unhideWhenUsed/>
    <w:rsid w:val="00FB4553"/>
    <w:pPr>
      <w:spacing w:before="100" w:beforeAutospacing="1" w:after="100" w:afterAutospacing="1"/>
    </w:pPr>
  </w:style>
  <w:style w:type="character" w:styleId="ListParagraphChar" w:customStyle="1">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FB455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FB4553"/>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FB4553"/>
    <w:rPr>
      <w:rFonts w:ascii="Times New Roman" w:hAnsi="Times New Roman" w:cs="Times New Roman" w:eastAsiaTheme="minorEastAsia"/>
      <w:kern w:val="0"/>
      <w:sz w:val="20"/>
      <w:szCs w:val="20"/>
      <w:lang w:eastAsia="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FB4553"/>
    <w:rPr>
      <w:vertAlign w:val="superscript"/>
    </w:rPr>
  </w:style>
  <w:style w:type="character" w:styleId="CommentReference">
    <w:name w:val="annotation reference"/>
    <w:basedOn w:val="DefaultParagraphFont"/>
    <w:uiPriority w:val="99"/>
    <w:unhideWhenUsed/>
    <w:rsid w:val="00FB4553"/>
    <w:rPr>
      <w:sz w:val="16"/>
      <w:szCs w:val="16"/>
    </w:rPr>
  </w:style>
  <w:style w:type="paragraph" w:styleId="CharCharCharChar" w:customStyle="1">
    <w:name w:val="Char Char Char Char"/>
    <w:aliases w:val="Char2"/>
    <w:basedOn w:val="Normal"/>
    <w:next w:val="Normal"/>
    <w:link w:val="FootnoteReference"/>
    <w:uiPriority w:val="99"/>
    <w:rsid w:val="00FB4553"/>
    <w:pPr>
      <w:spacing w:after="160" w:line="240" w:lineRule="exact"/>
      <w:jc w:val="both"/>
      <w:textAlignment w:val="baseline"/>
    </w:pPr>
    <w:rPr>
      <w:rFonts w:asciiTheme="minorHAnsi" w:hAnsiTheme="minorHAnsi" w:eastAsiaTheme="minorHAnsi" w:cstheme="minorBidi"/>
      <w:kern w:val="2"/>
      <w:sz w:val="22"/>
      <w:szCs w:val="22"/>
      <w:vertAlign w:val="superscript"/>
      <w:lang w:eastAsia="en-US"/>
      <w14:ligatures w14:val="standardContextual"/>
    </w:rPr>
  </w:style>
  <w:style w:type="character" w:styleId="normaltextrun" w:customStyle="1">
    <w:name w:val="normaltextrun"/>
    <w:basedOn w:val="DefaultParagraphFont"/>
    <w:rsid w:val="00FB4553"/>
  </w:style>
  <w:style w:type="paragraph" w:styleId="CommentText">
    <w:name w:val="annotation text"/>
    <w:basedOn w:val="Normal"/>
    <w:link w:val="CommentTextChar"/>
    <w:uiPriority w:val="99"/>
    <w:unhideWhenUsed/>
    <w:rsid w:val="00FA69C1"/>
    <w:rPr>
      <w:sz w:val="20"/>
      <w:szCs w:val="20"/>
    </w:rPr>
  </w:style>
  <w:style w:type="character" w:styleId="CommentTextChar" w:customStyle="1">
    <w:name w:val="Comment Text Char"/>
    <w:basedOn w:val="DefaultParagraphFont"/>
    <w:link w:val="CommentText"/>
    <w:uiPriority w:val="99"/>
    <w:rsid w:val="00FA69C1"/>
    <w:rPr>
      <w:rFonts w:ascii="Times New Roman" w:hAnsi="Times New Roman" w:cs="Times New Roman" w:eastAsiaTheme="minorEastAsia"/>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FA69C1"/>
    <w:rPr>
      <w:b/>
      <w:bCs/>
    </w:rPr>
  </w:style>
  <w:style w:type="character" w:styleId="CommentSubjectChar" w:customStyle="1">
    <w:name w:val="Comment Subject Char"/>
    <w:basedOn w:val="CommentTextChar"/>
    <w:link w:val="CommentSubject"/>
    <w:uiPriority w:val="99"/>
    <w:semiHidden/>
    <w:rsid w:val="00FA69C1"/>
    <w:rPr>
      <w:rFonts w:ascii="Times New Roman" w:hAnsi="Times New Roman" w:cs="Times New Roman" w:eastAsiaTheme="minorEastAsia"/>
      <w:b/>
      <w:bCs/>
      <w:kern w:val="0"/>
      <w:sz w:val="20"/>
      <w:szCs w:val="20"/>
      <w:lang w:eastAsia="lv-LV"/>
      <w14:ligatures w14:val="none"/>
    </w:rPr>
  </w:style>
  <w:style w:type="character" w:styleId="UnresolvedMention">
    <w:name w:val="Unresolved Mention"/>
    <w:basedOn w:val="DefaultParagraphFont"/>
    <w:uiPriority w:val="99"/>
    <w:semiHidden/>
    <w:unhideWhenUsed/>
    <w:rsid w:val="00FA69C1"/>
    <w:rPr>
      <w:color w:val="605E5C"/>
      <w:shd w:val="clear" w:color="auto" w:fill="E1DFDD"/>
    </w:rPr>
  </w:style>
  <w:style w:type="paragraph" w:styleId="Revision">
    <w:name w:val="Revision"/>
    <w:hidden/>
    <w:uiPriority w:val="99"/>
    <w:semiHidden/>
    <w:rsid w:val="00A77509"/>
    <w:pPr>
      <w:spacing w:after="0" w:line="240" w:lineRule="auto"/>
    </w:pPr>
    <w:rPr>
      <w:rFonts w:ascii="Times New Roman" w:hAnsi="Times New Roman" w:cs="Times New Roman" w:eastAsiaTheme="minorEastAsia"/>
      <w:kern w:val="0"/>
      <w:sz w:val="24"/>
      <w:szCs w:val="24"/>
      <w:lang w:eastAsia="lv-LV"/>
      <w14:ligatures w14:val="none"/>
    </w:rPr>
  </w:style>
  <w:style w:type="paragraph" w:styleId="Header">
    <w:name w:val="header"/>
    <w:basedOn w:val="Normal"/>
    <w:link w:val="HeaderChar"/>
    <w:uiPriority w:val="99"/>
    <w:semiHidden/>
    <w:unhideWhenUsed/>
    <w:rsid w:val="003E3C38"/>
    <w:pPr>
      <w:tabs>
        <w:tab w:val="center" w:pos="4680"/>
        <w:tab w:val="right" w:pos="9360"/>
      </w:tabs>
    </w:pPr>
  </w:style>
  <w:style w:type="character" w:styleId="HeaderChar" w:customStyle="1">
    <w:name w:val="Header Char"/>
    <w:basedOn w:val="DefaultParagraphFont"/>
    <w:link w:val="Header"/>
    <w:uiPriority w:val="99"/>
    <w:semiHidden/>
    <w:rsid w:val="003E3C38"/>
    <w:rPr>
      <w:rFonts w:ascii="Times New Roman" w:hAnsi="Times New Roman" w:cs="Times New Roman" w:eastAsiaTheme="minorEastAsia"/>
      <w:kern w:val="0"/>
      <w:sz w:val="24"/>
      <w:szCs w:val="24"/>
      <w:lang w:eastAsia="lv-LV"/>
      <w14:ligatures w14:val="none"/>
    </w:rPr>
  </w:style>
  <w:style w:type="paragraph" w:styleId="Footer">
    <w:name w:val="footer"/>
    <w:basedOn w:val="Normal"/>
    <w:link w:val="FooterChar"/>
    <w:uiPriority w:val="99"/>
    <w:semiHidden/>
    <w:unhideWhenUsed/>
    <w:rsid w:val="003E3C38"/>
    <w:pPr>
      <w:tabs>
        <w:tab w:val="center" w:pos="4680"/>
        <w:tab w:val="right" w:pos="9360"/>
      </w:tabs>
    </w:pPr>
  </w:style>
  <w:style w:type="character" w:styleId="FooterChar" w:customStyle="1">
    <w:name w:val="Footer Char"/>
    <w:basedOn w:val="DefaultParagraphFont"/>
    <w:link w:val="Footer"/>
    <w:uiPriority w:val="99"/>
    <w:semiHidden/>
    <w:rsid w:val="003E3C38"/>
    <w:rPr>
      <w:rFonts w:ascii="Times New Roman" w:hAnsi="Times New Roman" w:cs="Times New Roman" w:eastAsiaTheme="minorEastAsia"/>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apportals.mk.gov.lv/structuralizer/data/nodes/7b75af43-b6fb-4920-83e3-46d5064bbfe3"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apportals.mk.gov.lv/structuralizer/data/nodes/8bb848b7-f365-49f2-8d78-9ec1fa21e511"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apportals.mk.gov.lv/structuralizer/data/nodes/0329a8eb-1328-4e58-b5e3-e9ae850a102a"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m.esfondi.lv/upload/Vadlinijas/vadlinijas_vienkarsotas_izmaksas_2021-2027.pdf" TargetMode="External"/><Relationship Id="rId1" Type="http://schemas.openxmlformats.org/officeDocument/2006/relationships/hyperlink" Target="https://m.esfondi.lv/upload/2021-2027/attiec_vadl_21-27__final.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AFCB8-2744-407C-AFB5-4CEEFA2C0A2A}">
  <ds:schemaRefs>
    <ds:schemaRef ds:uri="http://purl.org/dc/dcmitype/"/>
    <ds:schemaRef ds:uri="http://purl.org/dc/elements/1.1/"/>
    <ds:schemaRef ds:uri="http://purl.org/dc/terms/"/>
    <ds:schemaRef ds:uri="http://www.w3.org/XML/1998/namespace"/>
    <ds:schemaRef ds:uri="42144e59-5907-413f-b624-803f3a022d9b"/>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25a75a1d-8b78-49a6-8e4b-dbe94589a28d"/>
  </ds:schemaRefs>
</ds:datastoreItem>
</file>

<file path=customXml/itemProps2.xml><?xml version="1.0" encoding="utf-8"?>
<ds:datastoreItem xmlns:ds="http://schemas.openxmlformats.org/officeDocument/2006/customXml" ds:itemID="{DD003C53-107B-4333-BE24-A5E6201FD6EA}">
  <ds:schemaRefs>
    <ds:schemaRef ds:uri="http://schemas.microsoft.com/sharepoint/v3/contenttype/forms"/>
  </ds:schemaRefs>
</ds:datastoreItem>
</file>

<file path=customXml/itemProps3.xml><?xml version="1.0" encoding="utf-8"?>
<ds:datastoreItem xmlns:ds="http://schemas.openxmlformats.org/officeDocument/2006/customXml" ds:itemID="{A1576C95-4A98-46EF-AABE-3179BE0CCC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Matule</dc:creator>
  <cp:keywords/>
  <dc:description/>
  <cp:lastModifiedBy>Kristīne Matule</cp:lastModifiedBy>
  <cp:revision>36</cp:revision>
  <dcterms:created xsi:type="dcterms:W3CDTF">2025-12-19T18:43:00Z</dcterms:created>
  <dcterms:modified xsi:type="dcterms:W3CDTF">2026-01-19T14:21:57Z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5" name="docLang">
    <vt:lpwstr>lv</vt:lpwstr>
  </property>
</Properties>
</file>