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115C" w14:textId="319127FC" w:rsidR="00DE70FC" w:rsidRPr="006B61DF" w:rsidRDefault="0035675E" w:rsidP="00DE70FC">
      <w:pPr>
        <w:spacing w:before="0" w:after="0"/>
        <w:ind w:left="0" w:firstLine="0"/>
        <w:jc w:val="right"/>
        <w:rPr>
          <w:rFonts w:ascii="Aptos" w:hAnsi="Aptos" w:cs="Times New Roman"/>
          <w:color w:val="000000" w:themeColor="text1"/>
          <w:sz w:val="20"/>
          <w:szCs w:val="20"/>
        </w:rPr>
      </w:pPr>
      <w:bookmarkStart w:id="0" w:name="_Hlk126682086"/>
      <w:bookmarkStart w:id="1" w:name="_Hlk124365325"/>
      <w:r>
        <w:rPr>
          <w:rFonts w:ascii="Aptos" w:hAnsi="Aptos" w:cs="Times New Roman"/>
          <w:color w:val="000000" w:themeColor="text1"/>
          <w:sz w:val="20"/>
          <w:szCs w:val="20"/>
        </w:rPr>
        <w:t>2</w:t>
      </w:r>
      <w:r w:rsidR="00DE70FC" w:rsidRPr="006B61DF">
        <w:rPr>
          <w:rFonts w:ascii="Aptos" w:hAnsi="Aptos" w:cs="Times New Roman"/>
          <w:color w:val="000000" w:themeColor="text1"/>
          <w:sz w:val="20"/>
          <w:szCs w:val="20"/>
        </w:rPr>
        <w:t>. pielikums</w:t>
      </w:r>
    </w:p>
    <w:bookmarkEnd w:id="0"/>
    <w:p w14:paraId="1CA7E0E6" w14:textId="77777777" w:rsidR="00DE70FC" w:rsidRPr="006B61DF" w:rsidRDefault="00DE70FC" w:rsidP="00DE70FC">
      <w:pPr>
        <w:spacing w:before="0" w:after="0"/>
        <w:ind w:left="0" w:firstLine="0"/>
        <w:jc w:val="right"/>
        <w:rPr>
          <w:rFonts w:ascii="Aptos" w:hAnsi="Aptos" w:cs="Times New Roman"/>
          <w:bCs/>
          <w:color w:val="000000" w:themeColor="text1"/>
          <w:sz w:val="20"/>
          <w:szCs w:val="20"/>
        </w:rPr>
      </w:pPr>
      <w:r w:rsidRPr="006B61DF">
        <w:rPr>
          <w:rFonts w:ascii="Aptos" w:hAnsi="Aptos" w:cs="Times New Roman"/>
          <w:bCs/>
          <w:color w:val="000000" w:themeColor="text1"/>
          <w:sz w:val="20"/>
          <w:szCs w:val="20"/>
        </w:rPr>
        <w:t>Projektu iesniegumu atlases nolikumam</w:t>
      </w:r>
    </w:p>
    <w:p w14:paraId="28BF001D" w14:textId="522CC6FC" w:rsidR="009D0003" w:rsidRPr="006B61DF" w:rsidRDefault="009B3E0A" w:rsidP="00580E02">
      <w:pPr>
        <w:spacing w:before="480" w:after="360"/>
        <w:ind w:left="567"/>
        <w:jc w:val="center"/>
        <w:rPr>
          <w:rFonts w:ascii="Aptos" w:hAnsi="Aptos" w:cs="Times New Roman"/>
          <w:b/>
          <w:i/>
          <w:iCs/>
          <w:sz w:val="24"/>
          <w:szCs w:val="24"/>
          <w:lang w:eastAsia="lv-LV"/>
        </w:rPr>
      </w:pPr>
      <w:r>
        <w:rPr>
          <w:rFonts w:ascii="Aptos" w:hAnsi="Aptos" w:cs="Times New Roman"/>
          <w:b/>
          <w:sz w:val="24"/>
          <w:szCs w:val="24"/>
          <w:lang w:eastAsia="lv-LV"/>
        </w:rPr>
        <w:t>Sadarbības partnera a</w:t>
      </w:r>
      <w:r w:rsidR="009D0003" w:rsidRPr="006B61DF">
        <w:rPr>
          <w:rFonts w:ascii="Aptos" w:hAnsi="Aptos" w:cs="Times New Roman"/>
          <w:b/>
          <w:sz w:val="24"/>
          <w:szCs w:val="24"/>
          <w:lang w:eastAsia="lv-LV"/>
        </w:rPr>
        <w:t xml:space="preserve">pliecinājums par informētību attiecībā </w:t>
      </w:r>
      <w:r>
        <w:rPr>
          <w:rFonts w:ascii="Aptos" w:hAnsi="Aptos" w:cs="Times New Roman"/>
          <w:b/>
          <w:sz w:val="24"/>
          <w:szCs w:val="24"/>
          <w:lang w:eastAsia="lv-LV"/>
        </w:rPr>
        <w:br/>
      </w:r>
      <w:r w:rsidR="009D0003" w:rsidRPr="006B61DF">
        <w:rPr>
          <w:rFonts w:ascii="Aptos" w:hAnsi="Aptos" w:cs="Times New Roman"/>
          <w:b/>
          <w:sz w:val="24"/>
          <w:szCs w:val="24"/>
          <w:lang w:eastAsia="lv-LV"/>
        </w:rPr>
        <w:t>uz interešu konflikta jautājumu regulējumu</w:t>
      </w:r>
      <w:r w:rsidR="00DE70FC" w:rsidRPr="006B61DF">
        <w:rPr>
          <w:rFonts w:ascii="Aptos" w:hAnsi="Aptos" w:cs="Times New Roman"/>
          <w:b/>
          <w:sz w:val="24"/>
          <w:szCs w:val="24"/>
          <w:lang w:eastAsia="lv-LV"/>
        </w:rPr>
        <w:br/>
      </w:r>
      <w:r w:rsidR="009D0003" w:rsidRPr="006B61DF">
        <w:rPr>
          <w:rFonts w:ascii="Aptos" w:hAnsi="Aptos" w:cs="Times New Roman"/>
          <w:b/>
          <w:sz w:val="24"/>
          <w:szCs w:val="24"/>
          <w:lang w:eastAsia="lv-LV"/>
        </w:rPr>
        <w:t>un to integrāciju iekšējās kontroles sistēmā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6B61DF" w14:paraId="26EA4BF5" w14:textId="77777777" w:rsidTr="001E236F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6B61DF" w:rsidRDefault="009D0003" w:rsidP="00657662">
            <w:pPr>
              <w:spacing w:before="0" w:line="276" w:lineRule="auto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6B61DF" w14:paraId="685A173E" w14:textId="77777777" w:rsidTr="001E236F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70C668" w14:textId="77777777" w:rsidR="009D0003" w:rsidRPr="006B61DF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6B61DF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6B61DF" w14:paraId="3FB3BBA4" w14:textId="77777777" w:rsidTr="001E236F">
        <w:trPr>
          <w:jc w:val="center"/>
        </w:trPr>
        <w:tc>
          <w:tcPr>
            <w:tcW w:w="0" w:type="auto"/>
            <w:vMerge w:val="restart"/>
            <w:vAlign w:val="center"/>
          </w:tcPr>
          <w:p w14:paraId="128F1EAA" w14:textId="27BD9743" w:rsidR="000C303E" w:rsidRPr="006B61DF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6B61DF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0C303E" w:rsidRPr="006B61DF" w14:paraId="2F977FEC" w14:textId="77777777" w:rsidTr="001E236F">
        <w:trPr>
          <w:jc w:val="center"/>
        </w:trPr>
        <w:tc>
          <w:tcPr>
            <w:tcW w:w="0" w:type="auto"/>
            <w:vMerge/>
            <w:vAlign w:val="center"/>
          </w:tcPr>
          <w:p w14:paraId="6D32675B" w14:textId="77777777" w:rsidR="000C303E" w:rsidRPr="006B61DF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6B61DF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6B61DF" w14:paraId="63B840E0" w14:textId="77777777" w:rsidTr="001E236F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6B61DF" w:rsidRDefault="481EA91E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6B61DF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6B61DF" w14:paraId="13B56D3F" w14:textId="77777777" w:rsidTr="001E236F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9DC5D1" w14:textId="77777777" w:rsidR="009D0003" w:rsidRPr="006B61DF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6B61DF" w:rsidRDefault="11CD1D08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0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0"/>
                <w:lang w:eastAsia="lv-LV"/>
              </w:rPr>
              <w:t>sadarbības partnera</w:t>
            </w:r>
            <w:r w:rsidR="009D0003" w:rsidRPr="006B61DF">
              <w:rPr>
                <w:rFonts w:ascii="Aptos" w:hAnsi="Aptos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6B61DF" w14:paraId="49AEE786" w14:textId="77777777" w:rsidTr="001E236F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6B61DF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6B61DF" w14:paraId="4F797381" w14:textId="77777777" w:rsidTr="001E236F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5F4DD7D" w14:textId="77777777" w:rsidR="009D0003" w:rsidRPr="006B61DF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6B61DF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0150FDF3" w14:textId="66E5F5C1" w:rsidR="009D0003" w:rsidRPr="006B61DF" w:rsidRDefault="009D0003" w:rsidP="00280793">
      <w:pPr>
        <w:tabs>
          <w:tab w:val="left" w:pos="0"/>
        </w:tabs>
        <w:ind w:left="567"/>
        <w:rPr>
          <w:rFonts w:ascii="Aptos" w:eastAsia="Times New Roman" w:hAnsi="Aptos" w:cs="Times New Roman"/>
          <w:szCs w:val="24"/>
          <w:shd w:val="clear" w:color="auto" w:fill="FFFFFF"/>
        </w:rPr>
      </w:pPr>
      <w:r w:rsidRPr="006B61DF">
        <w:rPr>
          <w:rFonts w:ascii="Aptos" w:hAnsi="Aptos" w:cs="Times New Roman"/>
          <w:sz w:val="24"/>
          <w:szCs w:val="24"/>
          <w:lang w:eastAsia="lv-LV"/>
        </w:rPr>
        <w:t>apliecinu, ka</w:t>
      </w:r>
      <w:r w:rsidRPr="006B61DF">
        <w:rPr>
          <w:rFonts w:ascii="Aptos" w:hAnsi="Aptos" w:cs="Times New Roman"/>
          <w:szCs w:val="24"/>
          <w:shd w:val="clear" w:color="auto" w:fill="FFFFFF"/>
        </w:rPr>
        <w:t>:</w:t>
      </w:r>
    </w:p>
    <w:p w14:paraId="1B2AFDD7" w14:textId="727FCD9B" w:rsidR="009D0003" w:rsidRPr="006B61D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 xml:space="preserve">esmu informēts(-a) par </w:t>
      </w:r>
      <w:r w:rsidR="0016629F" w:rsidRPr="006B61DF">
        <w:rPr>
          <w:rFonts w:ascii="Aptos" w:hAnsi="Aptos" w:cs="Times New Roman"/>
          <w:b/>
          <w:bCs/>
          <w:lang w:eastAsia="lv-LV"/>
        </w:rPr>
        <w:t xml:space="preserve">Eiropas Parlamenta un Padomes 2024. gada 23. septembra </w:t>
      </w:r>
      <w:r w:rsidRPr="006B61DF">
        <w:rPr>
          <w:rFonts w:ascii="Aptos" w:hAnsi="Aptos" w:cs="Times New Roman"/>
          <w:b/>
          <w:bCs/>
          <w:lang w:eastAsia="lv-LV"/>
        </w:rPr>
        <w:t>R</w:t>
      </w:r>
      <w:r w:rsidR="0016629F" w:rsidRPr="006B61DF">
        <w:rPr>
          <w:rFonts w:ascii="Aptos" w:hAnsi="Aptos" w:cs="Times New Roman"/>
          <w:b/>
          <w:bCs/>
          <w:lang w:eastAsia="lv-LV"/>
        </w:rPr>
        <w:t>egulas (ES, Euratom) Nr. 2024/2509</w:t>
      </w:r>
      <w:r w:rsidR="0016629F" w:rsidRPr="006B61DF">
        <w:rPr>
          <w:rFonts w:ascii="Aptos" w:hAnsi="Aptos" w:cs="Times New Roman"/>
          <w:lang w:eastAsia="lv-LV"/>
        </w:rPr>
        <w:t xml:space="preserve"> par finanšu noteikumiem, ko piemēro Savienības vispārējam budžetam (turpmāk – Finanšu regula), </w:t>
      </w:r>
      <w:r w:rsidR="00D50E75" w:rsidRPr="006B61DF">
        <w:rPr>
          <w:rFonts w:ascii="Aptos" w:hAnsi="Aptos" w:cs="Times New Roman"/>
          <w:b/>
          <w:bCs/>
          <w:lang w:eastAsia="lv-LV"/>
        </w:rPr>
        <w:t>Eiropas Parlamenta un Padomes 2014.</w:t>
      </w:r>
      <w:r w:rsidR="006F16F9" w:rsidRPr="006B61DF">
        <w:rPr>
          <w:rFonts w:ascii="Aptos" w:hAnsi="Aptos" w:cs="Times New Roman"/>
          <w:b/>
          <w:bCs/>
          <w:lang w:eastAsia="lv-LV"/>
        </w:rPr>
        <w:t> </w:t>
      </w:r>
      <w:r w:rsidR="00D50E75" w:rsidRPr="006B61DF">
        <w:rPr>
          <w:rFonts w:ascii="Aptos" w:hAnsi="Aptos" w:cs="Times New Roman"/>
          <w:b/>
          <w:bCs/>
          <w:lang w:eastAsia="lv-LV"/>
        </w:rPr>
        <w:t>gada 26.</w:t>
      </w:r>
      <w:r w:rsidR="006F16F9" w:rsidRPr="006B61DF">
        <w:rPr>
          <w:rFonts w:ascii="Aptos" w:hAnsi="Aptos" w:cs="Times New Roman"/>
          <w:b/>
          <w:bCs/>
          <w:lang w:eastAsia="lv-LV"/>
        </w:rPr>
        <w:t> </w:t>
      </w:r>
      <w:r w:rsidR="00D50E75" w:rsidRPr="006B61DF">
        <w:rPr>
          <w:rFonts w:ascii="Aptos" w:hAnsi="Aptos" w:cs="Times New Roman"/>
          <w:b/>
          <w:bCs/>
          <w:lang w:eastAsia="lv-LV"/>
        </w:rPr>
        <w:t>februāra Direktīvas Nr.</w:t>
      </w:r>
      <w:r w:rsidR="006F16F9" w:rsidRPr="006B61DF">
        <w:rPr>
          <w:rFonts w:ascii="Aptos" w:hAnsi="Aptos" w:cs="Times New Roman"/>
          <w:b/>
          <w:bCs/>
          <w:lang w:eastAsia="lv-LV"/>
        </w:rPr>
        <w:t> </w:t>
      </w:r>
      <w:r w:rsidR="00D50E75" w:rsidRPr="006B61DF">
        <w:rPr>
          <w:rFonts w:ascii="Aptos" w:hAnsi="Aptos" w:cs="Times New Roman"/>
          <w:b/>
          <w:bCs/>
          <w:lang w:eastAsia="lv-LV"/>
        </w:rPr>
        <w:t>2014/24/ES</w:t>
      </w:r>
      <w:r w:rsidR="00D50E75" w:rsidRPr="006B61DF">
        <w:rPr>
          <w:rFonts w:ascii="Aptos" w:hAnsi="Aptos" w:cs="Times New Roman"/>
          <w:lang w:eastAsia="lv-LV"/>
        </w:rPr>
        <w:t xml:space="preserve"> par publisko iepirkumu un ar ko atceļ Direktīvu 2004/18/EK</w:t>
      </w:r>
      <w:r w:rsidRPr="006B61DF">
        <w:rPr>
          <w:rFonts w:ascii="Aptos" w:hAnsi="Aptos" w:cs="Times New Roman"/>
          <w:lang w:eastAsia="lv-LV"/>
        </w:rPr>
        <w:t xml:space="preserve">, </w:t>
      </w:r>
      <w:r w:rsidRPr="006B61DF">
        <w:rPr>
          <w:rFonts w:ascii="Aptos" w:hAnsi="Aptos" w:cs="Times New Roman"/>
          <w:b/>
          <w:bCs/>
          <w:lang w:eastAsia="lv-LV"/>
        </w:rPr>
        <w:t>likuma “Par interešu konflikta novēršanu valsts amatpersonu darbībā”</w:t>
      </w:r>
      <w:r w:rsidRPr="006B61DF">
        <w:rPr>
          <w:rFonts w:ascii="Aptos" w:hAnsi="Aptos" w:cs="Times New Roman"/>
          <w:lang w:eastAsia="lv-LV"/>
        </w:rPr>
        <w:t xml:space="preserve"> un </w:t>
      </w:r>
      <w:r w:rsidRPr="006B61DF">
        <w:rPr>
          <w:rFonts w:ascii="Aptos" w:hAnsi="Aptos" w:cs="Times New Roman"/>
          <w:b/>
          <w:bCs/>
          <w:lang w:eastAsia="lv-LV"/>
        </w:rPr>
        <w:t>Eiropas Komisijas paziņojuma Nr. C/2021/2119</w:t>
      </w:r>
      <w:r w:rsidRPr="006B61DF">
        <w:rPr>
          <w:rFonts w:ascii="Aptos" w:hAnsi="Aptos" w:cs="Times New Roman"/>
          <w:lang w:eastAsia="lv-LV"/>
        </w:rPr>
        <w:t xml:space="preserve"> </w:t>
      </w:r>
      <w:r w:rsidR="00C208D1" w:rsidRPr="006B61DF">
        <w:rPr>
          <w:rFonts w:ascii="Aptos" w:hAnsi="Aptos" w:cs="Times New Roman"/>
          <w:lang w:eastAsia="lv-LV"/>
        </w:rPr>
        <w:t>“Norādījumi par izvairīšanos no interešu konfliktiem un to pārvaldību saskaņā ar Finanšu regulu 2021/C 121/01”</w:t>
      </w:r>
      <w:r w:rsidR="00C0750A" w:rsidRPr="006B61DF">
        <w:rPr>
          <w:rFonts w:ascii="Aptos" w:hAnsi="Aptos" w:cs="Times New Roman"/>
          <w:lang w:eastAsia="lv-LV"/>
        </w:rPr>
        <w:t xml:space="preserve"> </w:t>
      </w:r>
      <w:r w:rsidRPr="006B61DF">
        <w:rPr>
          <w:rFonts w:ascii="Aptos" w:hAnsi="Aptos" w:cs="Times New Roman"/>
          <w:lang w:eastAsia="lv-LV"/>
        </w:rPr>
        <w:t>prasībām un apņemos tās ievērot;</w:t>
      </w:r>
    </w:p>
    <w:p w14:paraId="5B58DB2D" w14:textId="03CF3854" w:rsidR="009D0003" w:rsidRPr="006B61DF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="00024E3C" w:rsidRPr="006B61DF">
        <w:rPr>
          <w:rStyle w:val="FootnoteReference"/>
          <w:rFonts w:ascii="Aptos" w:hAnsi="Aptos" w:cs="Times New Roman"/>
          <w:lang w:eastAsia="lv-LV"/>
        </w:rPr>
        <w:t xml:space="preserve"> </w:t>
      </w:r>
      <w:r w:rsidR="00024E3C" w:rsidRPr="006B61DF">
        <w:rPr>
          <w:rFonts w:ascii="Aptos" w:hAnsi="Aptos" w:cs="Times New Roman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006B61DF">
        <w:rPr>
          <w:rFonts w:ascii="Aptos" w:hAnsi="Aptos" w:cs="Times New Roman"/>
          <w:lang w:eastAsia="lv-LV"/>
        </w:rPr>
        <w:t xml:space="preserve"> </w:t>
      </w:r>
      <w:r w:rsidRPr="006B61DF">
        <w:rPr>
          <w:rFonts w:ascii="Aptos" w:hAnsi="Aptos" w:cs="Times New Roman"/>
          <w:lang w:eastAsia="lv-LV"/>
        </w:rPr>
        <w:t>prasībām, k</w:t>
      </w:r>
      <w:r w:rsidR="00130E73" w:rsidRPr="006B61DF">
        <w:rPr>
          <w:rFonts w:ascii="Aptos" w:hAnsi="Aptos" w:cs="Times New Roman"/>
          <w:lang w:eastAsia="lv-LV"/>
        </w:rPr>
        <w:t>as</w:t>
      </w:r>
      <w:r w:rsidRPr="006B61DF">
        <w:rPr>
          <w:rFonts w:ascii="Aptos" w:hAnsi="Aptos" w:cs="Times New Roman"/>
          <w:lang w:eastAsia="lv-LV"/>
        </w:rPr>
        <w:t xml:space="preserve"> sevī ietver</w:t>
      </w:r>
      <w:r w:rsidR="00130E73" w:rsidRPr="006B61DF">
        <w:rPr>
          <w:rFonts w:ascii="Aptos" w:hAnsi="Aptos" w:cs="Times New Roman"/>
          <w:lang w:eastAsia="lv-LV"/>
        </w:rPr>
        <w:t xml:space="preserve"> arī</w:t>
      </w:r>
      <w:r w:rsidRPr="006B61DF">
        <w:rPr>
          <w:rFonts w:ascii="Aptos" w:hAnsi="Aptos" w:cs="Times New Roman"/>
          <w:lang w:eastAsia="lv-LV"/>
        </w:rPr>
        <w:t>:</w:t>
      </w:r>
    </w:p>
    <w:p w14:paraId="6C8B4AD4" w14:textId="3F733961" w:rsidR="00194846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006B61DF">
        <w:rPr>
          <w:rFonts w:ascii="Aptos" w:hAnsi="Aptos" w:cs="Times New Roman"/>
          <w:lang w:eastAsia="lv-LV"/>
        </w:rPr>
        <w:t>,</w:t>
      </w:r>
      <w:r w:rsidRPr="006B61DF">
        <w:rPr>
          <w:rFonts w:ascii="Aptos" w:hAnsi="Aptos" w:cs="Times New Roman"/>
          <w:lang w:eastAsia="lv-LV"/>
        </w:rPr>
        <w:t xml:space="preserve"> tai skaitā ietverot informāciju par interešu konflikta novēršanu saskaņā ar Finanšu regula</w:t>
      </w:r>
      <w:r w:rsidR="00194846" w:rsidRPr="006B61DF">
        <w:rPr>
          <w:rFonts w:ascii="Aptos" w:hAnsi="Aptos" w:cs="Times New Roman"/>
          <w:lang w:eastAsia="lv-LV"/>
        </w:rPr>
        <w:t>s</w:t>
      </w:r>
      <w:r w:rsidRPr="006B61DF">
        <w:rPr>
          <w:rFonts w:ascii="Aptos" w:hAnsi="Aptos" w:cs="Times New Roman"/>
          <w:lang w:eastAsia="lv-LV"/>
        </w:rPr>
        <w:t xml:space="preserve"> 61. pantu;</w:t>
      </w:r>
    </w:p>
    <w:p w14:paraId="7AC40500" w14:textId="4667B9FD" w:rsidR="006E0551" w:rsidRPr="006B61DF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Times New Roman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pasākumus</w:t>
      </w:r>
      <w:r w:rsidRPr="006B61DF">
        <w:rPr>
          <w:rFonts w:ascii="Aptos" w:eastAsia="Times New Roman" w:hAnsi="Aptos" w:cs="Times New Roman"/>
        </w:rPr>
        <w:t xml:space="preserve"> krāpšanas un korupcijas risku novēršanai</w:t>
      </w:r>
      <w:r w:rsidR="00333E49" w:rsidRPr="006B61DF">
        <w:rPr>
          <w:rFonts w:ascii="Aptos" w:eastAsia="Times New Roman" w:hAnsi="Aptos" w:cs="Times New Roman"/>
          <w:lang w:eastAsia="lv-LV"/>
        </w:rPr>
        <w:t>;</w:t>
      </w:r>
    </w:p>
    <w:p w14:paraId="655CFAE0" w14:textId="77777777" w:rsidR="006E0551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ētikas kodeksu;</w:t>
      </w:r>
    </w:p>
    <w:p w14:paraId="02F9B2CD" w14:textId="77777777" w:rsidR="006E0551" w:rsidRPr="006B61DF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B61DF">
        <w:rPr>
          <w:rFonts w:ascii="Aptos" w:hAnsi="Aptos" w:cs="Times New Roman"/>
          <w:lang w:eastAsia="lv-LV"/>
        </w:rPr>
        <w:t>koruptīvām</w:t>
      </w:r>
      <w:proofErr w:type="spellEnd"/>
      <w:r w:rsidRPr="006B61DF">
        <w:rPr>
          <w:rFonts w:ascii="Aptos" w:hAnsi="Aptos" w:cs="Times New Roman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Pr="006B61DF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pasākumus aizliegto vienošanos riska kontrolei;</w:t>
      </w:r>
    </w:p>
    <w:p w14:paraId="5CC7BE38" w14:textId="77777777" w:rsidR="006E0551" w:rsidRPr="006B61DF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B61DF">
        <w:rPr>
          <w:rFonts w:ascii="Aptos" w:hAnsi="Aptos" w:cs="Times New Roman"/>
          <w:lang w:eastAsia="lv-LV"/>
        </w:rPr>
        <w:t>“</w:t>
      </w:r>
      <w:r w:rsidRPr="006B61DF">
        <w:rPr>
          <w:rFonts w:ascii="Aptos" w:hAnsi="Aptos" w:cs="Times New Roman"/>
          <w:lang w:eastAsia="lv-LV"/>
        </w:rPr>
        <w:t>Izaugsme un nodarbinātība</w:t>
      </w:r>
      <w:r w:rsidR="006E0551" w:rsidRPr="006B61DF">
        <w:rPr>
          <w:rFonts w:ascii="Aptos" w:hAnsi="Aptos" w:cs="Times New Roman"/>
          <w:lang w:eastAsia="lv-LV"/>
        </w:rPr>
        <w:t>”</w:t>
      </w:r>
      <w:r w:rsidRPr="006B61DF">
        <w:rPr>
          <w:rFonts w:ascii="Aptos" w:hAnsi="Aptos" w:cs="Times New Roman"/>
          <w:lang w:eastAsia="lv-LV"/>
        </w:rPr>
        <w:t xml:space="preserve"> un citiem ārvalstu finanšu instrumentiem;</w:t>
      </w:r>
    </w:p>
    <w:p w14:paraId="7629D714" w14:textId="77777777" w:rsidR="006E0551" w:rsidRPr="006B61DF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trauksmes celšanas sistēmu;</w:t>
      </w:r>
    </w:p>
    <w:p w14:paraId="03503697" w14:textId="77777777" w:rsidR="006E0551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procedūru disciplināratbildības piemērošanai;</w:t>
      </w:r>
    </w:p>
    <w:p w14:paraId="26CA5A96" w14:textId="1456E6C5" w:rsidR="009D0003" w:rsidRPr="006B61D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lang w:eastAsia="lv-LV"/>
        </w:rPr>
      </w:pPr>
      <w:r w:rsidRPr="006B61DF">
        <w:rPr>
          <w:rFonts w:ascii="Aptos" w:eastAsia="Times New Roman" w:hAnsi="Aptos" w:cs="Times New Roman"/>
        </w:rPr>
        <w:lastRenderedPageBreak/>
        <w:t>ziņošanas mehānismu kompetentajām iestādēm par potenciāliem administratīviem vai kriminālpārkāpumiem</w:t>
      </w:r>
      <w:r w:rsidR="009D0003" w:rsidRPr="006B61DF">
        <w:rPr>
          <w:rFonts w:ascii="Aptos" w:hAnsi="Aptos" w:cs="Times New Roman"/>
          <w:lang w:eastAsia="lv-LV"/>
        </w:rPr>
        <w:t>.</w:t>
      </w:r>
    </w:p>
    <w:p w14:paraId="0C09D341" w14:textId="77777777" w:rsidR="00B1430C" w:rsidRPr="006B61DF" w:rsidRDefault="00B1430C" w:rsidP="00B1430C">
      <w:pPr>
        <w:spacing w:before="0"/>
        <w:rPr>
          <w:rFonts w:ascii="Aptos" w:hAnsi="Aptos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6B61DF" w14:paraId="1FE3B162" w14:textId="77777777" w:rsidTr="00657662">
        <w:tc>
          <w:tcPr>
            <w:tcW w:w="1413" w:type="dxa"/>
          </w:tcPr>
          <w:p w14:paraId="31F69C5E" w14:textId="27B42C2C" w:rsidR="009D0003" w:rsidRPr="006B61DF" w:rsidRDefault="009D0003" w:rsidP="00657662">
            <w:pPr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Paraksts</w:t>
            </w:r>
            <w:r w:rsidR="0009511F" w:rsidRPr="006B61DF">
              <w:rPr>
                <w:rStyle w:val="FootnoteReference"/>
                <w:rFonts w:ascii="Aptos" w:hAnsi="Aptos" w:cs="Times New Roman"/>
                <w:sz w:val="24"/>
                <w:szCs w:val="24"/>
                <w:lang w:eastAsia="lv-LV"/>
              </w:rPr>
              <w:footnoteReference w:id="2"/>
            </w: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6B61D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6B61DF" w:rsidRDefault="009D0003" w:rsidP="00657662">
            <w:pPr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  <w:p w14:paraId="3863F2B6" w14:textId="087B792D" w:rsidR="009D0003" w:rsidRPr="006B61DF" w:rsidRDefault="009D0003" w:rsidP="00657662">
            <w:pPr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Datums</w:t>
            </w:r>
            <w:r w:rsidR="003A01E6" w:rsidRPr="006B61DF">
              <w:rPr>
                <w:rStyle w:val="FootnoteReference"/>
                <w:rFonts w:ascii="Aptos" w:hAnsi="Aptos" w:cs="Times New Roman"/>
                <w:sz w:val="24"/>
                <w:szCs w:val="24"/>
                <w:lang w:eastAsia="lv-LV"/>
              </w:rPr>
              <w:footnoteReference w:id="3"/>
            </w: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:</w:t>
            </w:r>
          </w:p>
          <w:p w14:paraId="6D63108C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6B61D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6B61DF" w:rsidRDefault="009D0003" w:rsidP="00657662">
            <w:pPr>
              <w:spacing w:before="0" w:after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proofErr w:type="spellStart"/>
            <w:r w:rsidRPr="006B61DF">
              <w:rPr>
                <w:rFonts w:ascii="Aptos" w:hAnsi="Aptos" w:cs="Times New Roman"/>
                <w:szCs w:val="24"/>
                <w:lang w:eastAsia="lv-LV"/>
              </w:rPr>
              <w:t>dd</w:t>
            </w:r>
            <w:proofErr w:type="spellEnd"/>
            <w:r w:rsidRPr="006B61DF">
              <w:rPr>
                <w:rFonts w:ascii="Aptos" w:hAnsi="Aptos" w:cs="Times New Roman"/>
                <w:szCs w:val="24"/>
                <w:lang w:eastAsia="lv-LV"/>
              </w:rPr>
              <w:t>/mm/</w:t>
            </w:r>
            <w:proofErr w:type="spellStart"/>
            <w:r w:rsidRPr="006B61DF">
              <w:rPr>
                <w:rFonts w:ascii="Aptos" w:hAnsi="Aptos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1"/>
    </w:tbl>
    <w:p w14:paraId="0B5CB015" w14:textId="3AFE194C" w:rsidR="0003274A" w:rsidRPr="00280793" w:rsidRDefault="0003274A" w:rsidP="00280793">
      <w:pPr>
        <w:ind w:left="0" w:firstLine="0"/>
        <w:rPr>
          <w:rFonts w:ascii="Aptos" w:eastAsia="Times New Roman" w:hAnsi="Aptos" w:cs="Times New Roman"/>
          <w:color w:val="FF0000"/>
          <w:sz w:val="20"/>
          <w:szCs w:val="20"/>
          <w:lang w:eastAsia="lv-LV"/>
        </w:rPr>
      </w:pPr>
    </w:p>
    <w:sectPr w:rsidR="0003274A" w:rsidRPr="00280793" w:rsidSect="007034B0">
      <w:headerReference w:type="default" r:id="rId11"/>
      <w:footerReference w:type="default" r:id="rId12"/>
      <w:footerReference w:type="first" r:id="rId13"/>
      <w:pgSz w:w="11906" w:h="16838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93CA" w14:textId="77777777" w:rsidR="008D31F2" w:rsidRDefault="008D31F2" w:rsidP="009D0003">
      <w:pPr>
        <w:spacing w:before="0" w:after="0"/>
      </w:pPr>
      <w:r>
        <w:separator/>
      </w:r>
    </w:p>
  </w:endnote>
  <w:endnote w:type="continuationSeparator" w:id="0">
    <w:p w14:paraId="6EF3C2E0" w14:textId="77777777" w:rsidR="008D31F2" w:rsidRDefault="008D31F2" w:rsidP="009D0003">
      <w:pPr>
        <w:spacing w:before="0" w:after="0"/>
      </w:pPr>
      <w:r>
        <w:continuationSeparator/>
      </w:r>
    </w:p>
  </w:endnote>
  <w:endnote w:type="continuationNotice" w:id="1">
    <w:p w14:paraId="34CC8E8D" w14:textId="77777777" w:rsidR="008D31F2" w:rsidRDefault="008D31F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2F42" w14:textId="77777777" w:rsidR="008D31F2" w:rsidRDefault="008D31F2" w:rsidP="009D0003">
      <w:pPr>
        <w:spacing w:before="0" w:after="0"/>
      </w:pPr>
      <w:r>
        <w:separator/>
      </w:r>
    </w:p>
  </w:footnote>
  <w:footnote w:type="continuationSeparator" w:id="0">
    <w:p w14:paraId="442F7883" w14:textId="77777777" w:rsidR="008D31F2" w:rsidRDefault="008D31F2" w:rsidP="009D0003">
      <w:pPr>
        <w:spacing w:before="0" w:after="0"/>
      </w:pPr>
      <w:r>
        <w:continuationSeparator/>
      </w:r>
    </w:p>
  </w:footnote>
  <w:footnote w:type="continuationNotice" w:id="1">
    <w:p w14:paraId="6570AFFA" w14:textId="77777777" w:rsidR="008D31F2" w:rsidRDefault="008D31F2">
      <w:pPr>
        <w:spacing w:before="0" w:after="0"/>
      </w:pPr>
    </w:p>
  </w:footnote>
  <w:footnote w:id="2">
    <w:p w14:paraId="460F6774" w14:textId="7278C4E7" w:rsidR="0009511F" w:rsidRPr="0009511F" w:rsidRDefault="0009511F" w:rsidP="003A01E6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14:paraId="03E45596" w14:textId="36E77D08" w:rsidR="003A01E6" w:rsidRPr="003A01E6" w:rsidRDefault="003A01E6" w:rsidP="003A01E6">
      <w:pPr>
        <w:pStyle w:val="FootnoteText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1010"/>
    <w:rsid w:val="00024E3C"/>
    <w:rsid w:val="00026CD3"/>
    <w:rsid w:val="0003274A"/>
    <w:rsid w:val="00047774"/>
    <w:rsid w:val="00086112"/>
    <w:rsid w:val="00093B86"/>
    <w:rsid w:val="0009511F"/>
    <w:rsid w:val="000C303E"/>
    <w:rsid w:val="000E5DE7"/>
    <w:rsid w:val="000F34CE"/>
    <w:rsid w:val="000F5435"/>
    <w:rsid w:val="000F65B2"/>
    <w:rsid w:val="000F6B8E"/>
    <w:rsid w:val="00130E73"/>
    <w:rsid w:val="00132E6E"/>
    <w:rsid w:val="0014677F"/>
    <w:rsid w:val="00156DE6"/>
    <w:rsid w:val="001650F2"/>
    <w:rsid w:val="00165A4F"/>
    <w:rsid w:val="0016629F"/>
    <w:rsid w:val="00194846"/>
    <w:rsid w:val="001A2A10"/>
    <w:rsid w:val="001A6E82"/>
    <w:rsid w:val="001C1CB9"/>
    <w:rsid w:val="001E236F"/>
    <w:rsid w:val="001F2099"/>
    <w:rsid w:val="001F5868"/>
    <w:rsid w:val="00225B4D"/>
    <w:rsid w:val="00232E1D"/>
    <w:rsid w:val="0025540B"/>
    <w:rsid w:val="00280793"/>
    <w:rsid w:val="002A006A"/>
    <w:rsid w:val="002C2905"/>
    <w:rsid w:val="0031071B"/>
    <w:rsid w:val="00310E99"/>
    <w:rsid w:val="00314B69"/>
    <w:rsid w:val="00321BF2"/>
    <w:rsid w:val="00327447"/>
    <w:rsid w:val="00333E49"/>
    <w:rsid w:val="00345417"/>
    <w:rsid w:val="0035086C"/>
    <w:rsid w:val="0035675E"/>
    <w:rsid w:val="00372AD7"/>
    <w:rsid w:val="00387CAD"/>
    <w:rsid w:val="003A01E6"/>
    <w:rsid w:val="003C25EE"/>
    <w:rsid w:val="003D7E07"/>
    <w:rsid w:val="003E03F2"/>
    <w:rsid w:val="003F7F6A"/>
    <w:rsid w:val="0041490F"/>
    <w:rsid w:val="00414DD4"/>
    <w:rsid w:val="00432E0E"/>
    <w:rsid w:val="00451A20"/>
    <w:rsid w:val="004B111C"/>
    <w:rsid w:val="004E18A6"/>
    <w:rsid w:val="004F0162"/>
    <w:rsid w:val="004F41E9"/>
    <w:rsid w:val="0051533D"/>
    <w:rsid w:val="005249FD"/>
    <w:rsid w:val="00525726"/>
    <w:rsid w:val="00551F9F"/>
    <w:rsid w:val="00580E02"/>
    <w:rsid w:val="00580F23"/>
    <w:rsid w:val="0059452D"/>
    <w:rsid w:val="00594F38"/>
    <w:rsid w:val="005A4F57"/>
    <w:rsid w:val="005B007E"/>
    <w:rsid w:val="005B126E"/>
    <w:rsid w:val="005C6B1B"/>
    <w:rsid w:val="0060034E"/>
    <w:rsid w:val="00614A9B"/>
    <w:rsid w:val="00627F58"/>
    <w:rsid w:val="006313C0"/>
    <w:rsid w:val="00657662"/>
    <w:rsid w:val="00657BD4"/>
    <w:rsid w:val="006B61DF"/>
    <w:rsid w:val="006E0551"/>
    <w:rsid w:val="006F16F9"/>
    <w:rsid w:val="006F617C"/>
    <w:rsid w:val="007034B0"/>
    <w:rsid w:val="00723A0B"/>
    <w:rsid w:val="00755CE3"/>
    <w:rsid w:val="007569E4"/>
    <w:rsid w:val="00766438"/>
    <w:rsid w:val="007723F3"/>
    <w:rsid w:val="00777C4A"/>
    <w:rsid w:val="00793706"/>
    <w:rsid w:val="00794C2C"/>
    <w:rsid w:val="007B2519"/>
    <w:rsid w:val="007B2ED5"/>
    <w:rsid w:val="007F1C59"/>
    <w:rsid w:val="007F379B"/>
    <w:rsid w:val="00805A54"/>
    <w:rsid w:val="00845B5C"/>
    <w:rsid w:val="00865C25"/>
    <w:rsid w:val="00867CD9"/>
    <w:rsid w:val="00867F1E"/>
    <w:rsid w:val="008A53B8"/>
    <w:rsid w:val="008A6B25"/>
    <w:rsid w:val="008B432D"/>
    <w:rsid w:val="008C4509"/>
    <w:rsid w:val="008D31F2"/>
    <w:rsid w:val="008D7282"/>
    <w:rsid w:val="008E3D9C"/>
    <w:rsid w:val="008E6CE0"/>
    <w:rsid w:val="0090073D"/>
    <w:rsid w:val="00931EA7"/>
    <w:rsid w:val="0096118C"/>
    <w:rsid w:val="009A7148"/>
    <w:rsid w:val="009B0F4E"/>
    <w:rsid w:val="009B3E0A"/>
    <w:rsid w:val="009C03FF"/>
    <w:rsid w:val="009D0003"/>
    <w:rsid w:val="009D0734"/>
    <w:rsid w:val="009D22D7"/>
    <w:rsid w:val="009D589D"/>
    <w:rsid w:val="009D66A4"/>
    <w:rsid w:val="00A054EB"/>
    <w:rsid w:val="00A24663"/>
    <w:rsid w:val="00A26885"/>
    <w:rsid w:val="00A400F9"/>
    <w:rsid w:val="00A80C21"/>
    <w:rsid w:val="00AB5727"/>
    <w:rsid w:val="00AC6BEC"/>
    <w:rsid w:val="00B112C5"/>
    <w:rsid w:val="00B12258"/>
    <w:rsid w:val="00B1430C"/>
    <w:rsid w:val="00B3541D"/>
    <w:rsid w:val="00B36F7D"/>
    <w:rsid w:val="00B405AA"/>
    <w:rsid w:val="00B41CA1"/>
    <w:rsid w:val="00B614F8"/>
    <w:rsid w:val="00B66340"/>
    <w:rsid w:val="00B71F36"/>
    <w:rsid w:val="00B72387"/>
    <w:rsid w:val="00B86619"/>
    <w:rsid w:val="00B87F2D"/>
    <w:rsid w:val="00BB3365"/>
    <w:rsid w:val="00BC083A"/>
    <w:rsid w:val="00BE2F32"/>
    <w:rsid w:val="00C06449"/>
    <w:rsid w:val="00C0750A"/>
    <w:rsid w:val="00C1354F"/>
    <w:rsid w:val="00C15E52"/>
    <w:rsid w:val="00C208D1"/>
    <w:rsid w:val="00C235A9"/>
    <w:rsid w:val="00C251B0"/>
    <w:rsid w:val="00C27511"/>
    <w:rsid w:val="00C52E0B"/>
    <w:rsid w:val="00C57A39"/>
    <w:rsid w:val="00CC53FD"/>
    <w:rsid w:val="00CC6619"/>
    <w:rsid w:val="00CD1E63"/>
    <w:rsid w:val="00CE6B09"/>
    <w:rsid w:val="00D00994"/>
    <w:rsid w:val="00D50E75"/>
    <w:rsid w:val="00D5246F"/>
    <w:rsid w:val="00D6025D"/>
    <w:rsid w:val="00D8657B"/>
    <w:rsid w:val="00D91DF9"/>
    <w:rsid w:val="00D95FD0"/>
    <w:rsid w:val="00D97124"/>
    <w:rsid w:val="00DD29CC"/>
    <w:rsid w:val="00DE70FC"/>
    <w:rsid w:val="00DF0D50"/>
    <w:rsid w:val="00E5562A"/>
    <w:rsid w:val="00E613D5"/>
    <w:rsid w:val="00E775AA"/>
    <w:rsid w:val="00ED4C56"/>
    <w:rsid w:val="00EF6A02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47AE723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74379F4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4C8CB6C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3F2C3E9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F98CE96B-4A63-4618-BC18-7A0060B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81a6793cb9d799be2cf56460a42ef44c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25ce1e1fd3b31c1fe806c05066683953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D5550-FFCD-4FB6-ADF7-CB9BEADC9A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1702</Words>
  <Characters>971</Characters>
  <Application>Microsoft Office Word</Application>
  <DocSecurity>0</DocSecurity>
  <Lines>8</Lines>
  <Paragraphs>5</Paragraphs>
  <ScaleCrop>false</ScaleCrop>
  <Company>CFLA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Ilze Zotova</cp:lastModifiedBy>
  <cp:revision>3</cp:revision>
  <dcterms:created xsi:type="dcterms:W3CDTF">2025-06-30T09:50:00Z</dcterms:created>
  <dcterms:modified xsi:type="dcterms:W3CDTF">2025-10-31T12:36:00Z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