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DED1" w14:textId="6114AA27" w:rsidR="00DC6DB0" w:rsidRPr="00BB3EAE" w:rsidRDefault="00DC6DB0" w:rsidP="00903477">
      <w:pPr>
        <w:pBdr>
          <w:bottom w:val="single" w:sz="4" w:space="1" w:color="auto"/>
        </w:pBdr>
        <w:spacing w:before="60" w:after="60" w:line="240" w:lineRule="auto"/>
        <w:jc w:val="center"/>
        <w:rPr>
          <w:rFonts w:ascii="Times New Roman" w:hAnsi="Times New Roman" w:cs="Times New Roman"/>
          <w:b/>
          <w:bCs/>
          <w:smallCaps/>
          <w:sz w:val="32"/>
          <w:szCs w:val="32"/>
        </w:rPr>
      </w:pPr>
      <w:r>
        <w:rPr>
          <w:rFonts w:ascii="Times New Roman" w:hAnsi="Times New Roman"/>
          <w:b/>
          <w:smallCaps/>
          <w:sz w:val="32"/>
        </w:rPr>
        <w:t>Instructions for Completing the Simplified FEC Model</w:t>
      </w:r>
    </w:p>
    <w:p w14:paraId="4585CA46" w14:textId="77777777" w:rsidR="00DC6DB0" w:rsidRPr="00865A8F" w:rsidRDefault="00DC6DB0" w:rsidP="00DC6DB0">
      <w:pPr>
        <w:spacing w:before="60" w:after="60" w:line="240" w:lineRule="auto"/>
        <w:rPr>
          <w:rFonts w:ascii="Times New Roman" w:hAnsi="Times New Roman" w:cs="Times New Roman"/>
          <w:lang w:val="lv-LV"/>
        </w:rPr>
      </w:pPr>
    </w:p>
    <w:p w14:paraId="49EDA52C" w14:textId="662FB2DA" w:rsidR="005D72DF" w:rsidRPr="00BB3EAE" w:rsidRDefault="00DC6DB0" w:rsidP="00DC6DB0">
      <w:pPr>
        <w:spacing w:before="60" w:after="60" w:line="240" w:lineRule="auto"/>
        <w:rPr>
          <w:rFonts w:ascii="Times New Roman" w:hAnsi="Times New Roman" w:cs="Times New Roman"/>
          <w:b/>
          <w:bCs/>
          <w:sz w:val="24"/>
          <w:szCs w:val="24"/>
        </w:rPr>
      </w:pPr>
      <w:r>
        <w:rPr>
          <w:rFonts w:ascii="Times New Roman" w:hAnsi="Times New Roman"/>
          <w:b/>
          <w:sz w:val="24"/>
        </w:rPr>
        <w:t>1) Cover Sheet</w:t>
      </w:r>
    </w:p>
    <w:p w14:paraId="08682028" w14:textId="1FD9B29E" w:rsidR="00DC6DB0" w:rsidRPr="00865A8F" w:rsidRDefault="001D36DB" w:rsidP="00DC6DB0">
      <w:pPr>
        <w:spacing w:before="60" w:after="60" w:line="240" w:lineRule="auto"/>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324CE812" wp14:editId="671911D9">
                <wp:simplePos x="0" y="0"/>
                <wp:positionH relativeFrom="margin">
                  <wp:posOffset>3994362</wp:posOffset>
                </wp:positionH>
                <wp:positionV relativeFrom="paragraph">
                  <wp:posOffset>878205</wp:posOffset>
                </wp:positionV>
                <wp:extent cx="2257425" cy="438150"/>
                <wp:effectExtent l="1257300" t="0" r="28575" b="76200"/>
                <wp:wrapNone/>
                <wp:docPr id="2" name="Callout: Line 2"/>
                <wp:cNvGraphicFramePr/>
                <a:graphic xmlns:a="http://schemas.openxmlformats.org/drawingml/2006/main">
                  <a:graphicData uri="http://schemas.microsoft.com/office/word/2010/wordprocessingShape">
                    <wps:wsp>
                      <wps:cNvSpPr/>
                      <wps:spPr>
                        <a:xfrm>
                          <a:off x="0" y="0"/>
                          <a:ext cx="2257425" cy="438150"/>
                        </a:xfrm>
                        <a:prstGeom prst="borderCallout1">
                          <a:avLst>
                            <a:gd name="adj1" fmla="val 51359"/>
                            <a:gd name="adj2" fmla="val -4536"/>
                            <a:gd name="adj3" fmla="val 105012"/>
                            <a:gd name="adj4" fmla="val -53851"/>
                          </a:avLst>
                        </a:prstGeom>
                        <a:solidFill>
                          <a:schemeClr val="accent5">
                            <a:lumMod val="20000"/>
                            <a:lumOff val="80000"/>
                          </a:schemeClr>
                        </a:solidFill>
                        <a:ln w="12700">
                          <a:solidFill>
                            <a:srgbClr val="0070C0"/>
                          </a:solidFill>
                          <a:tailEnd type="oval"/>
                        </a:ln>
                      </wps:spPr>
                      <wps:style>
                        <a:lnRef idx="2">
                          <a:schemeClr val="accent1">
                            <a:shade val="50000"/>
                          </a:schemeClr>
                        </a:lnRef>
                        <a:fillRef idx="1">
                          <a:schemeClr val="accent1"/>
                        </a:fillRef>
                        <a:effectRef idx="0">
                          <a:schemeClr val="accent1"/>
                        </a:effectRef>
                        <a:fontRef idx="minor">
                          <a:schemeClr val="lt1"/>
                        </a:fontRef>
                      </wps:style>
                      <wps:txbx>
                        <w:txbxContent>
                          <w:p w14:paraId="54034B72" w14:textId="4EB45012" w:rsidR="005D72DF" w:rsidRPr="005D72DF" w:rsidRDefault="00C33E47" w:rsidP="005D72DF">
                            <w:pPr>
                              <w:spacing w:after="0" w:line="240" w:lineRule="auto"/>
                              <w:jc w:val="center"/>
                              <w:rPr>
                                <w:rFonts w:ascii="Times New Roman" w:hAnsi="Times New Roman" w:cs="Times New Roman"/>
                                <w:color w:val="0070C0"/>
                              </w:rPr>
                            </w:pPr>
                            <w:r>
                              <w:rPr>
                                <w:rFonts w:ascii="Times New Roman" w:hAnsi="Times New Roman"/>
                                <w:color w:val="0070C0"/>
                              </w:rPr>
                              <w:t>Enter the name of the PPP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4CE81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 o:spid="_x0000_s1026" type="#_x0000_t47" style="position:absolute;margin-left:314.5pt;margin-top:69.15pt;width:177.75pt;height:34.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" adj="-11632,22683,-980,11094" fillcolor="#daeef3 [664]" strokecolor="#0070c0" strokeweight="1pt">
                <v:stroke startarrow="oval"/>
                <v:textbox>
                  <w:txbxContent>
                    <w:p w14:paraId="54034B72" w14:textId="4EB45012" w:rsidR="005D72DF" w:rsidRPr="005D72DF" w:rsidRDefault="00C33E47" w:rsidP="005D72DF">
                      <w:pPr>
                        <w:spacing w:after="0" w:line="240" w:lineRule="auto"/>
                        <w:jc w:val="center"/>
                        <w:rPr>
                          <w:rFonts w:ascii="Times New Roman" w:hAnsi="Times New Roman" w:cs="Times New Roman"/>
                          <w:color w:val="0070C0"/>
                        </w:rPr>
                      </w:pPr>
                      <w:r>
                        <w:rPr>
                          <w:rFonts w:ascii="Times New Roman" w:hAnsi="Times New Roman"/>
                          <w:color w:val="0070C0"/>
                        </w:rPr>
                        <w:t>Enter the name of the PPP project</w:t>
                      </w:r>
                    </w:p>
                  </w:txbxContent>
                </v:textbox>
                <o:callout v:ext="edit" minusy="t"/>
                <w10:wrap anchorx="margin"/>
              </v:shape>
            </w:pict>
          </mc:Fallback>
        </mc:AlternateContent>
      </w:r>
      <w:r>
        <w:rPr>
          <w:rFonts w:ascii="Times New Roman" w:hAnsi="Times New Roman"/>
          <w:noProof/>
        </w:rPr>
        <mc:AlternateContent>
          <mc:Choice Requires="wps">
            <w:drawing>
              <wp:anchor distT="0" distB="0" distL="114300" distR="114300" simplePos="0" relativeHeight="251658243" behindDoc="0" locked="0" layoutInCell="1" allowOverlap="1" wp14:anchorId="5010094B" wp14:editId="12416D52">
                <wp:simplePos x="0" y="0"/>
                <wp:positionH relativeFrom="margin">
                  <wp:posOffset>3998807</wp:posOffset>
                </wp:positionH>
                <wp:positionV relativeFrom="paragraph">
                  <wp:posOffset>1591733</wp:posOffset>
                </wp:positionV>
                <wp:extent cx="2257425" cy="438150"/>
                <wp:effectExtent l="1409700" t="0" r="28575" b="247650"/>
                <wp:wrapNone/>
                <wp:docPr id="1222371006" name="Callout: Line 3"/>
                <wp:cNvGraphicFramePr/>
                <a:graphic xmlns:a="http://schemas.openxmlformats.org/drawingml/2006/main">
                  <a:graphicData uri="http://schemas.microsoft.com/office/word/2010/wordprocessingShape">
                    <wps:wsp>
                      <wps:cNvSpPr/>
                      <wps:spPr>
                        <a:xfrm>
                          <a:off x="0" y="0"/>
                          <a:ext cx="2257425" cy="438150"/>
                        </a:xfrm>
                        <a:prstGeom prst="borderCallout1">
                          <a:avLst>
                            <a:gd name="adj1" fmla="val 49185"/>
                            <a:gd name="adj2" fmla="val -2848"/>
                            <a:gd name="adj3" fmla="val 144288"/>
                            <a:gd name="adj4" fmla="val -60235"/>
                          </a:avLst>
                        </a:prstGeom>
                        <a:solidFill>
                          <a:schemeClr val="accent5">
                            <a:lumMod val="20000"/>
                            <a:lumOff val="80000"/>
                          </a:schemeClr>
                        </a:solidFill>
                        <a:ln w="12700">
                          <a:solidFill>
                            <a:srgbClr val="0070C0"/>
                          </a:solidFill>
                          <a:tailEnd type="oval"/>
                        </a:ln>
                      </wps:spPr>
                      <wps:style>
                        <a:lnRef idx="2">
                          <a:schemeClr val="accent1">
                            <a:shade val="50000"/>
                          </a:schemeClr>
                        </a:lnRef>
                        <a:fillRef idx="1">
                          <a:schemeClr val="accent1"/>
                        </a:fillRef>
                        <a:effectRef idx="0">
                          <a:schemeClr val="accent1"/>
                        </a:effectRef>
                        <a:fontRef idx="minor">
                          <a:schemeClr val="lt1"/>
                        </a:fontRef>
                      </wps:style>
                      <wps:txbx>
                        <w:txbxContent>
                          <w:p w14:paraId="290EBA6F" w14:textId="77777777" w:rsidR="00C33E47" w:rsidRPr="005D72DF" w:rsidRDefault="00C33E47" w:rsidP="00C33E47">
                            <w:pPr>
                              <w:spacing w:after="0" w:line="240" w:lineRule="auto"/>
                              <w:jc w:val="center"/>
                              <w:rPr>
                                <w:rFonts w:ascii="Times New Roman" w:hAnsi="Times New Roman" w:cs="Times New Roman"/>
                                <w:color w:val="0070C0"/>
                              </w:rPr>
                            </w:pPr>
                            <w:r>
                              <w:rPr>
                                <w:rFonts w:ascii="Times New Roman" w:hAnsi="Times New Roman"/>
                                <w:color w:val="0070C0"/>
                              </w:rPr>
                              <w:t>Select the alternatives analysed for the implementation of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10094B" id="Callout: Line 3" o:spid="_x0000_s1027" type="#_x0000_t47" style="position:absolute;margin-left:314.85pt;margin-top:125.35pt;width:177.75pt;height:34.5pt;z-index:25165824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" adj="-13011,31166,-615,10624" fillcolor="#daeef3 [664]" strokecolor="#0070c0" strokeweight="1pt">
                <v:stroke startarrow="oval"/>
                <v:textbox>
                  <w:txbxContent>
                    <w:p w14:paraId="290EBA6F" w14:textId="77777777" w:rsidR="00C33E47" w:rsidRPr="005D72DF" w:rsidRDefault="00C33E47" w:rsidP="00C33E47">
                      <w:pPr>
                        <w:spacing w:after="0" w:line="240" w:lineRule="auto"/>
                        <w:jc w:val="center"/>
                        <w:rPr>
                          <w:rFonts w:ascii="Times New Roman" w:hAnsi="Times New Roman" w:cs="Times New Roman"/>
                          <w:color w:val="0070C0"/>
                        </w:rPr>
                      </w:pPr>
                      <w:r>
                        <w:rPr>
                          <w:rFonts w:ascii="Times New Roman" w:hAnsi="Times New Roman"/>
                          <w:color w:val="0070C0"/>
                        </w:rPr>
                        <w:t>Select the alternatives analysed for the implementation of the project</w:t>
                      </w:r>
                    </w:p>
                  </w:txbxContent>
                </v:textbox>
                <o:callout v:ext="edit" minusy="t"/>
                <w10:wrap anchorx="margin"/>
              </v:shape>
            </w:pict>
          </mc:Fallback>
        </mc:AlternateContent>
      </w:r>
      <w:r>
        <w:rPr>
          <w:rFonts w:ascii="Times New Roman" w:hAnsi="Times New Roman"/>
          <w:noProof/>
        </w:rPr>
        <mc:AlternateContent>
          <mc:Choice Requires="wps">
            <w:drawing>
              <wp:anchor distT="0" distB="0" distL="114300" distR="114300" simplePos="0" relativeHeight="251658244" behindDoc="0" locked="0" layoutInCell="1" allowOverlap="1" wp14:anchorId="730BABEB" wp14:editId="45311750">
                <wp:simplePos x="0" y="0"/>
                <wp:positionH relativeFrom="margin">
                  <wp:posOffset>4000500</wp:posOffset>
                </wp:positionH>
                <wp:positionV relativeFrom="paragraph">
                  <wp:posOffset>2352040</wp:posOffset>
                </wp:positionV>
                <wp:extent cx="2257425" cy="438150"/>
                <wp:effectExtent l="1047750" t="0" r="28575" b="381000"/>
                <wp:wrapNone/>
                <wp:docPr id="121942027" name="Callout: Line 4"/>
                <wp:cNvGraphicFramePr/>
                <a:graphic xmlns:a="http://schemas.openxmlformats.org/drawingml/2006/main">
                  <a:graphicData uri="http://schemas.microsoft.com/office/word/2010/wordprocessingShape">
                    <wps:wsp>
                      <wps:cNvSpPr/>
                      <wps:spPr>
                        <a:xfrm>
                          <a:off x="0" y="0"/>
                          <a:ext cx="2257425" cy="438150"/>
                        </a:xfrm>
                        <a:prstGeom prst="borderCallout1">
                          <a:avLst>
                            <a:gd name="adj1" fmla="val 51359"/>
                            <a:gd name="adj2" fmla="val -4536"/>
                            <a:gd name="adj3" fmla="val 174046"/>
                            <a:gd name="adj4" fmla="val -44661"/>
                          </a:avLst>
                        </a:prstGeom>
                        <a:solidFill>
                          <a:schemeClr val="accent5">
                            <a:lumMod val="20000"/>
                            <a:lumOff val="80000"/>
                          </a:schemeClr>
                        </a:solidFill>
                        <a:ln w="12700">
                          <a:solidFill>
                            <a:srgbClr val="0070C0"/>
                          </a:solidFill>
                          <a:tailEnd type="oval"/>
                        </a:ln>
                      </wps:spPr>
                      <wps:style>
                        <a:lnRef idx="2">
                          <a:schemeClr val="accent1">
                            <a:shade val="50000"/>
                          </a:schemeClr>
                        </a:lnRef>
                        <a:fillRef idx="1">
                          <a:schemeClr val="accent1"/>
                        </a:fillRef>
                        <a:effectRef idx="0">
                          <a:schemeClr val="accent1"/>
                        </a:effectRef>
                        <a:fontRef idx="minor">
                          <a:schemeClr val="lt1"/>
                        </a:fontRef>
                      </wps:style>
                      <wps:txbx>
                        <w:txbxContent>
                          <w:p w14:paraId="34DCEC68" w14:textId="77777777" w:rsidR="00C33E47" w:rsidRPr="005D72DF" w:rsidRDefault="00C33E47" w:rsidP="00C33E47">
                            <w:pPr>
                              <w:spacing w:after="0" w:line="240" w:lineRule="auto"/>
                              <w:jc w:val="center"/>
                              <w:rPr>
                                <w:rFonts w:ascii="Times New Roman" w:hAnsi="Times New Roman" w:cs="Times New Roman"/>
                                <w:color w:val="0070C0"/>
                              </w:rPr>
                            </w:pPr>
                            <w:r>
                              <w:rPr>
                                <w:rFonts w:ascii="Times New Roman" w:hAnsi="Times New Roman"/>
                                <w:color w:val="0070C0"/>
                              </w:rPr>
                              <w:t>Indicate month and year of preparation of the FEC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0BABEB" id="Callout: Line 4" o:spid="_x0000_s1028" type="#_x0000_t47" style="position:absolute;margin-left:315pt;margin-top:185.2pt;width:177.75pt;height:34.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" adj="-9647,37594,-980,11094" fillcolor="#daeef3 [664]" strokecolor="#0070c0" strokeweight="1pt">
                <v:stroke startarrow="oval"/>
                <v:textbox>
                  <w:txbxContent>
                    <w:p w14:paraId="34DCEC68" w14:textId="77777777" w:rsidR="00C33E47" w:rsidRPr="005D72DF" w:rsidRDefault="00C33E47" w:rsidP="00C33E47">
                      <w:pPr>
                        <w:spacing w:after="0" w:line="240" w:lineRule="auto"/>
                        <w:jc w:val="center"/>
                        <w:rPr>
                          <w:rFonts w:ascii="Times New Roman" w:hAnsi="Times New Roman" w:cs="Times New Roman"/>
                          <w:color w:val="0070C0"/>
                        </w:rPr>
                      </w:pPr>
                      <w:r>
                        <w:rPr>
                          <w:rFonts w:ascii="Times New Roman" w:hAnsi="Times New Roman"/>
                          <w:color w:val="0070C0"/>
                        </w:rPr>
                        <w:t>Indicate month and year of preparation of the FEC</w:t>
                      </w:r>
                    </w:p>
                  </w:txbxContent>
                </v:textbox>
                <o:callout v:ext="edit" minusy="t"/>
                <w10:wrap anchorx="margin"/>
              </v:shape>
            </w:pict>
          </mc:Fallback>
        </mc:AlternateContent>
      </w:r>
    </w:p>
    <w:p w14:paraId="75296D61" w14:textId="7DA61882" w:rsidR="00085430" w:rsidRDefault="007E430C" w:rsidP="00F515CF">
      <w:pPr>
        <w:jc w:val="both"/>
        <w:rPr>
          <w:rFonts w:ascii="Times New Roman" w:hAnsi="Times New Roman" w:cs="Times New Roman"/>
          <w:lang w:val="lv-LV"/>
        </w:rPr>
      </w:pPr>
      <w:r>
        <w:rPr>
          <w:rFonts w:ascii="Times New Roman" w:hAnsi="Times New Roman"/>
          <w:noProof/>
        </w:rPr>
        <w:drawing>
          <wp:anchor distT="0" distB="0" distL="114300" distR="114300" simplePos="0" relativeHeight="251658246" behindDoc="1" locked="0" layoutInCell="1" allowOverlap="1" wp14:anchorId="769A762A" wp14:editId="05FFAF52">
            <wp:simplePos x="0" y="0"/>
            <wp:positionH relativeFrom="margin">
              <wp:align>left</wp:align>
            </wp:positionH>
            <wp:positionV relativeFrom="paragraph">
              <wp:posOffset>195248</wp:posOffset>
            </wp:positionV>
            <wp:extent cx="3481705" cy="3527425"/>
            <wp:effectExtent l="19050" t="19050" r="23495" b="158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481705" cy="3527425"/>
                    </a:xfrm>
                    <a:prstGeom prst="rect">
                      <a:avLst/>
                    </a:prstGeom>
                    <a:ln>
                      <a:solidFill>
                        <a:srgbClr val="0070C0"/>
                      </a:solidFill>
                    </a:ln>
                  </pic:spPr>
                </pic:pic>
              </a:graphicData>
            </a:graphic>
          </wp:anchor>
        </w:drawing>
      </w:r>
    </w:p>
    <w:p w14:paraId="3C5C3712" w14:textId="77777777" w:rsidR="007E430C" w:rsidRDefault="007E430C" w:rsidP="00F515CF">
      <w:pPr>
        <w:jc w:val="both"/>
        <w:rPr>
          <w:rFonts w:ascii="Times New Roman" w:hAnsi="Times New Roman" w:cs="Times New Roman"/>
          <w:lang w:val="lv-LV"/>
        </w:rPr>
      </w:pPr>
    </w:p>
    <w:p w14:paraId="3D554AE6" w14:textId="77777777" w:rsidR="007E430C" w:rsidRDefault="007E430C" w:rsidP="00F515CF">
      <w:pPr>
        <w:jc w:val="both"/>
        <w:rPr>
          <w:rFonts w:ascii="Times New Roman" w:hAnsi="Times New Roman" w:cs="Times New Roman"/>
          <w:lang w:val="lv-LV"/>
        </w:rPr>
      </w:pPr>
    </w:p>
    <w:p w14:paraId="55420E81" w14:textId="77777777" w:rsidR="007E430C" w:rsidRDefault="007E430C" w:rsidP="00F515CF">
      <w:pPr>
        <w:jc w:val="both"/>
        <w:rPr>
          <w:rFonts w:ascii="Times New Roman" w:hAnsi="Times New Roman" w:cs="Times New Roman"/>
          <w:lang w:val="lv-LV"/>
        </w:rPr>
      </w:pPr>
    </w:p>
    <w:p w14:paraId="6338C690" w14:textId="77777777" w:rsidR="007E430C" w:rsidRDefault="007E430C" w:rsidP="00F515CF">
      <w:pPr>
        <w:jc w:val="both"/>
        <w:rPr>
          <w:rFonts w:ascii="Times New Roman" w:hAnsi="Times New Roman" w:cs="Times New Roman"/>
          <w:lang w:val="lv-LV"/>
        </w:rPr>
      </w:pPr>
    </w:p>
    <w:p w14:paraId="1FEC075C" w14:textId="77777777" w:rsidR="007E430C" w:rsidRDefault="007E430C" w:rsidP="00F515CF">
      <w:pPr>
        <w:jc w:val="both"/>
        <w:rPr>
          <w:rFonts w:ascii="Times New Roman" w:hAnsi="Times New Roman" w:cs="Times New Roman"/>
          <w:lang w:val="lv-LV"/>
        </w:rPr>
      </w:pPr>
    </w:p>
    <w:p w14:paraId="6C739712" w14:textId="77777777" w:rsidR="007E430C" w:rsidRDefault="007E430C" w:rsidP="00F515CF">
      <w:pPr>
        <w:jc w:val="both"/>
        <w:rPr>
          <w:rFonts w:ascii="Times New Roman" w:hAnsi="Times New Roman" w:cs="Times New Roman"/>
          <w:lang w:val="lv-LV"/>
        </w:rPr>
      </w:pPr>
    </w:p>
    <w:p w14:paraId="66CB2EB4" w14:textId="77777777" w:rsidR="007E430C" w:rsidRDefault="007E430C" w:rsidP="00F515CF">
      <w:pPr>
        <w:jc w:val="both"/>
        <w:rPr>
          <w:rFonts w:ascii="Times New Roman" w:hAnsi="Times New Roman" w:cs="Times New Roman"/>
          <w:lang w:val="lv-LV"/>
        </w:rPr>
      </w:pPr>
    </w:p>
    <w:p w14:paraId="6F27D6E1" w14:textId="77777777" w:rsidR="007E430C" w:rsidRDefault="007E430C" w:rsidP="00F515CF">
      <w:pPr>
        <w:jc w:val="both"/>
        <w:rPr>
          <w:rFonts w:ascii="Times New Roman" w:hAnsi="Times New Roman" w:cs="Times New Roman"/>
          <w:lang w:val="lv-LV"/>
        </w:rPr>
      </w:pPr>
    </w:p>
    <w:p w14:paraId="4447C855" w14:textId="77777777" w:rsidR="007E430C" w:rsidRDefault="007E430C" w:rsidP="00F515CF">
      <w:pPr>
        <w:jc w:val="both"/>
        <w:rPr>
          <w:rFonts w:ascii="Times New Roman" w:hAnsi="Times New Roman" w:cs="Times New Roman"/>
          <w:lang w:val="lv-LV"/>
        </w:rPr>
      </w:pPr>
    </w:p>
    <w:p w14:paraId="153CEDAE" w14:textId="77777777" w:rsidR="007E430C" w:rsidRDefault="007E430C" w:rsidP="00F515CF">
      <w:pPr>
        <w:jc w:val="both"/>
        <w:rPr>
          <w:rFonts w:ascii="Times New Roman" w:hAnsi="Times New Roman" w:cs="Times New Roman"/>
          <w:lang w:val="lv-LV"/>
        </w:rPr>
      </w:pPr>
    </w:p>
    <w:p w14:paraId="34A11269" w14:textId="77777777" w:rsidR="007E430C" w:rsidRDefault="007E430C" w:rsidP="00F515CF">
      <w:pPr>
        <w:jc w:val="both"/>
        <w:rPr>
          <w:rFonts w:ascii="Times New Roman" w:hAnsi="Times New Roman" w:cs="Times New Roman"/>
          <w:lang w:val="lv-LV"/>
        </w:rPr>
      </w:pPr>
    </w:p>
    <w:p w14:paraId="5E626D7C" w14:textId="77777777" w:rsidR="007E430C" w:rsidRDefault="007E430C" w:rsidP="00F515CF">
      <w:pPr>
        <w:jc w:val="both"/>
        <w:rPr>
          <w:rFonts w:ascii="Times New Roman" w:hAnsi="Times New Roman" w:cs="Times New Roman"/>
          <w:lang w:val="lv-LV"/>
        </w:rPr>
      </w:pPr>
    </w:p>
    <w:p w14:paraId="3918BC5A" w14:textId="77777777" w:rsidR="007E430C" w:rsidRDefault="007E430C" w:rsidP="00F515CF">
      <w:pPr>
        <w:jc w:val="both"/>
        <w:rPr>
          <w:rFonts w:ascii="Times New Roman" w:hAnsi="Times New Roman" w:cs="Times New Roman"/>
          <w:lang w:val="lv-LV"/>
        </w:rPr>
      </w:pPr>
    </w:p>
    <w:p w14:paraId="3133EED4" w14:textId="77777777" w:rsidR="007E430C" w:rsidRDefault="007E430C" w:rsidP="00F515CF">
      <w:pPr>
        <w:jc w:val="both"/>
        <w:rPr>
          <w:rFonts w:ascii="Times New Roman" w:hAnsi="Times New Roman"/>
        </w:rPr>
      </w:pPr>
    </w:p>
    <w:p w14:paraId="22254052" w14:textId="77777777" w:rsidR="007E430C" w:rsidRDefault="007E430C" w:rsidP="00F515CF">
      <w:pPr>
        <w:jc w:val="both"/>
        <w:rPr>
          <w:rFonts w:ascii="Times New Roman" w:hAnsi="Times New Roman"/>
        </w:rPr>
      </w:pPr>
    </w:p>
    <w:p w14:paraId="22F0A7C6" w14:textId="305E0652" w:rsidR="00DC6DB0" w:rsidRPr="00085430" w:rsidRDefault="00F515CF" w:rsidP="00F515CF">
      <w:pPr>
        <w:jc w:val="both"/>
        <w:rPr>
          <w:rFonts w:ascii="Times New Roman" w:hAnsi="Times New Roman" w:cs="Times New Roman"/>
        </w:rPr>
      </w:pPr>
      <w:r>
        <w:rPr>
          <w:rFonts w:ascii="Times New Roman" w:hAnsi="Times New Roman"/>
        </w:rPr>
        <w:t xml:space="preserve">When completing the cover sheet, you must mark </w:t>
      </w:r>
      <w:r>
        <w:rPr>
          <w:rFonts w:ascii="Times New Roman" w:hAnsi="Times New Roman"/>
          <w:b/>
          <w:i/>
        </w:rPr>
        <w:t>(Yes</w:t>
      </w:r>
      <w:r>
        <w:rPr>
          <w:rFonts w:ascii="Times New Roman" w:hAnsi="Times New Roman"/>
        </w:rPr>
        <w:t xml:space="preserve"> or </w:t>
      </w:r>
      <w:r>
        <w:rPr>
          <w:rFonts w:ascii="Times New Roman" w:hAnsi="Times New Roman"/>
          <w:b/>
          <w:i/>
        </w:rPr>
        <w:t>No</w:t>
      </w:r>
      <w:r>
        <w:rPr>
          <w:rFonts w:ascii="Times New Roman" w:hAnsi="Times New Roman"/>
        </w:rPr>
        <w:t xml:space="preserve">) all the alternatives. The model provides for two baseline alternatives, where the public partner can implement the project by itself, investing and bearing the other costs within the framework of its main activity, or by carrying out a public procurement in accordance with the contractual timeframes set by the applicable law. For the alternatives to be comparable, the timeframes in the alternatives must be the same. Depending on the scope of the project and the experience of the public partner, both baseline alternatives or only one can be filled in. The NPV worksheets will allow for the completion of the tables included, in accordance with the marks made on the cover sheet for the selected alternatives. If no alternative is selected, the corresponding NPV worksheet will display the message </w:t>
      </w:r>
      <w:r>
        <w:rPr>
          <w:rFonts w:ascii="Times New Roman" w:hAnsi="Times New Roman"/>
          <w:b/>
          <w:i/>
        </w:rPr>
        <w:t xml:space="preserve">DO NOT COMPLETE </w:t>
      </w:r>
      <w:r>
        <w:rPr>
          <w:rFonts w:ascii="Times New Roman" w:hAnsi="Times New Roman"/>
        </w:rPr>
        <w:t>and the tables will be inactive.</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3730"/>
        <w:gridCol w:w="6040"/>
      </w:tblGrid>
      <w:tr w:rsidR="0016699E" w14:paraId="4A992D82" w14:textId="77777777" w:rsidTr="0016699E">
        <w:trPr>
          <w:trHeight w:val="368"/>
        </w:trPr>
        <w:tc>
          <w:tcPr>
            <w:tcW w:w="3549" w:type="dxa"/>
            <w:vMerge w:val="restart"/>
          </w:tcPr>
          <w:p w14:paraId="23786996" w14:textId="0AE15D45" w:rsidR="00085430" w:rsidRDefault="00922CC7" w:rsidP="00F515CF">
            <w:pPr>
              <w:jc w:val="both"/>
              <w:rPr>
                <w:rFonts w:ascii="Times New Roman" w:hAnsi="Times New Roman" w:cs="Times New Roman"/>
              </w:rPr>
            </w:pPr>
            <w:r w:rsidRPr="00E5684A">
              <w:rPr>
                <w:rFonts w:ascii="Times New Roman" w:hAnsi="Times New Roman" w:cs="Times New Roman"/>
                <w:noProof/>
                <w:lang w:val="lv-LV"/>
              </w:rPr>
              <w:drawing>
                <wp:inline distT="0" distB="0" distL="0" distR="0" wp14:anchorId="02C3E707" wp14:editId="1A6F4C8B">
                  <wp:extent cx="2254470" cy="516835"/>
                  <wp:effectExtent l="0" t="0" r="0" b="0"/>
                  <wp:docPr id="1025791913"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91913" name="Picture 1" descr="A close up of a text&#10;&#10;AI-generated content may be incorrect."/>
                          <pic:cNvPicPr/>
                        </pic:nvPicPr>
                        <pic:blipFill>
                          <a:blip r:embed="rId13"/>
                          <a:stretch>
                            <a:fillRect/>
                          </a:stretch>
                        </pic:blipFill>
                        <pic:spPr>
                          <a:xfrm>
                            <a:off x="0" y="0"/>
                            <a:ext cx="2280191" cy="522732"/>
                          </a:xfrm>
                          <a:prstGeom prst="rect">
                            <a:avLst/>
                          </a:prstGeom>
                        </pic:spPr>
                      </pic:pic>
                    </a:graphicData>
                  </a:graphic>
                </wp:inline>
              </w:drawing>
            </w:r>
          </w:p>
        </w:tc>
        <w:tc>
          <w:tcPr>
            <w:tcW w:w="6221" w:type="dxa"/>
          </w:tcPr>
          <w:p w14:paraId="0229ECE2" w14:textId="77777777" w:rsidR="00085430" w:rsidRDefault="00922CC7" w:rsidP="00F515CF">
            <w:pPr>
              <w:jc w:val="both"/>
              <w:rPr>
                <w:rFonts w:ascii="Times New Roman" w:hAnsi="Times New Roman" w:cs="Times New Roman"/>
              </w:rPr>
            </w:pPr>
            <w:r w:rsidRPr="00922CC7">
              <w:rPr>
                <w:rFonts w:ascii="Times New Roman" w:hAnsi="Times New Roman" w:cs="Times New Roman"/>
                <w:noProof/>
                <w:lang w:val="lv-LV"/>
              </w:rPr>
              <w:drawing>
                <wp:inline distT="0" distB="0" distL="0" distR="0" wp14:anchorId="0D8ED7E1" wp14:editId="7DED54E1">
                  <wp:extent cx="3559616" cy="214685"/>
                  <wp:effectExtent l="0" t="0" r="3175" b="0"/>
                  <wp:docPr id="727540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40402" name=""/>
                          <pic:cNvPicPr/>
                        </pic:nvPicPr>
                        <pic:blipFill>
                          <a:blip r:embed="rId14"/>
                          <a:stretch>
                            <a:fillRect/>
                          </a:stretch>
                        </pic:blipFill>
                        <pic:spPr>
                          <a:xfrm>
                            <a:off x="0" y="0"/>
                            <a:ext cx="3560711" cy="214751"/>
                          </a:xfrm>
                          <a:prstGeom prst="rect">
                            <a:avLst/>
                          </a:prstGeom>
                        </pic:spPr>
                      </pic:pic>
                    </a:graphicData>
                  </a:graphic>
                </wp:inline>
              </w:drawing>
            </w:r>
          </w:p>
          <w:p w14:paraId="5D77738F" w14:textId="78B1041F" w:rsidR="0016699E" w:rsidRDefault="0016699E" w:rsidP="00F515CF">
            <w:pPr>
              <w:jc w:val="both"/>
              <w:rPr>
                <w:rFonts w:ascii="Times New Roman" w:hAnsi="Times New Roman" w:cs="Times New Roman"/>
              </w:rPr>
            </w:pPr>
            <w:r w:rsidRPr="00922CC7">
              <w:rPr>
                <w:rFonts w:ascii="Times New Roman" w:hAnsi="Times New Roman" w:cs="Times New Roman"/>
                <w:noProof/>
                <w:lang w:val="lv-LV"/>
              </w:rPr>
              <w:drawing>
                <wp:inline distT="0" distB="0" distL="0" distR="0" wp14:anchorId="39F80B01" wp14:editId="0AD26D8D">
                  <wp:extent cx="3737113" cy="248693"/>
                  <wp:effectExtent l="0" t="0" r="0" b="0"/>
                  <wp:docPr id="1749943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43858" name=""/>
                          <pic:cNvPicPr/>
                        </pic:nvPicPr>
                        <pic:blipFill>
                          <a:blip r:embed="rId15"/>
                          <a:stretch>
                            <a:fillRect/>
                          </a:stretch>
                        </pic:blipFill>
                        <pic:spPr>
                          <a:xfrm>
                            <a:off x="0" y="0"/>
                            <a:ext cx="4053891" cy="269774"/>
                          </a:xfrm>
                          <a:prstGeom prst="rect">
                            <a:avLst/>
                          </a:prstGeom>
                        </pic:spPr>
                      </pic:pic>
                    </a:graphicData>
                  </a:graphic>
                </wp:inline>
              </w:drawing>
            </w:r>
          </w:p>
        </w:tc>
      </w:tr>
      <w:tr w:rsidR="0016699E" w14:paraId="4F6EC8C1" w14:textId="77777777" w:rsidTr="0016699E">
        <w:trPr>
          <w:trHeight w:val="368"/>
        </w:trPr>
        <w:tc>
          <w:tcPr>
            <w:tcW w:w="3549" w:type="dxa"/>
            <w:vMerge/>
          </w:tcPr>
          <w:p w14:paraId="7173B807" w14:textId="77777777" w:rsidR="00085430" w:rsidRDefault="00085430" w:rsidP="00F515CF">
            <w:pPr>
              <w:jc w:val="both"/>
              <w:rPr>
                <w:rFonts w:ascii="Times New Roman" w:hAnsi="Times New Roman" w:cs="Times New Roman"/>
                <w:lang w:val="lv-LV"/>
              </w:rPr>
            </w:pPr>
          </w:p>
        </w:tc>
        <w:tc>
          <w:tcPr>
            <w:tcW w:w="6221" w:type="dxa"/>
          </w:tcPr>
          <w:p w14:paraId="7F67E2A5" w14:textId="1304F30D" w:rsidR="00085430" w:rsidRDefault="00085430" w:rsidP="00F515CF">
            <w:pPr>
              <w:jc w:val="both"/>
              <w:rPr>
                <w:rFonts w:ascii="Times New Roman" w:hAnsi="Times New Roman" w:cs="Times New Roman"/>
              </w:rPr>
            </w:pPr>
          </w:p>
        </w:tc>
      </w:tr>
    </w:tbl>
    <w:p w14:paraId="6AA465A0" w14:textId="760D84A5" w:rsidR="00922CC7" w:rsidRPr="00865A8F" w:rsidRDefault="00922CC7" w:rsidP="00F515CF">
      <w:pPr>
        <w:jc w:val="both"/>
        <w:rPr>
          <w:rFonts w:ascii="Times New Roman" w:hAnsi="Times New Roman" w:cs="Times New Roman"/>
          <w:lang w:val="lv-LV"/>
        </w:rPr>
      </w:pPr>
    </w:p>
    <w:p w14:paraId="23E040EF" w14:textId="5C17B452" w:rsidR="00865A8F" w:rsidRPr="00BB3EAE" w:rsidRDefault="005F0498" w:rsidP="00BB3EAE">
      <w:pPr>
        <w:shd w:val="clear" w:color="auto" w:fill="D9D9D9" w:themeFill="background1" w:themeFillShade="D9"/>
        <w:rPr>
          <w:rFonts w:ascii="Times New Roman" w:hAnsi="Times New Roman" w:cs="Times New Roman"/>
          <w:b/>
          <w:bCs/>
          <w:sz w:val="24"/>
          <w:szCs w:val="24"/>
        </w:rPr>
      </w:pPr>
      <w:r>
        <w:rPr>
          <w:rFonts w:ascii="Times New Roman" w:hAnsi="Times New Roman"/>
          <w:b/>
          <w:sz w:val="24"/>
        </w:rPr>
        <w:t>2) Assumptions</w:t>
      </w:r>
    </w:p>
    <w:p w14:paraId="146D96FE" w14:textId="7FB54F08" w:rsidR="005F0498" w:rsidRDefault="00EA304C" w:rsidP="008006A3">
      <w:pPr>
        <w:jc w:val="both"/>
        <w:rPr>
          <w:rFonts w:ascii="Times New Roman" w:hAnsi="Times New Roman" w:cs="Times New Roman"/>
        </w:rPr>
      </w:pPr>
      <w:r>
        <w:rPr>
          <w:rFonts w:ascii="Times New Roman" w:hAnsi="Times New Roman"/>
        </w:rPr>
        <w:t xml:space="preserve">The </w:t>
      </w:r>
      <w:r>
        <w:rPr>
          <w:rFonts w:ascii="Times New Roman" w:hAnsi="Times New Roman"/>
          <w:b/>
        </w:rPr>
        <w:t xml:space="preserve">Assumptions </w:t>
      </w:r>
      <w:r>
        <w:rPr>
          <w:rFonts w:ascii="Times New Roman" w:hAnsi="Times New Roman"/>
        </w:rPr>
        <w:t>worksheet must show all assumptions, input data and sources used in the project calculations, so that all costs and revenues can be tracked in the cash flow statements:</w:t>
      </w:r>
    </w:p>
    <w:p w14:paraId="468C77F3" w14:textId="0E53760A" w:rsidR="0056239F" w:rsidRDefault="00FA0446" w:rsidP="00DC6DB0">
      <w:pPr>
        <w:rPr>
          <w:rFonts w:ascii="Times New Roman" w:hAnsi="Times New Roman" w:cs="Times New Roman"/>
        </w:rPr>
      </w:pPr>
      <w:r w:rsidRPr="00FA0446">
        <w:rPr>
          <w:rFonts w:ascii="Times New Roman" w:hAnsi="Times New Roman" w:cs="Times New Roman"/>
          <w:noProof/>
        </w:rPr>
        <w:drawing>
          <wp:inline distT="0" distB="0" distL="0" distR="0" wp14:anchorId="32E425B7" wp14:editId="3D2A52A8">
            <wp:extent cx="6210300" cy="2381250"/>
            <wp:effectExtent l="19050" t="19050" r="19050" b="19050"/>
            <wp:docPr id="565966389" name="Attēls 1" descr="Attēls, kurā ir teksts, ekrānuzņēmums, cipar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66389" name="Attēls 1" descr="Attēls, kurā ir teksts, ekrānuzņēmums, cipars, rinda&#10;&#10;Mākslīgā intelekta ģenerēts saturs var būt nepareizs."/>
                    <pic:cNvPicPr/>
                  </pic:nvPicPr>
                  <pic:blipFill>
                    <a:blip r:embed="rId16"/>
                    <a:stretch>
                      <a:fillRect/>
                    </a:stretch>
                  </pic:blipFill>
                  <pic:spPr>
                    <a:xfrm>
                      <a:off x="0" y="0"/>
                      <a:ext cx="6210300" cy="2381250"/>
                    </a:xfrm>
                    <a:prstGeom prst="rect">
                      <a:avLst/>
                    </a:prstGeom>
                    <a:ln>
                      <a:solidFill>
                        <a:schemeClr val="accent1"/>
                      </a:solidFill>
                    </a:ln>
                  </pic:spPr>
                </pic:pic>
              </a:graphicData>
            </a:graphic>
          </wp:inline>
        </w:drawing>
      </w:r>
    </w:p>
    <w:p w14:paraId="362266FD" w14:textId="46A7B7CF" w:rsidR="000A790A" w:rsidRDefault="0056239F" w:rsidP="0048001A">
      <w:pPr>
        <w:jc w:val="both"/>
        <w:rPr>
          <w:rFonts w:ascii="Times New Roman" w:hAnsi="Times New Roman" w:cs="Times New Roman"/>
        </w:rPr>
      </w:pPr>
      <w:r>
        <w:rPr>
          <w:rFonts w:ascii="Times New Roman" w:hAnsi="Times New Roman"/>
        </w:rPr>
        <w:t xml:space="preserve">The Assumptions worksheet is essential to avoid manually inserting data separately into each worksheet, as the input data is entered only once and used accordingly in both the </w:t>
      </w:r>
      <w:r>
        <w:rPr>
          <w:rFonts w:ascii="Times New Roman" w:hAnsi="Times New Roman"/>
          <w:b/>
        </w:rPr>
        <w:t>Project</w:t>
      </w:r>
      <w:r>
        <w:rPr>
          <w:rFonts w:ascii="Times New Roman" w:hAnsi="Times New Roman"/>
        </w:rPr>
        <w:t xml:space="preserve"> and </w:t>
      </w:r>
      <w:r>
        <w:rPr>
          <w:rFonts w:ascii="Times New Roman" w:hAnsi="Times New Roman"/>
          <w:b/>
        </w:rPr>
        <w:t>NPV</w:t>
      </w:r>
      <w:r>
        <w:rPr>
          <w:rFonts w:ascii="Times New Roman" w:hAnsi="Times New Roman"/>
        </w:rPr>
        <w:t xml:space="preserve"> worksheets. To update an item, the change must be made in the </w:t>
      </w:r>
      <w:r>
        <w:rPr>
          <w:rFonts w:ascii="Times New Roman" w:hAnsi="Times New Roman"/>
          <w:b/>
        </w:rPr>
        <w:t>Assumptions</w:t>
      </w:r>
      <w:r>
        <w:rPr>
          <w:rFonts w:ascii="Times New Roman" w:hAnsi="Times New Roman"/>
        </w:rPr>
        <w:t xml:space="preserve"> worksheet, not on each </w:t>
      </w:r>
      <w:r>
        <w:rPr>
          <w:rFonts w:ascii="Times New Roman" w:hAnsi="Times New Roman"/>
          <w:b/>
        </w:rPr>
        <w:t>NPV</w:t>
      </w:r>
      <w:r>
        <w:rPr>
          <w:rFonts w:ascii="Times New Roman" w:hAnsi="Times New Roman"/>
        </w:rPr>
        <w:t xml:space="preserve"> worksheet. For example, the real discount rate (with a link to that specific cell) will be entered in all relevant cells of the NPV worksheets and further used to discount the cash flows.</w:t>
      </w:r>
    </w:p>
    <w:p w14:paraId="7DF59C0C" w14:textId="0A3210AC" w:rsidR="001D36DB" w:rsidRPr="00FB0115" w:rsidRDefault="001D36DB" w:rsidP="001D36DB">
      <w:pPr>
        <w:jc w:val="center"/>
        <w:rPr>
          <w:rFonts w:ascii="Times New Roman" w:hAnsi="Times New Roman" w:cs="Times New Roman"/>
        </w:rPr>
      </w:pPr>
      <w:r>
        <w:rPr>
          <w:noProof/>
        </w:rPr>
        <w:drawing>
          <wp:inline distT="0" distB="0" distL="0" distR="0" wp14:anchorId="3DB63B93" wp14:editId="76EE0043">
            <wp:extent cx="6200689" cy="696567"/>
            <wp:effectExtent l="19050" t="19050" r="10160" b="279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7">
                      <a:extLst>
                        <a:ext uri="{28A0092B-C50C-407E-A947-70E740481C1C}">
                          <a14:useLocalDpi xmlns:a14="http://schemas.microsoft.com/office/drawing/2010/main" val="0"/>
                        </a:ext>
                      </a:extLst>
                    </a:blip>
                    <a:stretch>
                      <a:fillRect/>
                    </a:stretch>
                  </pic:blipFill>
                  <pic:spPr>
                    <a:xfrm>
                      <a:off x="0" y="0"/>
                      <a:ext cx="6249763" cy="702080"/>
                    </a:xfrm>
                    <a:prstGeom prst="rect">
                      <a:avLst/>
                    </a:prstGeom>
                    <a:ln>
                      <a:solidFill>
                        <a:srgbClr val="0070C0"/>
                      </a:solidFill>
                    </a:ln>
                  </pic:spPr>
                </pic:pic>
              </a:graphicData>
            </a:graphic>
          </wp:inline>
        </w:drawing>
      </w:r>
    </w:p>
    <w:p w14:paraId="2AEA7A94" w14:textId="6B4DFBDC" w:rsidR="0048001A" w:rsidRDefault="001D36DB" w:rsidP="0048001A">
      <w:pPr>
        <w:jc w:val="both"/>
        <w:rPr>
          <w:rFonts w:ascii="Times New Roman" w:hAnsi="Times New Roman" w:cs="Times New Roman"/>
        </w:rPr>
      </w:pPr>
      <w:r>
        <w:rPr>
          <w:rFonts w:ascii="Times New Roman" w:hAnsi="Times New Roman"/>
        </w:rPr>
        <w:t xml:space="preserve">Separate assumptions can be entered in the </w:t>
      </w:r>
      <w:r>
        <w:rPr>
          <w:rFonts w:ascii="Times New Roman" w:hAnsi="Times New Roman"/>
          <w:b/>
        </w:rPr>
        <w:t>Assumptions</w:t>
      </w:r>
      <w:r>
        <w:rPr>
          <w:rFonts w:ascii="Times New Roman" w:hAnsi="Times New Roman"/>
        </w:rPr>
        <w:t xml:space="preserve"> worksheet and completed in the </w:t>
      </w:r>
      <w:r>
        <w:rPr>
          <w:rFonts w:ascii="Times New Roman" w:hAnsi="Times New Roman"/>
          <w:b/>
        </w:rPr>
        <w:t>Project</w:t>
      </w:r>
      <w:r>
        <w:rPr>
          <w:rFonts w:ascii="Times New Roman" w:hAnsi="Times New Roman"/>
        </w:rPr>
        <w:t xml:space="preserve"> worksheet according to the expected project implementation period. In the MoF's macroeconomic projections (available at </w:t>
      </w:r>
      <w:hyperlink r:id="rId18" w:history="1">
        <w:r>
          <w:rPr>
            <w:rStyle w:val="Hyperlink"/>
            <w:rFonts w:ascii="Times New Roman" w:hAnsi="Times New Roman"/>
          </w:rPr>
          <w:t>https://www.fm.gov.lv/lv/makroekonomiskie-pienemumi-un-prognozes</w:t>
        </w:r>
      </w:hyperlink>
      <w:r>
        <w:rPr>
          <w:rFonts w:ascii="Times New Roman" w:hAnsi="Times New Roman"/>
        </w:rPr>
        <w:t xml:space="preserve">), the projected inflation rate is given for the next few years and for multi-year periods. Therefore, the inflation rates for each year can be entered in the corresponding row of the </w:t>
      </w:r>
      <w:r>
        <w:rPr>
          <w:rFonts w:ascii="Times New Roman" w:hAnsi="Times New Roman"/>
          <w:b/>
        </w:rPr>
        <w:t>Project</w:t>
      </w:r>
      <w:r>
        <w:rPr>
          <w:rFonts w:ascii="Times New Roman" w:hAnsi="Times New Roman"/>
        </w:rPr>
        <w:t xml:space="preserve"> worksheet and the </w:t>
      </w:r>
      <w:r>
        <w:rPr>
          <w:rFonts w:ascii="Times New Roman" w:hAnsi="Times New Roman"/>
          <w:b/>
        </w:rPr>
        <w:t>NPV</w:t>
      </w:r>
      <w:r>
        <w:rPr>
          <w:rFonts w:ascii="Times New Roman" w:hAnsi="Times New Roman"/>
        </w:rPr>
        <w:t xml:space="preserve"> worksheets can be linked to the corresponding cells of the </w:t>
      </w:r>
      <w:r>
        <w:rPr>
          <w:rFonts w:ascii="Times New Roman" w:hAnsi="Times New Roman"/>
          <w:b/>
        </w:rPr>
        <w:t>Project</w:t>
      </w:r>
      <w:r>
        <w:rPr>
          <w:rFonts w:ascii="Times New Roman" w:hAnsi="Times New Roman"/>
        </w:rPr>
        <w:t xml:space="preserve"> worksheet. If inflation rates need to be adjusted, this must be done in the </w:t>
      </w:r>
      <w:r>
        <w:rPr>
          <w:rFonts w:ascii="Times New Roman" w:hAnsi="Times New Roman"/>
          <w:b/>
        </w:rPr>
        <w:t>Project</w:t>
      </w:r>
      <w:r>
        <w:rPr>
          <w:rFonts w:ascii="Times New Roman" w:hAnsi="Times New Roman"/>
        </w:rPr>
        <w:t xml:space="preserve"> worksheet, but changes will be made automatically in the </w:t>
      </w:r>
      <w:r>
        <w:rPr>
          <w:rFonts w:ascii="Times New Roman" w:hAnsi="Times New Roman"/>
          <w:b/>
        </w:rPr>
        <w:t>NPV</w:t>
      </w:r>
      <w:r>
        <w:rPr>
          <w:rFonts w:ascii="Times New Roman" w:hAnsi="Times New Roman"/>
        </w:rPr>
        <w:t xml:space="preserve"> worksheets. The calculated average population growth rate can then be used in the </w:t>
      </w:r>
      <w:r>
        <w:rPr>
          <w:rFonts w:ascii="Times New Roman" w:hAnsi="Times New Roman"/>
          <w:b/>
        </w:rPr>
        <w:t>Project</w:t>
      </w:r>
      <w:r>
        <w:rPr>
          <w:rFonts w:ascii="Times New Roman" w:hAnsi="Times New Roman"/>
        </w:rPr>
        <w:t xml:space="preserve">worksheet to project population growth for further data. If these data change, they must only be updated in the </w:t>
      </w:r>
      <w:r>
        <w:rPr>
          <w:rFonts w:ascii="Times New Roman" w:hAnsi="Times New Roman"/>
          <w:b/>
        </w:rPr>
        <w:t>Assumptions</w:t>
      </w:r>
      <w:r>
        <w:rPr>
          <w:rFonts w:ascii="Times New Roman" w:hAnsi="Times New Roman"/>
        </w:rPr>
        <w:t xml:space="preserve"> worksheet, while other worksheets that link to these source cells will be automatically updated.</w:t>
      </w:r>
    </w:p>
    <w:p w14:paraId="763D19CA" w14:textId="4021082A" w:rsidR="00E37CB2" w:rsidRDefault="00E37CB2" w:rsidP="0048001A">
      <w:pPr>
        <w:jc w:val="both"/>
        <w:rPr>
          <w:rFonts w:ascii="Times New Roman" w:hAnsi="Times New Roman" w:cs="Times New Roman"/>
        </w:rPr>
      </w:pPr>
      <w:r>
        <w:rPr>
          <w:rFonts w:ascii="Times New Roman" w:hAnsi="Times New Roman"/>
        </w:rPr>
        <w:t xml:space="preserve">Each project will have different assumptions and input data depending on its sector of implementation and the PPP model, so this section must be completed individually for each project. </w:t>
      </w:r>
    </w:p>
    <w:p w14:paraId="4E4310B1" w14:textId="77777777" w:rsidR="006B75CE" w:rsidRPr="00310F27" w:rsidRDefault="006B75CE" w:rsidP="0048001A">
      <w:pPr>
        <w:jc w:val="both"/>
        <w:rPr>
          <w:rFonts w:ascii="Times New Roman" w:hAnsi="Times New Roman" w:cs="Times New Roman"/>
          <w:lang w:val="lv-LV"/>
        </w:rPr>
      </w:pPr>
    </w:p>
    <w:p w14:paraId="6177B2DE" w14:textId="29749A45" w:rsidR="005F0498" w:rsidRPr="00BB3EAE" w:rsidRDefault="005F0498" w:rsidP="00BB3EAE">
      <w:pPr>
        <w:shd w:val="clear" w:color="auto" w:fill="FFFF00"/>
        <w:rPr>
          <w:rFonts w:ascii="Times New Roman" w:hAnsi="Times New Roman" w:cs="Times New Roman"/>
          <w:b/>
          <w:bCs/>
          <w:sz w:val="24"/>
          <w:szCs w:val="24"/>
        </w:rPr>
      </w:pPr>
      <w:r>
        <w:rPr>
          <w:rFonts w:ascii="Times New Roman" w:hAnsi="Times New Roman"/>
          <w:b/>
          <w:sz w:val="24"/>
        </w:rPr>
        <w:t>3) Project</w:t>
      </w:r>
    </w:p>
    <w:p w14:paraId="2E88E0CD" w14:textId="045204CC" w:rsidR="005F0498" w:rsidRDefault="00E918CD" w:rsidP="002B3623">
      <w:pPr>
        <w:jc w:val="both"/>
        <w:rPr>
          <w:rFonts w:ascii="Times New Roman" w:hAnsi="Times New Roman" w:cs="Times New Roman"/>
        </w:rPr>
      </w:pPr>
      <w:r>
        <w:rPr>
          <w:rFonts w:ascii="Times New Roman" w:hAnsi="Times New Roman"/>
        </w:rPr>
        <w:t xml:space="preserve">The overall cash flow statement for the project, including quantitative assumptions and financial estimates, is prepared in this worksheet. As the cost items vary from project to project, this form includes only the main items, which can be added or deleted. The purpose of this worksheet is to list and perform in one place all the quantitative and monetary parameters related to the implementation of the project, which are further used to complete the NPV worksheets of the alternatives under analysis, where only the financial information on the project appears. However, in order to arrive at the financial calculations, a number of quantitative assumptions are used, such as population projections, demand for a given service, solvency ratios, construction volumes, etc., which shape both the potential demand volume and projected revenues, and the cost components and their distribution across the different alternatives. A single accounting of project input data and estimates in the project cash flow statement avoids multiple entries in the </w:t>
      </w:r>
      <w:r>
        <w:rPr>
          <w:rFonts w:ascii="Times New Roman" w:hAnsi="Times New Roman"/>
          <w:b/>
        </w:rPr>
        <w:t>NPV</w:t>
      </w:r>
      <w:r>
        <w:rPr>
          <w:rFonts w:ascii="Times New Roman" w:hAnsi="Times New Roman"/>
        </w:rPr>
        <w:t xml:space="preserve"> worksheets and the resulting errors. </w:t>
      </w:r>
    </w:p>
    <w:p w14:paraId="3C3C8384" w14:textId="77777777" w:rsidR="00F6040E" w:rsidRDefault="00AC1DE6" w:rsidP="00510141">
      <w:pPr>
        <w:jc w:val="both"/>
        <w:rPr>
          <w:rFonts w:ascii="Times New Roman" w:hAnsi="Times New Roman" w:cs="Times New Roman"/>
        </w:rPr>
      </w:pPr>
      <w:r>
        <w:rPr>
          <w:rFonts w:ascii="Times New Roman" w:hAnsi="Times New Roman"/>
        </w:rPr>
        <w:t xml:space="preserve">When entering input data, it is mandatory to specify the quantitative and financial units of measurement in order to verify the completeness and correctness of the calculations made. It is also recommended that a detailed calculation of the cost and revenue projections to be filled in the </w:t>
      </w:r>
      <w:r>
        <w:rPr>
          <w:rFonts w:ascii="Times New Roman" w:hAnsi="Times New Roman"/>
          <w:b/>
        </w:rPr>
        <w:t>NPV</w:t>
      </w:r>
      <w:r>
        <w:rPr>
          <w:rFonts w:ascii="Times New Roman" w:hAnsi="Times New Roman"/>
        </w:rPr>
        <w:t xml:space="preserve"> worksheets is carried out so that only the monetary totals under the relevant items are reflected in the </w:t>
      </w:r>
      <w:r>
        <w:rPr>
          <w:rFonts w:ascii="Times New Roman" w:hAnsi="Times New Roman"/>
          <w:b/>
        </w:rPr>
        <w:t>NPV</w:t>
      </w:r>
      <w:r>
        <w:rPr>
          <w:rFonts w:ascii="Times New Roman" w:hAnsi="Times New Roman"/>
        </w:rPr>
        <w:t xml:space="preserve"> worksheets by linking to the relevant total items in the </w:t>
      </w:r>
      <w:r>
        <w:rPr>
          <w:rFonts w:ascii="Times New Roman" w:hAnsi="Times New Roman"/>
          <w:b/>
        </w:rPr>
        <w:t>Project</w:t>
      </w:r>
      <w:r>
        <w:rPr>
          <w:rFonts w:ascii="Times New Roman" w:hAnsi="Times New Roman"/>
        </w:rPr>
        <w:t xml:space="preserve"> worksheet. For example, capital investments can be broken down in the </w:t>
      </w:r>
      <w:r>
        <w:rPr>
          <w:rFonts w:ascii="Times New Roman" w:hAnsi="Times New Roman"/>
          <w:b/>
        </w:rPr>
        <w:t>NPV</w:t>
      </w:r>
      <w:r>
        <w:rPr>
          <w:rFonts w:ascii="Times New Roman" w:hAnsi="Times New Roman"/>
        </w:rPr>
        <w:t xml:space="preserve"> worksheets into construction-related items, indicating construction quantities, pricing and costing, and fixed assets, listing equipment to be purchased and other long-term assets. When performing calculations for the different project implementation alternatives in the </w:t>
      </w:r>
      <w:r>
        <w:rPr>
          <w:rFonts w:ascii="Times New Roman" w:hAnsi="Times New Roman"/>
          <w:b/>
        </w:rPr>
        <w:t>Project</w:t>
      </w:r>
      <w:r>
        <w:rPr>
          <w:rFonts w:ascii="Times New Roman" w:hAnsi="Times New Roman"/>
        </w:rPr>
        <w:t xml:space="preserve"> worksheet, it is recommended to use the input data/assumptions that have already been entered, rather than re-entering them for each calculation block, e.g. population does not need to be re-entered for each alternative revenue projection, but the input data originally entered in the macroeconomic assumptions section must be used for the calculations. </w:t>
      </w:r>
    </w:p>
    <w:p w14:paraId="01510A81" w14:textId="0257B01E" w:rsidR="00F6040E" w:rsidRDefault="00927CA9" w:rsidP="00510141">
      <w:pPr>
        <w:jc w:val="both"/>
        <w:rPr>
          <w:rFonts w:ascii="Times New Roman" w:hAnsi="Times New Roman" w:cs="Times New Roman"/>
        </w:rPr>
      </w:pPr>
      <w:r>
        <w:rPr>
          <w:rFonts w:ascii="Times New Roman" w:hAnsi="Times New Roman"/>
        </w:rPr>
        <w:t xml:space="preserve">The figure below shows an example of how to fill in one of the capital investment cost items - Construction costs. This total cost is made up of several components. </w:t>
      </w:r>
    </w:p>
    <w:p w14:paraId="070FBE64" w14:textId="469E1D87" w:rsidR="00F6040E" w:rsidRDefault="0023162F" w:rsidP="00927CA9">
      <w:pPr>
        <w:jc w:val="center"/>
        <w:rPr>
          <w:rFonts w:ascii="Times New Roman" w:hAnsi="Times New Roman" w:cs="Times New Roman"/>
        </w:rPr>
      </w:pPr>
      <w:r w:rsidRPr="0023162F">
        <w:rPr>
          <w:noProof/>
        </w:rPr>
        <w:drawing>
          <wp:inline distT="0" distB="0" distL="0" distR="0" wp14:anchorId="6610BB8D" wp14:editId="20950CDC">
            <wp:extent cx="3182112" cy="1793441"/>
            <wp:effectExtent l="19050" t="19050" r="18415" b="16510"/>
            <wp:docPr id="1170011769" name="Attēls 1" descr="Attēls, kurā ir teksts, elektronika, ekrānuzņēmums, displej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11769" name="Attēls 1" descr="Attēls, kurā ir teksts, elektronika, ekrānuzņēmums, displejs&#10;&#10;Mākslīgā intelekta ģenerēts saturs var būt nepareizs."/>
                    <pic:cNvPicPr/>
                  </pic:nvPicPr>
                  <pic:blipFill>
                    <a:blip r:embed="rId19"/>
                    <a:stretch>
                      <a:fillRect/>
                    </a:stretch>
                  </pic:blipFill>
                  <pic:spPr>
                    <a:xfrm>
                      <a:off x="0" y="0"/>
                      <a:ext cx="3191279" cy="1798608"/>
                    </a:xfrm>
                    <a:prstGeom prst="rect">
                      <a:avLst/>
                    </a:prstGeom>
                    <a:ln>
                      <a:solidFill>
                        <a:srgbClr val="0070C0"/>
                      </a:solidFill>
                    </a:ln>
                  </pic:spPr>
                </pic:pic>
              </a:graphicData>
            </a:graphic>
          </wp:inline>
        </w:drawing>
      </w:r>
    </w:p>
    <w:p w14:paraId="290FB258" w14:textId="47ACCF92" w:rsidR="00EA561B" w:rsidRDefault="00EA561B" w:rsidP="00510141">
      <w:pPr>
        <w:jc w:val="both"/>
        <w:rPr>
          <w:rFonts w:ascii="Times New Roman" w:hAnsi="Times New Roman" w:cs="Times New Roman"/>
        </w:rPr>
      </w:pPr>
      <w:r>
        <w:rPr>
          <w:rFonts w:ascii="Times New Roman" w:hAnsi="Times New Roman"/>
        </w:rPr>
        <w:t xml:space="preserve">The </w:t>
      </w:r>
      <w:r>
        <w:rPr>
          <w:rFonts w:ascii="Times New Roman" w:hAnsi="Times New Roman"/>
          <w:b/>
        </w:rPr>
        <w:t>Project</w:t>
      </w:r>
      <w:r>
        <w:rPr>
          <w:rFonts w:ascii="Times New Roman" w:hAnsi="Times New Roman"/>
        </w:rPr>
        <w:t xml:space="preserve"> worksheet also has rows for calculating project revenue, but note that not all projects generate revenue. If the project foresees the creation and maintenance of an asset without the provision of paid services, no revenue will be generated by the project and this section does not need to be completed in the </w:t>
      </w:r>
      <w:r>
        <w:rPr>
          <w:rFonts w:ascii="Times New Roman" w:hAnsi="Times New Roman"/>
          <w:b/>
        </w:rPr>
        <w:t>Project</w:t>
      </w:r>
      <w:r>
        <w:rPr>
          <w:rFonts w:ascii="Times New Roman" w:hAnsi="Times New Roman"/>
        </w:rPr>
        <w:t xml:space="preserve"> and </w:t>
      </w:r>
      <w:r>
        <w:rPr>
          <w:rFonts w:ascii="Times New Roman" w:hAnsi="Times New Roman"/>
          <w:b/>
        </w:rPr>
        <w:t>NPV</w:t>
      </w:r>
      <w:r>
        <w:rPr>
          <w:rFonts w:ascii="Times New Roman" w:hAnsi="Times New Roman"/>
        </w:rPr>
        <w:t xml:space="preserve"> worksheets. On the other hand, if the project foresees the creation of an asset and the provision of services on a user-fee basis (or with partial co-payment by the public partner), the calculation of the projected revenues must be reflected in the revenue section and the values must be indicated in the </w:t>
      </w:r>
      <w:r>
        <w:rPr>
          <w:rFonts w:ascii="Times New Roman" w:hAnsi="Times New Roman"/>
          <w:b/>
        </w:rPr>
        <w:t>NPV</w:t>
      </w:r>
      <w:r>
        <w:rPr>
          <w:rFonts w:ascii="Times New Roman" w:hAnsi="Times New Roman"/>
        </w:rPr>
        <w:t xml:space="preserve"> worksheets of the respective alternatives.</w:t>
      </w:r>
    </w:p>
    <w:p w14:paraId="2318ACFF" w14:textId="083309E8" w:rsidR="00BC1193" w:rsidRDefault="00713CAD" w:rsidP="00510141">
      <w:pPr>
        <w:jc w:val="both"/>
        <w:rPr>
          <w:rFonts w:ascii="Times New Roman" w:hAnsi="Times New Roman" w:cs="Times New Roman"/>
        </w:rPr>
      </w:pPr>
      <w:r>
        <w:rPr>
          <w:rFonts w:ascii="Times New Roman" w:hAnsi="Times New Roman"/>
        </w:rPr>
        <w:t xml:space="preserve">In order to keep the </w:t>
      </w:r>
      <w:r>
        <w:rPr>
          <w:rFonts w:ascii="Times New Roman" w:hAnsi="Times New Roman"/>
          <w:b/>
        </w:rPr>
        <w:t>NPV</w:t>
      </w:r>
      <w:r>
        <w:rPr>
          <w:rFonts w:ascii="Times New Roman" w:hAnsi="Times New Roman"/>
        </w:rPr>
        <w:t xml:space="preserve"> worksheets compact and clear, and to reduce multiple data entry and calculation errors, the relevant capital investment cost totals in the </w:t>
      </w:r>
      <w:r>
        <w:rPr>
          <w:rFonts w:ascii="Times New Roman" w:hAnsi="Times New Roman"/>
          <w:b/>
        </w:rPr>
        <w:t>NPV</w:t>
      </w:r>
      <w:r>
        <w:rPr>
          <w:rFonts w:ascii="Times New Roman" w:hAnsi="Times New Roman"/>
        </w:rPr>
        <w:t xml:space="preserve"> worksheets must be linked to the relevant item(s) in the </w:t>
      </w:r>
      <w:r>
        <w:rPr>
          <w:rFonts w:ascii="Times New Roman" w:hAnsi="Times New Roman"/>
          <w:b/>
        </w:rPr>
        <w:t xml:space="preserve">Project </w:t>
      </w:r>
      <w:r>
        <w:rPr>
          <w:rFonts w:ascii="Times New Roman" w:hAnsi="Times New Roman"/>
        </w:rPr>
        <w:t>worksheet.</w:t>
      </w:r>
    </w:p>
    <w:p w14:paraId="39002541" w14:textId="77777777" w:rsidR="006B75CE" w:rsidRDefault="006B75CE" w:rsidP="00510141">
      <w:pPr>
        <w:jc w:val="both"/>
        <w:rPr>
          <w:rFonts w:ascii="Times New Roman" w:hAnsi="Times New Roman" w:cs="Times New Roman"/>
          <w:lang w:val="lv-LV"/>
        </w:rPr>
      </w:pPr>
    </w:p>
    <w:p w14:paraId="38A728B1" w14:textId="20D92706" w:rsidR="00EC2C18" w:rsidRPr="00BB3EAE" w:rsidRDefault="005F0498" w:rsidP="00F515CF">
      <w:pPr>
        <w:shd w:val="clear" w:color="auto" w:fill="B6DDE8" w:themeFill="accent5" w:themeFillTint="66"/>
        <w:rPr>
          <w:rFonts w:ascii="Times New Roman" w:hAnsi="Times New Roman" w:cs="Times New Roman"/>
          <w:b/>
          <w:bCs/>
          <w:sz w:val="24"/>
          <w:szCs w:val="24"/>
        </w:rPr>
      </w:pPr>
      <w:r>
        <w:rPr>
          <w:rFonts w:ascii="Times New Roman" w:hAnsi="Times New Roman"/>
          <w:b/>
          <w:sz w:val="24"/>
        </w:rPr>
        <w:t>4) NPV worksheets</w:t>
      </w:r>
    </w:p>
    <w:p w14:paraId="5B765B75" w14:textId="2C1BF769" w:rsidR="00E41791" w:rsidRDefault="00EC2C18" w:rsidP="00F04683">
      <w:pPr>
        <w:jc w:val="both"/>
        <w:rPr>
          <w:rFonts w:ascii="Times New Roman" w:hAnsi="Times New Roman" w:cs="Times New Roman"/>
        </w:rPr>
      </w:pPr>
      <w:r>
        <w:rPr>
          <w:rFonts w:ascii="Times New Roman" w:hAnsi="Times New Roman"/>
        </w:rPr>
        <w:t>In order to enable the calculations and comparison of project implementation alternatives, five basic worksheets have been prepared in the FEC form according to the alternatives defined in the PPP Law and the guidance material (Baseline Model I and II, Partnership Procurement Model, Concession Model and Institutional Partnership Model). The main difference between these worksheets is the possible allocation of costs between the partners, as well as the inclusion of typical costs for certain models in the cash flow statement. Although each model's cash flow statement is tailored to its typical costs and the allocation between the public and private partner, it should be borne in mind when preparing the calculations that changes may need to be made, both additions and deletions of unnecessary rows.</w:t>
      </w:r>
    </w:p>
    <w:p w14:paraId="6F3AC400" w14:textId="2E4B4306" w:rsidR="00F30998" w:rsidRDefault="00F30998" w:rsidP="00F04683">
      <w:pPr>
        <w:jc w:val="both"/>
        <w:rPr>
          <w:rFonts w:ascii="Times New Roman" w:hAnsi="Times New Roman" w:cs="Times New Roman"/>
        </w:rPr>
      </w:pPr>
      <w:r>
        <w:rPr>
          <w:rFonts w:ascii="Times New Roman" w:hAnsi="Times New Roman"/>
        </w:rPr>
        <w:t xml:space="preserve">When completing the </w:t>
      </w:r>
      <w:r>
        <w:rPr>
          <w:rFonts w:ascii="Times New Roman" w:hAnsi="Times New Roman"/>
          <w:b/>
        </w:rPr>
        <w:t>NPV</w:t>
      </w:r>
      <w:r>
        <w:rPr>
          <w:rFonts w:ascii="Times New Roman" w:hAnsi="Times New Roman"/>
        </w:rPr>
        <w:t xml:space="preserve"> worksheets, please note the following:</w:t>
      </w:r>
    </w:p>
    <w:p w14:paraId="1857032A" w14:textId="5FE75542" w:rsidR="00DF4621" w:rsidRDefault="00DF4621" w:rsidP="00DF4621">
      <w:pPr>
        <w:pStyle w:val="ListParagraph"/>
        <w:numPr>
          <w:ilvl w:val="0"/>
          <w:numId w:val="4"/>
        </w:numPr>
        <w:jc w:val="both"/>
        <w:rPr>
          <w:rFonts w:ascii="Times New Roman" w:hAnsi="Times New Roman" w:cs="Times New Roman"/>
        </w:rPr>
      </w:pPr>
      <w:r>
        <w:rPr>
          <w:rFonts w:ascii="Times New Roman" w:hAnsi="Times New Roman"/>
        </w:rPr>
        <w:t xml:space="preserve">According to the instructions on the cover sheet, data entry must be done in </w:t>
      </w:r>
      <w:r>
        <w:rPr>
          <w:rFonts w:ascii="Times New Roman" w:hAnsi="Times New Roman"/>
          <w:bdr w:val="single" w:sz="4" w:space="0" w:color="auto"/>
          <w:shd w:val="clear" w:color="auto" w:fill="DAEEF3" w:themeFill="accent5" w:themeFillTint="33"/>
        </w:rPr>
        <w:t>the blue cells</w:t>
      </w:r>
      <w:r>
        <w:rPr>
          <w:rFonts w:ascii="Times New Roman" w:hAnsi="Times New Roman"/>
        </w:rPr>
        <w:t xml:space="preserve">, while </w:t>
      </w:r>
      <w:r>
        <w:rPr>
          <w:rFonts w:ascii="Times New Roman" w:hAnsi="Times New Roman"/>
          <w:bdr w:val="single" w:sz="4" w:space="0" w:color="auto"/>
          <w:shd w:val="clear" w:color="auto" w:fill="F2DBDB" w:themeFill="accent2" w:themeFillTint="33"/>
        </w:rPr>
        <w:t>the red cells</w:t>
      </w:r>
      <w:r>
        <w:rPr>
          <w:rFonts w:ascii="Times New Roman" w:hAnsi="Times New Roman"/>
        </w:rPr>
        <w:t xml:space="preserve"> already contain the calculation formulas and therefore do not require any action;</w:t>
      </w:r>
    </w:p>
    <w:p w14:paraId="5EC0CCFF" w14:textId="7E772EDB" w:rsidR="00C1023D" w:rsidRPr="006061E7" w:rsidRDefault="004325B6" w:rsidP="006061E7">
      <w:pPr>
        <w:pStyle w:val="ListParagraph"/>
        <w:numPr>
          <w:ilvl w:val="0"/>
          <w:numId w:val="4"/>
        </w:numPr>
        <w:ind w:left="709"/>
        <w:jc w:val="both"/>
        <w:rPr>
          <w:rFonts w:ascii="Times New Roman" w:hAnsi="Times New Roman" w:cs="Times New Roman"/>
        </w:rPr>
      </w:pPr>
      <w:r>
        <w:rPr>
          <w:rFonts w:ascii="Times New Roman" w:hAnsi="Times New Roman"/>
        </w:rPr>
        <w:t xml:space="preserve">Depending on the table of analysed alternatives completed in the cover sheet, a mark will appear in the title section of the </w:t>
      </w:r>
      <w:r>
        <w:rPr>
          <w:rFonts w:ascii="Times New Roman" w:hAnsi="Times New Roman"/>
          <w:b/>
        </w:rPr>
        <w:t>NPV</w:t>
      </w:r>
      <w:r>
        <w:rPr>
          <w:rFonts w:ascii="Times New Roman" w:hAnsi="Times New Roman"/>
        </w:rPr>
        <w:t xml:space="preserve"> worksheets to indicate whether it needs to be completed. For alternatives that are not analysed in the FEC, the cash flow statement tables will not be active. To display them, mark the relevant alternative in the </w:t>
      </w:r>
      <w:r>
        <w:rPr>
          <w:rFonts w:ascii="Times New Roman" w:hAnsi="Times New Roman"/>
          <w:b/>
        </w:rPr>
        <w:t>Cover Sheet</w:t>
      </w:r>
      <w:r>
        <w:rPr>
          <w:rFonts w:ascii="Times New Roman" w:hAnsi="Times New Roman"/>
        </w:rPr>
        <w:t xml:space="preserve"> and the tables will be activated. </w:t>
      </w:r>
    </w:p>
    <w:p w14:paraId="6401611E" w14:textId="6A354BF4" w:rsidR="002F05EC" w:rsidRDefault="00C21251" w:rsidP="00007174">
      <w:pPr>
        <w:pStyle w:val="ListParagraph"/>
        <w:numPr>
          <w:ilvl w:val="0"/>
          <w:numId w:val="4"/>
        </w:numPr>
        <w:jc w:val="both"/>
        <w:rPr>
          <w:rFonts w:ascii="Times New Roman" w:hAnsi="Times New Roman" w:cs="Times New Roman"/>
        </w:rPr>
      </w:pPr>
      <w:r>
        <w:rPr>
          <w:rFonts w:ascii="Times New Roman" w:hAnsi="Times New Roman"/>
        </w:rPr>
        <w:t xml:space="preserve">In the tables, it is possible to add additional columns for the project implementation period (years) and for the cost rows (items). In order for the formulas included in the form to perform correct calculations, the column/row containing "..." must be selected and it must be ensured that the additional column is inserted before the "..." and the row above the "..." column/row.  </w:t>
      </w:r>
    </w:p>
    <w:p w14:paraId="0B7311E2" w14:textId="7CC2EFBC" w:rsidR="00241D53" w:rsidRDefault="004C764F" w:rsidP="00241D53">
      <w:pPr>
        <w:pStyle w:val="ListParagraph"/>
        <w:jc w:val="both"/>
        <w:rPr>
          <w:rFonts w:ascii="Times New Roman" w:hAnsi="Times New Roman" w:cs="Times New Roman"/>
        </w:rPr>
      </w:pPr>
      <w:r>
        <w:rPr>
          <w:rFonts w:ascii="Times New Roman" w:hAnsi="Times New Roman"/>
        </w:rPr>
        <w:t xml:space="preserve">Excess columns/rows can be hidden. </w:t>
      </w:r>
    </w:p>
    <w:p w14:paraId="35CD0998" w14:textId="4A970512" w:rsidR="003C1655" w:rsidRDefault="003C1655" w:rsidP="003C1655">
      <w:pPr>
        <w:pStyle w:val="ListParagraph"/>
        <w:numPr>
          <w:ilvl w:val="0"/>
          <w:numId w:val="4"/>
        </w:numPr>
        <w:jc w:val="both"/>
        <w:rPr>
          <w:rFonts w:ascii="Times New Roman" w:hAnsi="Times New Roman" w:cs="Times New Roman"/>
        </w:rPr>
      </w:pPr>
      <w:r>
        <w:rPr>
          <w:rFonts w:ascii="Times New Roman" w:hAnsi="Times New Roman"/>
        </w:rPr>
        <w:t xml:space="preserve">When completing the cash flow </w:t>
      </w:r>
      <w:r>
        <w:rPr>
          <w:rFonts w:ascii="Times New Roman" w:hAnsi="Times New Roman"/>
          <w:color w:val="0070C0"/>
        </w:rPr>
        <w:t>cost/revenue items</w:t>
      </w:r>
      <w:r>
        <w:rPr>
          <w:rFonts w:ascii="Times New Roman" w:hAnsi="Times New Roman"/>
        </w:rPr>
        <w:t xml:space="preserve">, the </w:t>
      </w:r>
      <w:r>
        <w:rPr>
          <w:rFonts w:ascii="Times New Roman" w:hAnsi="Times New Roman"/>
          <w:color w:val="0070C0"/>
        </w:rPr>
        <w:t>corresponding item names</w:t>
      </w:r>
      <w:r>
        <w:rPr>
          <w:rFonts w:ascii="Times New Roman" w:hAnsi="Times New Roman"/>
        </w:rPr>
        <w:t xml:space="preserve"> as used in the </w:t>
      </w:r>
      <w:r>
        <w:rPr>
          <w:rFonts w:ascii="Times New Roman" w:hAnsi="Times New Roman"/>
          <w:b/>
        </w:rPr>
        <w:t>Project</w:t>
      </w:r>
      <w:r>
        <w:rPr>
          <w:rFonts w:ascii="Times New Roman" w:hAnsi="Times New Roman"/>
        </w:rPr>
        <w:t xml:space="preserve"> worksheet must be indicated, e.g. "Capital investment costs 1" must be corrected to "Construction costs" and "Capital investment costs 2" must be corrected to "Investments in fixed assets".</w:t>
      </w:r>
    </w:p>
    <w:p w14:paraId="1EAA71C3" w14:textId="3F20EF50" w:rsidR="00D93BD3" w:rsidRDefault="00D93BD3" w:rsidP="003C1655">
      <w:pPr>
        <w:pStyle w:val="ListParagraph"/>
        <w:numPr>
          <w:ilvl w:val="0"/>
          <w:numId w:val="4"/>
        </w:numPr>
        <w:jc w:val="both"/>
        <w:rPr>
          <w:rFonts w:ascii="Times New Roman" w:hAnsi="Times New Roman" w:cs="Times New Roman"/>
        </w:rPr>
      </w:pPr>
      <w:r>
        <w:rPr>
          <w:rFonts w:ascii="Times New Roman" w:hAnsi="Times New Roman"/>
        </w:rPr>
        <w:t xml:space="preserve">Cost items in the </w:t>
      </w:r>
      <w:r>
        <w:rPr>
          <w:rFonts w:ascii="Times New Roman" w:hAnsi="Times New Roman"/>
          <w:b/>
        </w:rPr>
        <w:t>NPV</w:t>
      </w:r>
      <w:r>
        <w:rPr>
          <w:rFonts w:ascii="Times New Roman" w:hAnsi="Times New Roman"/>
        </w:rPr>
        <w:t xml:space="preserve"> worksheet items must be inserted with a link to the relevant item totals cell/row in the </w:t>
      </w:r>
      <w:r>
        <w:rPr>
          <w:rFonts w:ascii="Times New Roman" w:hAnsi="Times New Roman"/>
          <w:b/>
        </w:rPr>
        <w:t>Project</w:t>
      </w:r>
      <w:r>
        <w:rPr>
          <w:rFonts w:ascii="Times New Roman" w:hAnsi="Times New Roman"/>
        </w:rPr>
        <w:t xml:space="preserve"> worksheet. When entering data into the </w:t>
      </w:r>
      <w:r>
        <w:rPr>
          <w:rFonts w:ascii="Times New Roman" w:hAnsi="Times New Roman"/>
          <w:b/>
        </w:rPr>
        <w:t>NPV</w:t>
      </w:r>
      <w:r>
        <w:rPr>
          <w:rFonts w:ascii="Times New Roman" w:hAnsi="Times New Roman"/>
        </w:rPr>
        <w:t xml:space="preserve"> worksheets, attention must be paid to the symbols of the input cell. Costs should be indicated with "-", while the revenue symbol does not need to be changed when linking data to the </w:t>
      </w:r>
      <w:r>
        <w:rPr>
          <w:rFonts w:ascii="Times New Roman" w:hAnsi="Times New Roman"/>
          <w:b/>
        </w:rPr>
        <w:t>Project</w:t>
      </w:r>
      <w:r>
        <w:rPr>
          <w:rFonts w:ascii="Times New Roman" w:hAnsi="Times New Roman"/>
        </w:rPr>
        <w:t xml:space="preserve"> worksheet.</w:t>
      </w:r>
    </w:p>
    <w:p w14:paraId="4F1CEFF8" w14:textId="75F37851" w:rsidR="00EA561B" w:rsidRPr="00EA561B" w:rsidRDefault="0077368F" w:rsidP="00BB25B2">
      <w:pPr>
        <w:pStyle w:val="ListParagraph"/>
        <w:jc w:val="center"/>
        <w:rPr>
          <w:rFonts w:ascii="Times New Roman" w:hAnsi="Times New Roman" w:cs="Times New Roman"/>
        </w:rPr>
      </w:pPr>
      <w:r w:rsidRPr="0077368F">
        <w:rPr>
          <w:rFonts w:ascii="Times New Roman" w:hAnsi="Times New Roman"/>
          <w:noProof/>
        </w:rPr>
        <w:drawing>
          <wp:anchor distT="0" distB="0" distL="114300" distR="114300" simplePos="0" relativeHeight="251658249" behindDoc="0" locked="0" layoutInCell="1" allowOverlap="1" wp14:anchorId="185BA3BB" wp14:editId="37294A9C">
            <wp:simplePos x="0" y="0"/>
            <wp:positionH relativeFrom="column">
              <wp:posOffset>269215</wp:posOffset>
            </wp:positionH>
            <wp:positionV relativeFrom="paragraph">
              <wp:posOffset>1227099</wp:posOffset>
            </wp:positionV>
            <wp:extent cx="6210300" cy="482727"/>
            <wp:effectExtent l="0" t="0" r="0" b="0"/>
            <wp:wrapNone/>
            <wp:docPr id="13381251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25154" name=""/>
                    <pic:cNvPicPr/>
                  </pic:nvPicPr>
                  <pic:blipFill>
                    <a:blip r:embed="rId20">
                      <a:extLst>
                        <a:ext uri="{28A0092B-C50C-407E-A947-70E740481C1C}">
                          <a14:useLocalDpi xmlns:a14="http://schemas.microsoft.com/office/drawing/2010/main" val="0"/>
                        </a:ext>
                      </a:extLst>
                    </a:blip>
                    <a:stretch>
                      <a:fillRect/>
                    </a:stretch>
                  </pic:blipFill>
                  <pic:spPr>
                    <a:xfrm>
                      <a:off x="0" y="0"/>
                      <a:ext cx="6264888" cy="486970"/>
                    </a:xfrm>
                    <a:prstGeom prst="rect">
                      <a:avLst/>
                    </a:prstGeom>
                  </pic:spPr>
                </pic:pic>
              </a:graphicData>
            </a:graphic>
            <wp14:sizeRelV relativeFrom="margin">
              <wp14:pctHeight>0</wp14:pctHeight>
            </wp14:sizeRelV>
          </wp:anchor>
        </w:drawing>
      </w:r>
      <w:r w:rsidR="00E0254A" w:rsidRPr="00E0254A">
        <w:rPr>
          <w:rFonts w:ascii="Times New Roman" w:hAnsi="Times New Roman" w:cs="Times New Roman"/>
          <w:noProof/>
        </w:rPr>
        <w:drawing>
          <wp:inline distT="0" distB="0" distL="0" distR="0" wp14:anchorId="504CAA3C" wp14:editId="6A9FBA15">
            <wp:extent cx="5816881" cy="1711757"/>
            <wp:effectExtent l="0" t="0" r="0" b="3175"/>
            <wp:docPr id="406969767" name="Attēls 1" descr="Attēls, kurā ir teksts, ekrānuzņēmums, rinda, paralē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69767" name="Attēls 1" descr="Attēls, kurā ir teksts, ekrānuzņēmums, rinda, paralēls&#10;&#10;Mākslīgā intelekta ģenerēts saturs var būt nepareizs."/>
                    <pic:cNvPicPr/>
                  </pic:nvPicPr>
                  <pic:blipFill>
                    <a:blip r:embed="rId21"/>
                    <a:stretch>
                      <a:fillRect/>
                    </a:stretch>
                  </pic:blipFill>
                  <pic:spPr>
                    <a:xfrm>
                      <a:off x="0" y="0"/>
                      <a:ext cx="5838764" cy="1718197"/>
                    </a:xfrm>
                    <a:prstGeom prst="rect">
                      <a:avLst/>
                    </a:prstGeom>
                  </pic:spPr>
                </pic:pic>
              </a:graphicData>
            </a:graphic>
          </wp:inline>
        </w:drawing>
      </w:r>
    </w:p>
    <w:p w14:paraId="2D1D2303" w14:textId="44D3722F" w:rsidR="00313DB2" w:rsidRDefault="00313DB2" w:rsidP="003C1655">
      <w:pPr>
        <w:pStyle w:val="ListParagraph"/>
        <w:numPr>
          <w:ilvl w:val="0"/>
          <w:numId w:val="4"/>
        </w:numPr>
        <w:jc w:val="both"/>
        <w:rPr>
          <w:rFonts w:ascii="Times New Roman" w:hAnsi="Times New Roman" w:cs="Times New Roman"/>
        </w:rPr>
      </w:pPr>
      <w:r>
        <w:rPr>
          <w:rFonts w:ascii="Times New Roman" w:hAnsi="Times New Roman"/>
        </w:rPr>
        <w:t xml:space="preserve">To perform the IRR calculation, the Excel IRR function must be used in the relevant cells in each alternative - although the values domain will be the total cash flow of the calculation, the assumption </w:t>
      </w:r>
      <w:r>
        <w:rPr>
          <w:rFonts w:ascii="Times New Roman" w:hAnsi="Times New Roman"/>
          <w:b/>
        </w:rPr>
        <w:t>(</w:t>
      </w:r>
      <w:r>
        <w:rPr>
          <w:rFonts w:ascii="Times New Roman" w:hAnsi="Times New Roman"/>
          <w:b/>
          <w:i/>
        </w:rPr>
        <w:t>Guess</w:t>
      </w:r>
      <w:r>
        <w:rPr>
          <w:rFonts w:ascii="Times New Roman" w:hAnsi="Times New Roman"/>
          <w:b/>
        </w:rPr>
        <w:t>)</w:t>
      </w:r>
      <w:r>
        <w:rPr>
          <w:rFonts w:ascii="Times New Roman" w:hAnsi="Times New Roman"/>
        </w:rPr>
        <w:t xml:space="preserve"> used to obtain the discount rate at which the revenue flow equals the cost will be different in each alternative.</w:t>
      </w:r>
    </w:p>
    <w:p w14:paraId="316CBB25" w14:textId="78D054D4" w:rsidR="00BA0B7C" w:rsidRPr="00BA0B7C" w:rsidRDefault="00BA0B7C" w:rsidP="00BA0B7C">
      <w:pPr>
        <w:pStyle w:val="ListParagraph"/>
        <w:numPr>
          <w:ilvl w:val="0"/>
          <w:numId w:val="4"/>
        </w:numPr>
        <w:rPr>
          <w:rFonts w:ascii="Times New Roman" w:hAnsi="Times New Roman" w:cs="Times New Roman"/>
        </w:rPr>
      </w:pPr>
      <w:r>
        <w:rPr>
          <w:rFonts w:ascii="Times New Roman" w:hAnsi="Times New Roman"/>
        </w:rPr>
        <w:t xml:space="preserve">The completion of the public partner and private partner risk cost allocation section of the </w:t>
      </w:r>
      <w:r>
        <w:rPr>
          <w:rFonts w:ascii="Times New Roman" w:hAnsi="Times New Roman"/>
          <w:b/>
        </w:rPr>
        <w:t>NPV</w:t>
      </w:r>
      <w:r>
        <w:rPr>
          <w:rFonts w:ascii="Times New Roman" w:hAnsi="Times New Roman"/>
        </w:rPr>
        <w:t xml:space="preserve"> worksheets is described in section </w:t>
      </w:r>
      <w:r>
        <w:rPr>
          <w:rFonts w:ascii="Times New Roman" w:hAnsi="Times New Roman"/>
          <w:b/>
        </w:rPr>
        <w:t>5) Risks</w:t>
      </w:r>
      <w:r>
        <w:rPr>
          <w:rFonts w:ascii="Times New Roman" w:hAnsi="Times New Roman"/>
        </w:rPr>
        <w:t>.</w:t>
      </w:r>
    </w:p>
    <w:p w14:paraId="02A921D2" w14:textId="648CA831" w:rsidR="002162BC" w:rsidRDefault="002162BC" w:rsidP="003C1655">
      <w:pPr>
        <w:pStyle w:val="ListParagraph"/>
        <w:numPr>
          <w:ilvl w:val="0"/>
          <w:numId w:val="4"/>
        </w:numPr>
        <w:jc w:val="both"/>
        <w:rPr>
          <w:rFonts w:ascii="Times New Roman" w:hAnsi="Times New Roman" w:cs="Times New Roman"/>
        </w:rPr>
      </w:pPr>
      <w:r>
        <w:rPr>
          <w:rFonts w:ascii="Times New Roman" w:hAnsi="Times New Roman"/>
        </w:rPr>
        <w:t>Depending on the specifics of the project, the estimated contract price</w:t>
      </w:r>
      <w:r w:rsidR="003D3E28">
        <w:rPr>
          <w:rStyle w:val="FootnoteReference"/>
          <w:rFonts w:ascii="Times New Roman" w:hAnsi="Times New Roman" w:cs="Times New Roman"/>
          <w:lang w:val="lv-LV"/>
        </w:rPr>
        <w:footnoteReference w:id="2"/>
      </w:r>
      <w:r>
        <w:rPr>
          <w:rFonts w:ascii="Times New Roman" w:hAnsi="Times New Roman"/>
        </w:rPr>
        <w:t xml:space="preserve"> row must also be completed, as it may be derived from different factors for each project, e.g. as a total cost, a total revenue or as a combination of availability payment and revenue.</w:t>
      </w:r>
    </w:p>
    <w:p w14:paraId="7256E2FB" w14:textId="3D2F9037" w:rsidR="00516450" w:rsidRDefault="00FC708B" w:rsidP="003C1655">
      <w:pPr>
        <w:pStyle w:val="ListParagraph"/>
        <w:numPr>
          <w:ilvl w:val="0"/>
          <w:numId w:val="4"/>
        </w:numPr>
        <w:jc w:val="both"/>
        <w:rPr>
          <w:rFonts w:ascii="Times New Roman" w:hAnsi="Times New Roman" w:cs="Times New Roman"/>
        </w:rPr>
      </w:pPr>
      <w:r>
        <w:rPr>
          <w:rFonts w:ascii="Times New Roman" w:hAnsi="Times New Roman"/>
        </w:rPr>
        <w:t xml:space="preserve">It must be ensured that the overall cash flow of the private partner is not only positive, but also in line with a certain level of profitability in the sector, in order for economic operators to be interested in participating in the private partner selection procedure. If the private partner's projected cash flow is not in line with industry averages, it is possible to include the private partner's mark-up in the cash flow. </w:t>
      </w:r>
    </w:p>
    <w:p w14:paraId="47D7FF17" w14:textId="4B2A77B6" w:rsidR="003178F2" w:rsidRPr="00BB3EAE" w:rsidRDefault="007A597C" w:rsidP="00085430">
      <w:pPr>
        <w:shd w:val="clear" w:color="auto" w:fill="C2D69B" w:themeFill="accent3" w:themeFillTint="99"/>
        <w:rPr>
          <w:rFonts w:ascii="Times New Roman" w:hAnsi="Times New Roman" w:cs="Times New Roman"/>
          <w:b/>
          <w:bCs/>
          <w:sz w:val="24"/>
          <w:szCs w:val="24"/>
        </w:rPr>
      </w:pPr>
      <w:r>
        <w:rPr>
          <w:rFonts w:ascii="Times New Roman" w:hAnsi="Times New Roman"/>
          <w:b/>
          <w:sz w:val="24"/>
        </w:rPr>
        <w:t>5) Risk Analysis</w:t>
      </w:r>
    </w:p>
    <w:p w14:paraId="2659BC62" w14:textId="33ECBFF0" w:rsidR="009F30BA" w:rsidRDefault="009F30BA" w:rsidP="003178F2">
      <w:pPr>
        <w:jc w:val="both"/>
        <w:rPr>
          <w:rFonts w:ascii="Times New Roman" w:hAnsi="Times New Roman" w:cs="Times New Roman"/>
        </w:rPr>
      </w:pPr>
      <w:r>
        <w:rPr>
          <w:rFonts w:ascii="Times New Roman" w:hAnsi="Times New Roman"/>
        </w:rPr>
        <w:t>The identification of risks and the quantification of the costs of preventing the risks of the PPP model must be carried out in the Risk Tool</w:t>
      </w:r>
      <w:r w:rsidR="0040086D">
        <w:rPr>
          <w:rStyle w:val="FootnoteReference"/>
          <w:rFonts w:ascii="Times New Roman" w:hAnsi="Times New Roman" w:cs="Times New Roman"/>
          <w:lang w:val="lv-LV"/>
        </w:rPr>
        <w:footnoteReference w:id="3"/>
      </w:r>
      <w:r>
        <w:rPr>
          <w:rFonts w:ascii="Times New Roman" w:hAnsi="Times New Roman"/>
        </w:rPr>
        <w:t xml:space="preserve">, and the information obtained in the Risk Tool must be reflected in the </w:t>
      </w:r>
      <w:r>
        <w:rPr>
          <w:rFonts w:ascii="Times New Roman" w:hAnsi="Times New Roman"/>
          <w:b/>
        </w:rPr>
        <w:t>Risks</w:t>
      </w:r>
      <w:r>
        <w:rPr>
          <w:rFonts w:ascii="Times New Roman" w:hAnsi="Times New Roman"/>
        </w:rPr>
        <w:t xml:space="preserve"> worksheet.</w:t>
      </w:r>
    </w:p>
    <w:p w14:paraId="02C6398B" w14:textId="2527D98A" w:rsidR="00D1089A" w:rsidRPr="00F916E3" w:rsidRDefault="00D24CED" w:rsidP="003178F2">
      <w:pPr>
        <w:jc w:val="both"/>
        <w:rPr>
          <w:rFonts w:ascii="Times New Roman" w:hAnsi="Times New Roman" w:cs="Times New Roman"/>
        </w:rPr>
      </w:pPr>
      <w:r>
        <w:rPr>
          <w:rFonts w:ascii="Times New Roman" w:hAnsi="Times New Roman"/>
        </w:rPr>
        <w:t xml:space="preserve">Only risks for which a cost of risk has been identified must be listed in the </w:t>
      </w:r>
      <w:r>
        <w:rPr>
          <w:rFonts w:ascii="Times New Roman" w:hAnsi="Times New Roman"/>
          <w:b/>
        </w:rPr>
        <w:t>Risks</w:t>
      </w:r>
      <w:r>
        <w:rPr>
          <w:rFonts w:ascii="Times New Roman" w:hAnsi="Times New Roman"/>
        </w:rPr>
        <w:t xml:space="preserve"> worksheet of the financial model. The allocation of risks must be carried out in such a way that the respective risk is borne by the counterparty that is better able to influence or manage the probability of the occurrence of the risk, or to control or absorb its impact. When using the Risk Tool, it must be noted that the risk can be transferred to the public partner, the private partner or jointly to both partners (three options) in the partnership contract. Two or all three options are not possible at the same time. The risk must be transferred </w:t>
      </w:r>
      <w:r>
        <w:rPr>
          <w:rFonts w:ascii="Times New Roman" w:hAnsi="Times New Roman"/>
          <w:b/>
        </w:rPr>
        <w:t>either</w:t>
      </w:r>
      <w:r>
        <w:rPr>
          <w:rFonts w:ascii="Times New Roman" w:hAnsi="Times New Roman"/>
        </w:rPr>
        <w:t xml:space="preserve"> to the private partner </w:t>
      </w:r>
      <w:r>
        <w:rPr>
          <w:rFonts w:ascii="Times New Roman" w:hAnsi="Times New Roman"/>
          <w:b/>
        </w:rPr>
        <w:t xml:space="preserve">or </w:t>
      </w:r>
      <w:r>
        <w:rPr>
          <w:rFonts w:ascii="Times New Roman" w:hAnsi="Times New Roman"/>
        </w:rPr>
        <w:t xml:space="preserve">to the public partner, </w:t>
      </w:r>
      <w:r>
        <w:rPr>
          <w:rFonts w:ascii="Times New Roman" w:hAnsi="Times New Roman"/>
          <w:b/>
        </w:rPr>
        <w:t xml:space="preserve">or </w:t>
      </w:r>
      <w:r>
        <w:rPr>
          <w:rFonts w:ascii="Times New Roman" w:hAnsi="Times New Roman"/>
        </w:rPr>
        <w:t>it must be indicated that the risk is shared between the private and public partner. The respective mitigation costs of each party must be provided where mitigation measures are possible for the risk concerned.</w:t>
      </w:r>
    </w:p>
    <w:p w14:paraId="4B0DB0C6" w14:textId="7B51EB51" w:rsidR="00D1089A" w:rsidRPr="00F916E3" w:rsidRDefault="00DC1017" w:rsidP="003178F2">
      <w:pPr>
        <w:jc w:val="both"/>
        <w:rPr>
          <w:rFonts w:ascii="Times New Roman" w:hAnsi="Times New Roman" w:cs="Times New Roman"/>
        </w:rPr>
      </w:pPr>
      <w:r>
        <w:rPr>
          <w:rFonts w:ascii="Times New Roman" w:hAnsi="Times New Roman"/>
        </w:rPr>
        <w:t>Risk analysis must determine the probability, impact and value of a given risk, identify mitigating actions</w:t>
      </w:r>
      <w:r>
        <w:rPr>
          <w:rStyle w:val="FootnoteReference"/>
          <w:rFonts w:ascii="Times New Roman" w:hAnsi="Times New Roman"/>
        </w:rPr>
        <w:t xml:space="preserve"> </w:t>
      </w:r>
      <w:r w:rsidRPr="00F916E3">
        <w:rPr>
          <w:rStyle w:val="FootnoteReference"/>
          <w:rFonts w:ascii="Times New Roman" w:hAnsi="Times New Roman" w:cs="Times New Roman"/>
          <w:lang w:val="lv-LV"/>
        </w:rPr>
        <w:footnoteReference w:id="4"/>
      </w:r>
      <w:r>
        <w:rPr>
          <w:rFonts w:ascii="Times New Roman" w:hAnsi="Times New Roman"/>
        </w:rPr>
        <w:t xml:space="preserve"> and monetise them.</w:t>
      </w:r>
    </w:p>
    <w:p w14:paraId="79596455" w14:textId="77777777" w:rsidR="00124F56" w:rsidRPr="00F916E3" w:rsidRDefault="00124F56" w:rsidP="00124F56">
      <w:pPr>
        <w:jc w:val="both"/>
        <w:rPr>
          <w:rFonts w:ascii="Times New Roman" w:hAnsi="Times New Roman" w:cs="Times New Roman"/>
        </w:rPr>
      </w:pPr>
      <w:r>
        <w:rPr>
          <w:rFonts w:ascii="Times New Roman" w:hAnsi="Times New Roman"/>
          <w:b/>
        </w:rPr>
        <w:t xml:space="preserve">Probability of risks. </w:t>
      </w:r>
      <w:r>
        <w:rPr>
          <w:rFonts w:ascii="Times New Roman" w:hAnsi="Times New Roman"/>
        </w:rPr>
        <w:t>Reflects the probability with which the risk is assessed to occur (on a scale of one (1) to three (3)). If the probability of a risk is assessed as high (three (3)), it may jeopardise the implementation of the project. When assessing the risks affecting the project, each risk is assigned a probability level (1, 2 or 3).</w:t>
      </w:r>
    </w:p>
    <w:p w14:paraId="756AF7D4" w14:textId="77777777" w:rsidR="00124F56" w:rsidRPr="00F916E3" w:rsidRDefault="00124F56" w:rsidP="00124F56">
      <w:pPr>
        <w:jc w:val="both"/>
        <w:rPr>
          <w:rFonts w:ascii="Times New Roman" w:hAnsi="Times New Roman" w:cs="Times New Roman"/>
        </w:rPr>
      </w:pPr>
      <w:r>
        <w:rPr>
          <w:rFonts w:ascii="Times New Roman" w:hAnsi="Times New Roman"/>
          <w:b/>
        </w:rPr>
        <w:t>Impact of risks</w:t>
      </w:r>
      <w:r>
        <w:rPr>
          <w:rFonts w:ascii="Times New Roman" w:hAnsi="Times New Roman"/>
        </w:rPr>
        <w:t>. To determine the impact of each risk, risks are analysed according to their degree of impact on the project. If the impact of the risk is one, its occurrence will not have a significant impact on the implementation of the project. If the impact of the risk is high (three (3)), its occurrence may jeopardise the implementation of the project. When assessing the risks affecting the project, each risk is assigned an impact level (1, 2 or 3).</w:t>
      </w:r>
    </w:p>
    <w:p w14:paraId="23B27009" w14:textId="77777777" w:rsidR="00124F56" w:rsidRPr="00F916E3" w:rsidRDefault="00124F56" w:rsidP="00124F56">
      <w:pPr>
        <w:jc w:val="both"/>
        <w:rPr>
          <w:rFonts w:ascii="Times New Roman" w:hAnsi="Times New Roman" w:cs="Times New Roman"/>
        </w:rPr>
      </w:pPr>
      <w:r>
        <w:rPr>
          <w:rFonts w:ascii="Times New Roman" w:hAnsi="Times New Roman"/>
        </w:rPr>
        <w:t>The</w:t>
      </w:r>
      <w:r>
        <w:rPr>
          <w:rFonts w:ascii="Times New Roman" w:hAnsi="Times New Roman"/>
          <w:b/>
          <w:bCs/>
        </w:rPr>
        <w:t xml:space="preserve"> risk score</w:t>
      </w:r>
      <w:r>
        <w:rPr>
          <w:rFonts w:ascii="Times New Roman" w:hAnsi="Times New Roman"/>
        </w:rPr>
        <w:t xml:space="preserve"> is the result of multiplying the probability of the risk by the impact of the risk.</w:t>
      </w:r>
    </w:p>
    <w:p w14:paraId="0F80D207" w14:textId="77777777" w:rsidR="00124F56" w:rsidRPr="00F916E3" w:rsidRDefault="00124F56" w:rsidP="00124F56">
      <w:pPr>
        <w:jc w:val="both"/>
        <w:rPr>
          <w:rFonts w:ascii="Times New Roman" w:hAnsi="Times New Roman" w:cs="Times New Roman"/>
        </w:rPr>
      </w:pPr>
      <w:r>
        <w:rPr>
          <w:rFonts w:ascii="Times New Roman" w:hAnsi="Times New Roman"/>
          <w:b/>
        </w:rPr>
        <w:t>Risk allocation.</w:t>
      </w:r>
      <w:r>
        <w:rPr>
          <w:rFonts w:ascii="Times New Roman" w:hAnsi="Times New Roman"/>
        </w:rPr>
        <w:t xml:space="preserve"> The aim of risk allocation is to transfer the management of each risk to the partner best placed to manage it qualitatively and minimise the cost of its occurrence.</w:t>
      </w:r>
    </w:p>
    <w:p w14:paraId="5C061854" w14:textId="77777777" w:rsidR="00124F56" w:rsidRPr="00F916E3" w:rsidRDefault="00124F56" w:rsidP="00124F56">
      <w:pPr>
        <w:jc w:val="both"/>
        <w:rPr>
          <w:rFonts w:ascii="Times New Roman" w:hAnsi="Times New Roman" w:cs="Times New Roman"/>
        </w:rPr>
      </w:pPr>
      <w:r>
        <w:rPr>
          <w:rFonts w:ascii="Times New Roman" w:hAnsi="Times New Roman"/>
        </w:rPr>
        <w:t>The</w:t>
      </w:r>
      <w:r>
        <w:rPr>
          <w:rFonts w:ascii="Times New Roman" w:hAnsi="Times New Roman"/>
          <w:b/>
        </w:rPr>
        <w:t xml:space="preserve"> costs of risk</w:t>
      </w:r>
      <w:r>
        <w:rPr>
          <w:rFonts w:ascii="Times New Roman" w:hAnsi="Times New Roman"/>
        </w:rPr>
        <w:t xml:space="preserve"> are calculated taking into account risk mitigation measures and are determined by the expert method. Examples of costs of risk mitigation measures:</w:t>
      </w:r>
    </w:p>
    <w:p w14:paraId="70E03AC9" w14:textId="77777777" w:rsidR="00124F56" w:rsidRPr="00F916E3" w:rsidRDefault="00124F56" w:rsidP="00124F56">
      <w:pPr>
        <w:pStyle w:val="ListParagraph"/>
        <w:numPr>
          <w:ilvl w:val="0"/>
          <w:numId w:val="9"/>
        </w:numPr>
        <w:jc w:val="both"/>
        <w:rPr>
          <w:rFonts w:ascii="Times New Roman" w:hAnsi="Times New Roman" w:cs="Times New Roman"/>
        </w:rPr>
      </w:pPr>
      <w:r>
        <w:rPr>
          <w:rFonts w:ascii="Times New Roman" w:hAnsi="Times New Roman"/>
        </w:rPr>
        <w:t>To mitigate construction quality risks, the services of a construction expert are needed. The relevant costs of the construction expert will be risk mitigation costs.</w:t>
      </w:r>
    </w:p>
    <w:p w14:paraId="653C1CEA" w14:textId="77777777" w:rsidR="00124F56" w:rsidRPr="00F916E3" w:rsidRDefault="00124F56" w:rsidP="00124F56">
      <w:pPr>
        <w:pStyle w:val="ListParagraph"/>
        <w:numPr>
          <w:ilvl w:val="0"/>
          <w:numId w:val="9"/>
        </w:numPr>
        <w:jc w:val="both"/>
        <w:rPr>
          <w:rFonts w:ascii="Times New Roman" w:hAnsi="Times New Roman" w:cs="Times New Roman"/>
        </w:rPr>
      </w:pPr>
      <w:r>
        <w:rPr>
          <w:rFonts w:ascii="Times New Roman" w:hAnsi="Times New Roman"/>
        </w:rPr>
        <w:t xml:space="preserve">The cost of obtaining construction insurance policies, performance bonds will be risk mitigation costs. </w:t>
      </w:r>
    </w:p>
    <w:p w14:paraId="4E2E2C6D" w14:textId="77777777" w:rsidR="00124F56" w:rsidRPr="00F916E3" w:rsidRDefault="00124F56" w:rsidP="00124F56">
      <w:pPr>
        <w:pStyle w:val="ListParagraph"/>
        <w:numPr>
          <w:ilvl w:val="0"/>
          <w:numId w:val="9"/>
        </w:numPr>
        <w:jc w:val="both"/>
        <w:rPr>
          <w:rFonts w:ascii="Times New Roman" w:hAnsi="Times New Roman" w:cs="Times New Roman"/>
        </w:rPr>
      </w:pPr>
      <w:r>
        <w:rPr>
          <w:rFonts w:ascii="Times New Roman" w:hAnsi="Times New Roman"/>
        </w:rPr>
        <w:t>The cost of bringing in specialists to carry out monitoring activities.</w:t>
      </w:r>
    </w:p>
    <w:p w14:paraId="5C6B2F42" w14:textId="36CE0687" w:rsidR="00124F56" w:rsidRPr="00F916E3" w:rsidRDefault="00124F56" w:rsidP="00124F56">
      <w:pPr>
        <w:jc w:val="both"/>
        <w:rPr>
          <w:rFonts w:ascii="Times New Roman" w:hAnsi="Times New Roman" w:cs="Times New Roman"/>
        </w:rPr>
      </w:pPr>
      <w:r>
        <w:rPr>
          <w:rFonts w:ascii="Times New Roman" w:hAnsi="Times New Roman"/>
        </w:rPr>
        <w:t>The risk score is the probability of the risk multiplied by the impact of the risk, which can be 1, 2 or 3, respectively the possible risk scores are 1, 2, 3, 4, 6, 9</w:t>
      </w:r>
      <w:r w:rsidRPr="00F916E3">
        <w:rPr>
          <w:rStyle w:val="FootnoteReference"/>
          <w:rFonts w:ascii="Times New Roman" w:hAnsi="Times New Roman" w:cs="Times New Roman"/>
          <w:lang w:val="lv-LV"/>
        </w:rPr>
        <w:footnoteReference w:id="5"/>
      </w:r>
      <w:r>
        <w:rPr>
          <w:rFonts w:ascii="Times New Roman" w:hAnsi="Times New Roman"/>
        </w:rPr>
        <w:t>. Costs must be identified for risks with a risk score of nine (9) or six (6). The FEC descriptive document must also include the cost of the occurrence of the risk (potential loss).</w:t>
      </w:r>
    </w:p>
    <w:p w14:paraId="1700D2C4" w14:textId="77777777" w:rsidR="00124F56" w:rsidRPr="00F916E3" w:rsidRDefault="00124F56" w:rsidP="00124F56">
      <w:pPr>
        <w:jc w:val="both"/>
        <w:rPr>
          <w:rFonts w:ascii="Times New Roman" w:hAnsi="Times New Roman" w:cs="Times New Roman"/>
        </w:rPr>
      </w:pPr>
      <w:r>
        <w:rPr>
          <w:rFonts w:ascii="Times New Roman" w:hAnsi="Times New Roman"/>
        </w:rPr>
        <w:t xml:space="preserve">If the risk score is four (4), the cost of preventing the risk can be optionally determined. </w:t>
      </w:r>
    </w:p>
    <w:p w14:paraId="15A2703D" w14:textId="77777777" w:rsidR="00124F56" w:rsidRPr="00F916E3" w:rsidRDefault="00124F56" w:rsidP="00124F56">
      <w:pPr>
        <w:jc w:val="both"/>
        <w:rPr>
          <w:rFonts w:ascii="Times New Roman" w:hAnsi="Times New Roman" w:cs="Times New Roman"/>
        </w:rPr>
      </w:pPr>
      <w:r>
        <w:rPr>
          <w:rFonts w:ascii="Times New Roman" w:hAnsi="Times New Roman"/>
        </w:rPr>
        <w:t>If the probability of the risk is high (3) and the impact of the risk is low (1), then the risk does not need to be quantified. If the probability of the risk is low (1) and the impact of the risk is high (3), then the cost of preventing the risk can be optionally determined. In this case, the FEC descriptive document must also indicate the cost of the occurrence of the risk (potential loss).</w:t>
      </w:r>
    </w:p>
    <w:p w14:paraId="13B88F22" w14:textId="77777777" w:rsidR="00124F56" w:rsidRPr="00F916E3" w:rsidRDefault="00124F56" w:rsidP="00124F56">
      <w:pPr>
        <w:jc w:val="both"/>
        <w:rPr>
          <w:rFonts w:ascii="Times New Roman" w:hAnsi="Times New Roman" w:cs="Times New Roman"/>
        </w:rPr>
      </w:pPr>
      <w:r>
        <w:rPr>
          <w:rFonts w:ascii="Times New Roman" w:hAnsi="Times New Roman"/>
        </w:rPr>
        <w:t xml:space="preserve">For risks with a risk score of two (2) or one (1), the cost of preventing the risk does not need to be determined. </w:t>
      </w:r>
    </w:p>
    <w:p w14:paraId="2A57BCF5" w14:textId="77777777" w:rsidR="00124F56" w:rsidRPr="00F916E3" w:rsidRDefault="00124F56" w:rsidP="00124F56">
      <w:pPr>
        <w:jc w:val="both"/>
        <w:rPr>
          <w:rFonts w:ascii="Times New Roman" w:hAnsi="Times New Roman" w:cs="Times New Roman"/>
        </w:rPr>
      </w:pPr>
      <w:r>
        <w:rPr>
          <w:rFonts w:ascii="Times New Roman" w:hAnsi="Times New Roman"/>
        </w:rPr>
        <w:t>In the Risk Tool, it is possible to have a risk score of zero (0), meaning that the risk does not exist.</w:t>
      </w:r>
    </w:p>
    <w:p w14:paraId="02F8BFED" w14:textId="40DB7A94" w:rsidR="00124F56" w:rsidRPr="00F916E3" w:rsidRDefault="00124F56" w:rsidP="00124F56">
      <w:pPr>
        <w:jc w:val="both"/>
        <w:rPr>
          <w:rFonts w:ascii="Times New Roman" w:hAnsi="Times New Roman" w:cs="Times New Roman"/>
        </w:rPr>
      </w:pPr>
      <w:r>
        <w:rPr>
          <w:rFonts w:ascii="Times New Roman" w:hAnsi="Times New Roman"/>
        </w:rPr>
        <w:t xml:space="preserve">Not all potential risks need to be quantified as not all of them have a material impact on the Financial Model (Excel). </w:t>
      </w:r>
      <w:bookmarkStart w:id="0" w:name="_Hlk178167288"/>
      <w:r>
        <w:rPr>
          <w:rFonts w:ascii="Times New Roman" w:hAnsi="Times New Roman"/>
        </w:rPr>
        <w:t xml:space="preserve">Construction, availability and demand risks, as well as those risks that are of major importance due to the nature of the PPP project, are </w:t>
      </w:r>
      <w:r>
        <w:rPr>
          <w:rFonts w:ascii="Times New Roman" w:hAnsi="Times New Roman"/>
          <w:b/>
        </w:rPr>
        <w:t>mandatory to</w:t>
      </w:r>
      <w:r>
        <w:rPr>
          <w:rFonts w:ascii="Times New Roman" w:hAnsi="Times New Roman"/>
          <w:b/>
          <w:bCs/>
        </w:rPr>
        <w:t xml:space="preserve"> be quantified</w:t>
      </w:r>
      <w:r>
        <w:rPr>
          <w:rFonts w:ascii="Times New Roman" w:hAnsi="Times New Roman"/>
        </w:rPr>
        <w:t>. In the case of a PPP project involving construction, the risks associated with construction that may affect the construction process must be quantified. On the other hand, if the PPP project involves the provision of a service, the focus is more on the risks of availability or, in the case of a Concession, on the risks of demand.</w:t>
      </w:r>
      <w:bookmarkEnd w:id="0"/>
    </w:p>
    <w:p w14:paraId="1BE78E10" w14:textId="77777777" w:rsidR="00124F56" w:rsidRPr="00F916E3" w:rsidRDefault="00124F56" w:rsidP="00124F56">
      <w:pPr>
        <w:jc w:val="both"/>
        <w:rPr>
          <w:rFonts w:ascii="Times New Roman" w:hAnsi="Times New Roman" w:cs="Times New Roman"/>
        </w:rPr>
      </w:pPr>
      <w:r>
        <w:rPr>
          <w:rFonts w:ascii="Times New Roman" w:hAnsi="Times New Roman"/>
        </w:rPr>
        <w:t>Note that the relevant risk present in the PPP Model may not be present in the Baseline Model. If the risk is present in both the PPP Model and the Baseline Model, the mitigating actions may differ.</w:t>
      </w:r>
    </w:p>
    <w:p w14:paraId="13E1B202" w14:textId="1F32F7A7" w:rsidR="00124F56" w:rsidRPr="00124F56" w:rsidRDefault="00124F56" w:rsidP="00124F56">
      <w:pPr>
        <w:jc w:val="both"/>
        <w:rPr>
          <w:rFonts w:ascii="Times New Roman" w:hAnsi="Times New Roman" w:cs="Times New Roman"/>
          <w:sz w:val="24"/>
          <w:szCs w:val="24"/>
        </w:rPr>
      </w:pPr>
      <w:r>
        <w:rPr>
          <w:rFonts w:ascii="Times New Roman" w:hAnsi="Times New Roman"/>
        </w:rPr>
        <w:t>The cost of the occurrence of risks is not included in the cash flow of the Financial Model (Excel) as it is the probable cost of the occurrence of the risk. If the cost of the occurrence of risks is high, resulting in a significant impact on the project, then mitigating actions can be foreseen for the risk and included in the (Excel) cash flow.</w:t>
      </w:r>
    </w:p>
    <w:p w14:paraId="258ABA58" w14:textId="7498512C" w:rsidR="003178F2" w:rsidRPr="002A43FB" w:rsidRDefault="003178F2" w:rsidP="009274A3">
      <w:pPr>
        <w:jc w:val="both"/>
        <w:rPr>
          <w:noProof/>
        </w:rPr>
      </w:pPr>
      <w:r>
        <w:rPr>
          <w:rFonts w:ascii="Times New Roman" w:hAnsi="Times New Roman"/>
        </w:rPr>
        <w:t xml:space="preserve">To quantify the risks for each of the project implementation alternatives, a separate table has been created in the </w:t>
      </w:r>
      <w:r>
        <w:rPr>
          <w:rFonts w:ascii="Times New Roman" w:hAnsi="Times New Roman"/>
          <w:b/>
        </w:rPr>
        <w:t xml:space="preserve">Risks </w:t>
      </w:r>
      <w:r>
        <w:rPr>
          <w:rFonts w:ascii="Times New Roman" w:hAnsi="Times New Roman"/>
        </w:rPr>
        <w:t>worksheet, which provides the basic data for determining the cost of the risk:</w:t>
      </w:r>
    </w:p>
    <w:p w14:paraId="2DA13E2D" w14:textId="4A16272B" w:rsidR="006D3A79" w:rsidRDefault="00165494" w:rsidP="00B712F4">
      <w:pPr>
        <w:jc w:val="both"/>
        <w:rPr>
          <w:rFonts w:ascii="Times New Roman" w:hAnsi="Times New Roman" w:cs="Times New Roman"/>
        </w:rPr>
      </w:pPr>
      <w:r w:rsidRPr="00165494">
        <w:rPr>
          <w:rFonts w:ascii="Times New Roman" w:hAnsi="Times New Roman" w:cs="Times New Roman"/>
          <w:noProof/>
        </w:rPr>
        <w:drawing>
          <wp:inline distT="0" distB="0" distL="0" distR="0" wp14:anchorId="4EE978EF" wp14:editId="0872DF5A">
            <wp:extent cx="6210300" cy="2566670"/>
            <wp:effectExtent l="0" t="0" r="0" b="5080"/>
            <wp:docPr id="663787928" name="Attēls 1" descr="Attēls, kurā ir teksts, ekrānuzņēmums, cipar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87928" name="Attēls 1" descr="Attēls, kurā ir teksts, ekrānuzņēmums, cipars, rinda&#10;&#10;Mākslīgā intelekta ģenerēts saturs var būt nepareizs."/>
                    <pic:cNvPicPr/>
                  </pic:nvPicPr>
                  <pic:blipFill>
                    <a:blip r:embed="rId22"/>
                    <a:stretch>
                      <a:fillRect/>
                    </a:stretch>
                  </pic:blipFill>
                  <pic:spPr>
                    <a:xfrm>
                      <a:off x="0" y="0"/>
                      <a:ext cx="6210300" cy="2566670"/>
                    </a:xfrm>
                    <a:prstGeom prst="rect">
                      <a:avLst/>
                    </a:prstGeom>
                  </pic:spPr>
                </pic:pic>
              </a:graphicData>
            </a:graphic>
          </wp:inline>
        </w:drawing>
      </w:r>
    </w:p>
    <w:p w14:paraId="54F2C476" w14:textId="2CE6CCAA" w:rsidR="00F30733" w:rsidRDefault="00F30733" w:rsidP="00B826F7">
      <w:pPr>
        <w:jc w:val="both"/>
        <w:rPr>
          <w:rFonts w:ascii="Times New Roman" w:hAnsi="Times New Roman" w:cs="Times New Roman"/>
        </w:rPr>
      </w:pPr>
      <w:r>
        <w:rPr>
          <w:rFonts w:ascii="Times New Roman" w:hAnsi="Times New Roman"/>
        </w:rPr>
        <w:t>A risk analysis must be carried out for both the public partner and the private partner, as the risk analysis calculates the cost of risks that need to be included in the total cash flow of each partner in order to correctly determine the NPV of the cash flow and to ascertain whether there will be sufficient incentives for both partners to participate in the project.</w:t>
      </w:r>
    </w:p>
    <w:p w14:paraId="64AA2DAE" w14:textId="5F5EDA8A" w:rsidR="00FF4701" w:rsidRDefault="00FF4701" w:rsidP="00B826F7">
      <w:pPr>
        <w:jc w:val="both"/>
        <w:rPr>
          <w:rFonts w:ascii="Times New Roman" w:hAnsi="Times New Roman" w:cs="Times New Roman"/>
        </w:rPr>
      </w:pPr>
      <w:r>
        <w:rPr>
          <w:rFonts w:ascii="Times New Roman" w:hAnsi="Times New Roman"/>
        </w:rPr>
        <w:t>The risk analysis must indicate:</w:t>
      </w:r>
    </w:p>
    <w:p w14:paraId="13AF1CE9" w14:textId="6F6C2837" w:rsidR="00281972" w:rsidRPr="00FF4701" w:rsidRDefault="00FF4701" w:rsidP="002A43FB">
      <w:pPr>
        <w:pStyle w:val="ListParagraph"/>
        <w:numPr>
          <w:ilvl w:val="0"/>
          <w:numId w:val="1"/>
        </w:numPr>
        <w:spacing w:after="0"/>
        <w:jc w:val="both"/>
        <w:rPr>
          <w:rFonts w:ascii="Times New Roman" w:hAnsi="Times New Roman" w:cs="Times New Roman"/>
        </w:rPr>
      </w:pPr>
      <w:r>
        <w:rPr>
          <w:rFonts w:ascii="Times New Roman" w:hAnsi="Times New Roman"/>
        </w:rPr>
        <w:t>Risk factors, taking into account the specificities of the implementation of each alternative.</w:t>
      </w:r>
    </w:p>
    <w:p w14:paraId="0149F8F9" w14:textId="6413E3A3" w:rsidR="00E0765C" w:rsidRDefault="00FF4701" w:rsidP="002A43FB">
      <w:pPr>
        <w:pStyle w:val="ListParagraph"/>
        <w:numPr>
          <w:ilvl w:val="0"/>
          <w:numId w:val="1"/>
        </w:numPr>
        <w:spacing w:after="0"/>
        <w:jc w:val="both"/>
        <w:rPr>
          <w:rFonts w:ascii="Times New Roman" w:hAnsi="Times New Roman" w:cs="Times New Roman"/>
        </w:rPr>
      </w:pPr>
      <w:r>
        <w:rPr>
          <w:rFonts w:ascii="Times New Roman" w:hAnsi="Times New Roman"/>
        </w:rPr>
        <w:t>Risk category according to the options indicated in the menu (CR - construction risk; AR - availability risk; DR - demand risk; Other - other risk category) assigned to each of the identified risks.</w:t>
      </w:r>
    </w:p>
    <w:p w14:paraId="5C756DED" w14:textId="2C7E2BFB" w:rsidR="00F65C45" w:rsidRDefault="00F65C45" w:rsidP="00F65C45">
      <w:pPr>
        <w:pStyle w:val="ListParagraph"/>
        <w:spacing w:after="0"/>
        <w:jc w:val="both"/>
        <w:rPr>
          <w:rFonts w:ascii="Times New Roman" w:hAnsi="Times New Roman" w:cs="Times New Roman"/>
          <w:lang w:val="lv-LV"/>
        </w:rPr>
      </w:pPr>
    </w:p>
    <w:p w14:paraId="5A004FC4" w14:textId="5FE2C0FD" w:rsidR="00F65C45" w:rsidRDefault="007B3CCA" w:rsidP="00F65C45">
      <w:pPr>
        <w:pStyle w:val="ListParagraph"/>
        <w:spacing w:after="0"/>
        <w:jc w:val="both"/>
        <w:rPr>
          <w:rFonts w:ascii="Times New Roman" w:hAnsi="Times New Roman" w:cs="Times New Roman"/>
        </w:rPr>
      </w:pPr>
      <w:r w:rsidRPr="007B3CCA">
        <w:rPr>
          <w:rFonts w:ascii="Times New Roman" w:hAnsi="Times New Roman" w:cs="Times New Roman"/>
          <w:noProof/>
        </w:rPr>
        <w:drawing>
          <wp:inline distT="0" distB="0" distL="0" distR="0" wp14:anchorId="191299EE" wp14:editId="0DE6D8D0">
            <wp:extent cx="3606241" cy="1185090"/>
            <wp:effectExtent l="0" t="0" r="0" b="0"/>
            <wp:docPr id="618823506" name="Attēls 1" descr="Attēls, kurā ir teksts, ekrānuzņēmums, displej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23506" name="Attēls 1" descr="Attēls, kurā ir teksts, ekrānuzņēmums, displejs, fonts&#10;&#10;Mākslīgā intelekta ģenerēts saturs var būt nepareizs."/>
                    <pic:cNvPicPr/>
                  </pic:nvPicPr>
                  <pic:blipFill>
                    <a:blip r:embed="rId23"/>
                    <a:stretch>
                      <a:fillRect/>
                    </a:stretch>
                  </pic:blipFill>
                  <pic:spPr>
                    <a:xfrm>
                      <a:off x="0" y="0"/>
                      <a:ext cx="3657079" cy="1201797"/>
                    </a:xfrm>
                    <a:prstGeom prst="rect">
                      <a:avLst/>
                    </a:prstGeom>
                  </pic:spPr>
                </pic:pic>
              </a:graphicData>
            </a:graphic>
          </wp:inline>
        </w:drawing>
      </w:r>
    </w:p>
    <w:p w14:paraId="4D8447F8" w14:textId="77777777" w:rsidR="00F65C45" w:rsidRDefault="00F65C45" w:rsidP="00F65C45">
      <w:pPr>
        <w:pStyle w:val="ListParagraph"/>
        <w:spacing w:after="0"/>
        <w:jc w:val="both"/>
        <w:rPr>
          <w:rFonts w:ascii="Times New Roman" w:hAnsi="Times New Roman" w:cs="Times New Roman"/>
          <w:lang w:val="lv-LV"/>
        </w:rPr>
      </w:pPr>
    </w:p>
    <w:p w14:paraId="03D12552" w14:textId="1755D603" w:rsidR="00C4233A" w:rsidRPr="00636A7B" w:rsidRDefault="00FA18A5" w:rsidP="005700D2">
      <w:pPr>
        <w:pStyle w:val="ListParagraph"/>
        <w:numPr>
          <w:ilvl w:val="0"/>
          <w:numId w:val="1"/>
        </w:numPr>
        <w:jc w:val="both"/>
        <w:rPr>
          <w:rFonts w:ascii="Times New Roman" w:hAnsi="Times New Roman" w:cs="Times New Roman"/>
        </w:rPr>
      </w:pPr>
      <w:r>
        <w:rPr>
          <w:rFonts w:ascii="Times New Roman" w:hAnsi="Times New Roman"/>
          <w:b/>
        </w:rPr>
        <w:t>Risk Probability,</w:t>
      </w:r>
      <w:r>
        <w:rPr>
          <w:rFonts w:ascii="Times New Roman" w:hAnsi="Times New Roman"/>
        </w:rPr>
        <w:t xml:space="preserve"> </w:t>
      </w:r>
      <w:r>
        <w:rPr>
          <w:rFonts w:ascii="Times New Roman" w:hAnsi="Times New Roman"/>
          <w:b/>
        </w:rPr>
        <w:t xml:space="preserve">Risk Impact </w:t>
      </w:r>
      <w:r>
        <w:rPr>
          <w:rFonts w:ascii="Times New Roman" w:hAnsi="Times New Roman"/>
        </w:rPr>
        <w:t>and</w:t>
      </w:r>
      <w:r>
        <w:rPr>
          <w:rFonts w:ascii="Times New Roman" w:hAnsi="Times New Roman"/>
          <w:b/>
        </w:rPr>
        <w:t xml:space="preserve"> Risk Score</w:t>
      </w:r>
      <w:r>
        <w:rPr>
          <w:rFonts w:ascii="Times New Roman" w:hAnsi="Times New Roman"/>
        </w:rPr>
        <w:t xml:space="preserve"> (calculated automatically) </w:t>
      </w:r>
      <w:r>
        <w:rPr>
          <w:rFonts w:ascii="Times New Roman" w:hAnsi="Times New Roman"/>
          <w:b/>
        </w:rPr>
        <w:t>must be provided</w:t>
      </w:r>
      <w:r>
        <w:rPr>
          <w:rFonts w:ascii="Times New Roman" w:hAnsi="Times New Roman"/>
        </w:rPr>
        <w:t xml:space="preserve"> in accordance with the above risk score determination methodology. </w:t>
      </w:r>
    </w:p>
    <w:p w14:paraId="72AC32D6" w14:textId="2B038EF1" w:rsidR="00FA18A5" w:rsidRDefault="00FA18A5" w:rsidP="007D5281">
      <w:pPr>
        <w:pStyle w:val="ListParagraph"/>
        <w:numPr>
          <w:ilvl w:val="0"/>
          <w:numId w:val="1"/>
        </w:numPr>
        <w:jc w:val="both"/>
        <w:rPr>
          <w:rFonts w:ascii="Times New Roman" w:hAnsi="Times New Roman" w:cs="Times New Roman"/>
        </w:rPr>
      </w:pPr>
      <w:r>
        <w:rPr>
          <w:rFonts w:ascii="Times New Roman" w:hAnsi="Times New Roman"/>
        </w:rPr>
        <w:t>Indicating the share of the risk to be transferred to the private partner will result in a calculation of the % of the risk to be transferred to the public partner, as well as the cost of the risk in EUR for both partners. The costs of risk prevention are calculated taking into account the risk mitigation measures and are determined by the expert method. For example, to mitigate construction quality risks, the services of a construction expert are needed. The relevant costs of the construction expert will be the costs of risk prevention.</w:t>
      </w:r>
    </w:p>
    <w:p w14:paraId="6D7E6417" w14:textId="7111E80E" w:rsidR="002D1D1D" w:rsidRPr="007D5281" w:rsidRDefault="003A0558" w:rsidP="00AB3A36">
      <w:pPr>
        <w:pStyle w:val="ListParagraph"/>
        <w:ind w:left="0"/>
        <w:jc w:val="center"/>
        <w:rPr>
          <w:rFonts w:ascii="Times New Roman" w:hAnsi="Times New Roman" w:cs="Times New Roman"/>
        </w:rPr>
      </w:pPr>
      <w:r>
        <w:t xml:space="preserve"> </w:t>
      </w:r>
      <w:r w:rsidR="003778E2" w:rsidRPr="003778E2">
        <w:rPr>
          <w:noProof/>
        </w:rPr>
        <w:drawing>
          <wp:inline distT="0" distB="0" distL="0" distR="0" wp14:anchorId="57005F90" wp14:editId="19445BAB">
            <wp:extent cx="6210300" cy="624205"/>
            <wp:effectExtent l="0" t="0" r="0" b="4445"/>
            <wp:docPr id="19248678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67837" name=""/>
                    <pic:cNvPicPr/>
                  </pic:nvPicPr>
                  <pic:blipFill>
                    <a:blip r:embed="rId24"/>
                    <a:stretch>
                      <a:fillRect/>
                    </a:stretch>
                  </pic:blipFill>
                  <pic:spPr>
                    <a:xfrm>
                      <a:off x="0" y="0"/>
                      <a:ext cx="6210300" cy="624205"/>
                    </a:xfrm>
                    <a:prstGeom prst="rect">
                      <a:avLst/>
                    </a:prstGeom>
                  </pic:spPr>
                </pic:pic>
              </a:graphicData>
            </a:graphic>
          </wp:inline>
        </w:drawing>
      </w:r>
    </w:p>
    <w:p w14:paraId="138318B4" w14:textId="53594017" w:rsidR="0011671E" w:rsidRDefault="00D26506" w:rsidP="00D44500">
      <w:pPr>
        <w:jc w:val="both"/>
        <w:rPr>
          <w:rFonts w:ascii="Times New Roman" w:hAnsi="Times New Roman" w:cs="Times New Roman"/>
        </w:rPr>
      </w:pPr>
      <w:r>
        <w:rPr>
          <w:rFonts w:ascii="Times New Roman" w:hAnsi="Times New Roman"/>
        </w:rPr>
        <w:t xml:space="preserve">Risk quantification tables must be completed for each of the alternatives analysed, adjusting risk factors and quantifiers where necessary. </w:t>
      </w:r>
    </w:p>
    <w:p w14:paraId="0F45A701" w14:textId="55012E7B" w:rsidR="00E858A3" w:rsidRDefault="00E858A3" w:rsidP="00D44500">
      <w:pPr>
        <w:jc w:val="both"/>
        <w:rPr>
          <w:rFonts w:ascii="Times New Roman" w:hAnsi="Times New Roman" w:cs="Times New Roman"/>
        </w:rPr>
      </w:pPr>
      <w:r>
        <w:rPr>
          <w:rFonts w:ascii="Times New Roman" w:hAnsi="Times New Roman"/>
        </w:rPr>
        <w:t>In addition, the Risk Analysis Summary will calculate the total cost of risk for each of the project implementation alternatives in four categories, as well as the % of risks to be transferred to the public partner.</w:t>
      </w:r>
    </w:p>
    <w:p w14:paraId="5C45040A" w14:textId="37356810" w:rsidR="00E858A3" w:rsidRPr="00D44500" w:rsidRDefault="00E90DDC" w:rsidP="001B0B9D">
      <w:pPr>
        <w:ind w:left="709"/>
        <w:jc w:val="center"/>
        <w:rPr>
          <w:rFonts w:ascii="Times New Roman" w:hAnsi="Times New Roman" w:cs="Times New Roman"/>
        </w:rPr>
      </w:pPr>
      <w:r w:rsidRPr="00E90DDC">
        <w:rPr>
          <w:rFonts w:ascii="Times New Roman" w:hAnsi="Times New Roman" w:cs="Times New Roman"/>
          <w:noProof/>
        </w:rPr>
        <w:drawing>
          <wp:inline distT="0" distB="0" distL="0" distR="0" wp14:anchorId="16E5EE8E" wp14:editId="69D49035">
            <wp:extent cx="3916452" cy="1136215"/>
            <wp:effectExtent l="0" t="0" r="8255" b="6985"/>
            <wp:docPr id="15482816" name="Attēls 1"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816" name="Attēls 1" descr="Attēls, kurā ir teksts, ekrānuzņēmums, fonts, cipars&#10;&#10;Mākslīgā intelekta ģenerēts saturs var būt nepareizs."/>
                    <pic:cNvPicPr/>
                  </pic:nvPicPr>
                  <pic:blipFill>
                    <a:blip r:embed="rId25"/>
                    <a:stretch>
                      <a:fillRect/>
                    </a:stretch>
                  </pic:blipFill>
                  <pic:spPr>
                    <a:xfrm>
                      <a:off x="0" y="0"/>
                      <a:ext cx="3943105" cy="1143947"/>
                    </a:xfrm>
                    <a:prstGeom prst="rect">
                      <a:avLst/>
                    </a:prstGeom>
                  </pic:spPr>
                </pic:pic>
              </a:graphicData>
            </a:graphic>
          </wp:inline>
        </w:drawing>
      </w:r>
    </w:p>
    <w:p w14:paraId="709AF36A" w14:textId="04AC6858" w:rsidR="005D12FD" w:rsidRDefault="002D1D1D" w:rsidP="00DC6DB0">
      <w:pPr>
        <w:rPr>
          <w:rFonts w:ascii="Times New Roman" w:hAnsi="Times New Roman" w:cs="Times New Roman"/>
        </w:rPr>
      </w:pPr>
      <w:r>
        <w:rPr>
          <w:rFonts w:ascii="Times New Roman" w:hAnsi="Times New Roman"/>
        </w:rPr>
        <w:t xml:space="preserve">This analysis can be used to provide a detailed explanation in the descriptive part of the financial and economic calculations. </w:t>
      </w:r>
    </w:p>
    <w:p w14:paraId="652B9DBB" w14:textId="748C91A1" w:rsidR="00BA0B7C" w:rsidRDefault="00BA0B7C" w:rsidP="000253F5">
      <w:pPr>
        <w:jc w:val="both"/>
        <w:rPr>
          <w:rFonts w:ascii="Times New Roman" w:hAnsi="Times New Roman" w:cs="Times New Roman"/>
        </w:rPr>
      </w:pPr>
      <w:r>
        <w:rPr>
          <w:rFonts w:ascii="Times New Roman" w:hAnsi="Times New Roman"/>
        </w:rPr>
        <w:t xml:space="preserve">The next step is to complete the public partner and the private partner's risk costs in the </w:t>
      </w:r>
      <w:r>
        <w:rPr>
          <w:rFonts w:ascii="Times New Roman" w:hAnsi="Times New Roman"/>
          <w:b/>
        </w:rPr>
        <w:t>NPV</w:t>
      </w:r>
      <w:r>
        <w:rPr>
          <w:rFonts w:ascii="Times New Roman" w:hAnsi="Times New Roman"/>
        </w:rPr>
        <w:t xml:space="preserve"> worksheets. As part of the risk analysis, the total costs of the risk items and the total costs for the three main risk groups are calculated for each alternative. These are the total costs during the entire project implementation period, but the </w:t>
      </w:r>
      <w:r>
        <w:rPr>
          <w:rFonts w:ascii="Times New Roman" w:hAnsi="Times New Roman"/>
          <w:b/>
        </w:rPr>
        <w:t>NPV</w:t>
      </w:r>
      <w:r>
        <w:rPr>
          <w:rFonts w:ascii="Times New Roman" w:hAnsi="Times New Roman"/>
        </w:rPr>
        <w:t xml:space="preserve"> worksheets need to reflect the costs of risk in each year of the project and these costs also need to be discounted. To do this, it is necessary to understand the proportion of each project item that generates costs for each risk group. </w:t>
      </w:r>
    </w:p>
    <w:p w14:paraId="5A0C9952" w14:textId="41FAF384" w:rsidR="005D12FD" w:rsidRDefault="005D12FD" w:rsidP="00DC6DB0">
      <w:pPr>
        <w:rPr>
          <w:rFonts w:ascii="Times New Roman" w:hAnsi="Times New Roman" w:cs="Times New Roman"/>
        </w:rPr>
      </w:pPr>
      <w:r>
        <w:rPr>
          <w:rFonts w:ascii="Times New Roman" w:hAnsi="Times New Roman"/>
        </w:rPr>
        <w:t>If one of the alternatives is not analysed, the corresponding risk analysis and rate tables do not need to be completed. It can be closed using the grouping tool on the left side of the worksheet.</w:t>
      </w:r>
    </w:p>
    <w:p w14:paraId="7B1C5A1B" w14:textId="77777777" w:rsidR="001B0B9D" w:rsidRPr="001B0B9D" w:rsidRDefault="001B0B9D" w:rsidP="00DC6DB0">
      <w:pPr>
        <w:rPr>
          <w:rFonts w:ascii="Times New Roman" w:hAnsi="Times New Roman" w:cs="Times New Roman"/>
          <w:sz w:val="4"/>
          <w:szCs w:val="4"/>
          <w:lang w:val="lv-LV"/>
        </w:rPr>
      </w:pPr>
    </w:p>
    <w:p w14:paraId="4E1C9693" w14:textId="5F9B033C" w:rsidR="00C1023D" w:rsidRPr="00BB3EAE" w:rsidRDefault="0095283A" w:rsidP="00085430">
      <w:pPr>
        <w:shd w:val="clear" w:color="auto" w:fill="C2D69B" w:themeFill="accent3" w:themeFillTint="99"/>
        <w:rPr>
          <w:rFonts w:ascii="Times New Roman" w:hAnsi="Times New Roman" w:cs="Times New Roman"/>
          <w:b/>
          <w:bCs/>
          <w:sz w:val="24"/>
          <w:szCs w:val="24"/>
        </w:rPr>
      </w:pPr>
      <w:r>
        <w:rPr>
          <w:rFonts w:ascii="Times New Roman" w:hAnsi="Times New Roman"/>
          <w:b/>
          <w:sz w:val="24"/>
        </w:rPr>
        <w:t xml:space="preserve">6) Sensitivity Analysis </w:t>
      </w:r>
    </w:p>
    <w:p w14:paraId="654F3B81" w14:textId="00F57F85" w:rsidR="0083461B" w:rsidRDefault="00C913C7" w:rsidP="00EA2FF6">
      <w:pPr>
        <w:jc w:val="both"/>
        <w:rPr>
          <w:rFonts w:ascii="Times New Roman" w:hAnsi="Times New Roman" w:cs="Times New Roman"/>
        </w:rPr>
      </w:pPr>
      <w:r>
        <w:rPr>
          <w:noProof/>
        </w:rPr>
        <w:drawing>
          <wp:anchor distT="0" distB="0" distL="114300" distR="114300" simplePos="0" relativeHeight="251658245" behindDoc="1" locked="0" layoutInCell="1" allowOverlap="1" wp14:anchorId="42B3A8CB" wp14:editId="37AEACE1">
            <wp:simplePos x="0" y="0"/>
            <wp:positionH relativeFrom="margin">
              <wp:posOffset>4399280</wp:posOffset>
            </wp:positionH>
            <wp:positionV relativeFrom="paragraph">
              <wp:posOffset>721995</wp:posOffset>
            </wp:positionV>
            <wp:extent cx="1798955" cy="1019810"/>
            <wp:effectExtent l="19050" t="19050" r="10795" b="27940"/>
            <wp:wrapTight wrapText="bothSides">
              <wp:wrapPolygon edited="0">
                <wp:start x="-229" y="-403"/>
                <wp:lineTo x="-229" y="21788"/>
                <wp:lineTo x="21501" y="21788"/>
                <wp:lineTo x="21501" y="-403"/>
                <wp:lineTo x="-229" y="-403"/>
              </wp:wrapPolygon>
            </wp:wrapTight>
            <wp:docPr id="11465114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11488" name="Picture 17"/>
                    <pic:cNvPicPr/>
                  </pic:nvPicPr>
                  <pic:blipFill>
                    <a:blip r:embed="rId26">
                      <a:extLst>
                        <a:ext uri="{28A0092B-C50C-407E-A947-70E740481C1C}">
                          <a14:useLocalDpi xmlns:a14="http://schemas.microsoft.com/office/drawing/2010/main" val="0"/>
                        </a:ext>
                      </a:extLst>
                    </a:blip>
                    <a:stretch>
                      <a:fillRect/>
                    </a:stretch>
                  </pic:blipFill>
                  <pic:spPr>
                    <a:xfrm>
                      <a:off x="0" y="0"/>
                      <a:ext cx="1798955" cy="1019810"/>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0083461B">
        <w:rPr>
          <w:rFonts w:ascii="Times New Roman" w:hAnsi="Times New Roman"/>
        </w:rPr>
        <w:t xml:space="preserve">Sensitivity analysis must be carried out on the most significant assumptions affecting the financial models. These can be quantitative (e.g. population or consumer indicators influencing demand for the service) or qualitative (e.g. estimates of individual cost items). All four basic models are included in the form, but if any of them is not used in the calculations, that model can be closed or deleted and no calculations are required. </w:t>
      </w:r>
    </w:p>
    <w:p w14:paraId="552515ED" w14:textId="47F79AAB" w:rsidR="003E02E5" w:rsidRDefault="001B0B9D" w:rsidP="00EA2FF6">
      <w:pPr>
        <w:jc w:val="both"/>
        <w:rPr>
          <w:rFonts w:ascii="Times New Roman" w:hAnsi="Times New Roman" w:cs="Times New Roman"/>
        </w:rPr>
      </w:pPr>
      <w:r>
        <w:rPr>
          <w:noProof/>
        </w:rPr>
        <w:drawing>
          <wp:anchor distT="0" distB="0" distL="114300" distR="114300" simplePos="0" relativeHeight="251658241" behindDoc="1" locked="0" layoutInCell="1" allowOverlap="1" wp14:anchorId="4EF460CC" wp14:editId="27C41156">
            <wp:simplePos x="0" y="0"/>
            <wp:positionH relativeFrom="margin">
              <wp:align>right</wp:align>
            </wp:positionH>
            <wp:positionV relativeFrom="paragraph">
              <wp:posOffset>27189</wp:posOffset>
            </wp:positionV>
            <wp:extent cx="1717675" cy="923925"/>
            <wp:effectExtent l="19050" t="19050" r="15875" b="28575"/>
            <wp:wrapTight wrapText="bothSides">
              <wp:wrapPolygon edited="0">
                <wp:start x="-240" y="-445"/>
                <wp:lineTo x="-240" y="21823"/>
                <wp:lineTo x="21560" y="21823"/>
                <wp:lineTo x="21560" y="-445"/>
                <wp:lineTo x="-240" y="-445"/>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717675" cy="923925"/>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Pr>
          <w:rFonts w:ascii="Times New Roman" w:hAnsi="Times New Roman"/>
        </w:rPr>
        <w:t xml:space="preserve">In the </w:t>
      </w:r>
      <w:r>
        <w:rPr>
          <w:rFonts w:ascii="Times New Roman" w:hAnsi="Times New Roman"/>
          <w:b/>
        </w:rPr>
        <w:t>Sensitivity Analysis</w:t>
      </w:r>
      <w:r>
        <w:rPr>
          <w:rFonts w:ascii="Times New Roman" w:hAnsi="Times New Roman"/>
        </w:rPr>
        <w:t xml:space="preserve"> worksheet, the variation intervals to be used in the calculations must first be determined. Although the most commonly used +/- 1% and +/- 5% are defined in the form, they can be changed, for example, to +/- 5% and +/- 10%. </w:t>
      </w:r>
    </w:p>
    <w:p w14:paraId="108B0F10" w14:textId="7B5E9604" w:rsidR="003E02E5" w:rsidRDefault="001B0B9D" w:rsidP="00EA2FF6">
      <w:pPr>
        <w:jc w:val="both"/>
        <w:rPr>
          <w:rFonts w:ascii="Times New Roman" w:hAnsi="Times New Roman" w:cs="Times New Roman"/>
        </w:rPr>
      </w:pPr>
      <w:r>
        <w:rPr>
          <w:rFonts w:ascii="Times New Roman" w:hAnsi="Times New Roman"/>
          <w:noProof/>
        </w:rPr>
        <w:drawing>
          <wp:anchor distT="0" distB="0" distL="114300" distR="114300" simplePos="0" relativeHeight="251658242" behindDoc="0" locked="0" layoutInCell="1" allowOverlap="1" wp14:anchorId="3FA5F5FD" wp14:editId="36C08C64">
            <wp:simplePos x="0" y="0"/>
            <wp:positionH relativeFrom="margin">
              <wp:posOffset>4397375</wp:posOffset>
            </wp:positionH>
            <wp:positionV relativeFrom="paragraph">
              <wp:posOffset>187960</wp:posOffset>
            </wp:positionV>
            <wp:extent cx="1799590" cy="1478915"/>
            <wp:effectExtent l="19050" t="19050" r="10160" b="2603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799590" cy="1478915"/>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r>
        <w:rPr>
          <w:rFonts w:ascii="Times New Roman" w:hAnsi="Times New Roman"/>
        </w:rPr>
        <w:t>In the next step, the remaining data fields must be filled in sequentially:</w:t>
      </w:r>
    </w:p>
    <w:p w14:paraId="2FC7985D" w14:textId="77777777" w:rsidR="00BB71A9" w:rsidRDefault="00003FFC" w:rsidP="00003FFC">
      <w:pPr>
        <w:pStyle w:val="ListParagraph"/>
        <w:numPr>
          <w:ilvl w:val="0"/>
          <w:numId w:val="6"/>
        </w:numPr>
        <w:jc w:val="both"/>
        <w:rPr>
          <w:rFonts w:ascii="Times New Roman" w:hAnsi="Times New Roman" w:cs="Times New Roman"/>
        </w:rPr>
      </w:pPr>
      <w:r>
        <w:rPr>
          <w:rFonts w:ascii="Times New Roman" w:hAnsi="Times New Roman"/>
        </w:rPr>
        <w:t>Indicate which parameter's "</w:t>
      </w:r>
      <w:r>
        <w:rPr>
          <w:rFonts w:ascii="Times New Roman" w:hAnsi="Times New Roman"/>
          <w:b/>
        </w:rPr>
        <w:t>... variation</w:t>
      </w:r>
      <w:r>
        <w:rPr>
          <w:rFonts w:ascii="Times New Roman" w:hAnsi="Times New Roman"/>
        </w:rPr>
        <w:t>" will be assessed, e.g. "Construction cost variation" or "Population variation".</w:t>
      </w:r>
    </w:p>
    <w:p w14:paraId="3498A951" w14:textId="77777777" w:rsidR="00BB71A9" w:rsidRDefault="00DF1607" w:rsidP="00003FFC">
      <w:pPr>
        <w:pStyle w:val="ListParagraph"/>
        <w:numPr>
          <w:ilvl w:val="0"/>
          <w:numId w:val="6"/>
        </w:numPr>
        <w:jc w:val="both"/>
        <w:rPr>
          <w:rFonts w:ascii="Times New Roman" w:hAnsi="Times New Roman" w:cs="Times New Roman"/>
        </w:rPr>
      </w:pPr>
      <w:r>
        <w:rPr>
          <w:rFonts w:ascii="Times New Roman" w:hAnsi="Times New Roman"/>
        </w:rPr>
        <w:t xml:space="preserve">In the blue cells at the bottom, select the predefined variation intervals from the drop-down menu. </w:t>
      </w:r>
    </w:p>
    <w:p w14:paraId="1D5818A8" w14:textId="3C55AFDD" w:rsidR="00003FFC" w:rsidRDefault="00E7720E" w:rsidP="00003FFC">
      <w:pPr>
        <w:pStyle w:val="ListParagraph"/>
        <w:numPr>
          <w:ilvl w:val="0"/>
          <w:numId w:val="6"/>
        </w:numPr>
        <w:jc w:val="both"/>
        <w:rPr>
          <w:rFonts w:ascii="Times New Roman" w:hAnsi="Times New Roman" w:cs="Times New Roman"/>
        </w:rPr>
      </w:pPr>
      <w:r>
        <w:rPr>
          <w:rFonts w:ascii="Times New Roman" w:hAnsi="Times New Roman"/>
        </w:rPr>
        <w:t xml:space="preserve">In the </w:t>
      </w:r>
      <w:r>
        <w:rPr>
          <w:rFonts w:ascii="Times New Roman" w:hAnsi="Times New Roman"/>
          <w:b/>
        </w:rPr>
        <w:t>Parameter</w:t>
      </w:r>
      <w:r>
        <w:rPr>
          <w:rFonts w:ascii="Times New Roman" w:hAnsi="Times New Roman"/>
        </w:rPr>
        <w:t xml:space="preserve"> cell, specify which of the calculation outputs (most commonly NPV, but can also be the total of the estimated contract price) the sensitivity analysis is performed against and enter the initial calculated value of that parameter. This value must be entered with a link to the cell of the specific NPV worksheet.  </w:t>
      </w:r>
    </w:p>
    <w:p w14:paraId="621C0DEF" w14:textId="1BDBDB09" w:rsidR="00CD5A9F" w:rsidRDefault="00CD5A9F" w:rsidP="00003FFC">
      <w:pPr>
        <w:pStyle w:val="ListParagraph"/>
        <w:numPr>
          <w:ilvl w:val="0"/>
          <w:numId w:val="6"/>
        </w:numPr>
        <w:jc w:val="both"/>
        <w:rPr>
          <w:rFonts w:ascii="Times New Roman" w:hAnsi="Times New Roman" w:cs="Times New Roman"/>
        </w:rPr>
      </w:pPr>
      <w:r>
        <w:rPr>
          <w:rFonts w:ascii="Times New Roman" w:hAnsi="Times New Roman"/>
        </w:rPr>
        <w:t xml:space="preserve">To fill the green cells, i.e. to calculate the value of the parameter at the corresponding variation intervals, a correction of the parameter with the variation values has to be performed. As the </w:t>
      </w:r>
      <w:r>
        <w:rPr>
          <w:rFonts w:ascii="Times New Roman" w:hAnsi="Times New Roman"/>
          <w:b/>
        </w:rPr>
        <w:t>NPV</w:t>
      </w:r>
      <w:r>
        <w:rPr>
          <w:rFonts w:ascii="Times New Roman" w:hAnsi="Times New Roman"/>
        </w:rPr>
        <w:t xml:space="preserve"> worksheets are completed using the links from the </w:t>
      </w:r>
      <w:r>
        <w:rPr>
          <w:rFonts w:ascii="Times New Roman" w:hAnsi="Times New Roman"/>
          <w:b/>
        </w:rPr>
        <w:t>Project</w:t>
      </w:r>
      <w:r>
        <w:rPr>
          <w:rFonts w:ascii="Times New Roman" w:hAnsi="Times New Roman"/>
        </w:rPr>
        <w:t xml:space="preserve"> worksheet, the sensitivity analysis must be carried out by adjusting the parameter values by the selected intervals (-5% variation corresponds to a factor of 0.95; -1% to 0.99; 1% to 1.01; 5% to 1.05). This rate is applied to all cells of the corresponding item in the </w:t>
      </w:r>
      <w:r>
        <w:rPr>
          <w:rFonts w:ascii="Times New Roman" w:hAnsi="Times New Roman"/>
          <w:b/>
        </w:rPr>
        <w:t>Project</w:t>
      </w:r>
      <w:r>
        <w:rPr>
          <w:rFonts w:ascii="Times New Roman" w:hAnsi="Times New Roman"/>
        </w:rPr>
        <w:t xml:space="preserve"> worksheet.</w:t>
      </w:r>
    </w:p>
    <w:p w14:paraId="44A51AF5" w14:textId="655FC8DB" w:rsidR="00964693" w:rsidRDefault="0017281E" w:rsidP="00003FFC">
      <w:pPr>
        <w:pStyle w:val="ListParagraph"/>
        <w:numPr>
          <w:ilvl w:val="0"/>
          <w:numId w:val="6"/>
        </w:numPr>
        <w:jc w:val="both"/>
        <w:rPr>
          <w:rFonts w:ascii="Times New Roman" w:hAnsi="Times New Roman" w:cs="Times New Roman"/>
        </w:rPr>
      </w:pPr>
      <w:r>
        <w:rPr>
          <w:rFonts w:ascii="Times New Roman" w:hAnsi="Times New Roman"/>
        </w:rPr>
        <w:t xml:space="preserve">As the data in the </w:t>
      </w:r>
      <w:r>
        <w:rPr>
          <w:rFonts w:ascii="Times New Roman" w:hAnsi="Times New Roman"/>
          <w:b/>
        </w:rPr>
        <w:t>NPV</w:t>
      </w:r>
      <w:r>
        <w:rPr>
          <w:rFonts w:ascii="Times New Roman" w:hAnsi="Times New Roman"/>
        </w:rPr>
        <w:t xml:space="preserve"> worksheets are entered using links from the </w:t>
      </w:r>
      <w:r>
        <w:rPr>
          <w:rFonts w:ascii="Times New Roman" w:hAnsi="Times New Roman"/>
          <w:b/>
        </w:rPr>
        <w:t>Project</w:t>
      </w:r>
      <w:r>
        <w:rPr>
          <w:rFonts w:ascii="Times New Roman" w:hAnsi="Times New Roman"/>
        </w:rPr>
        <w:t xml:space="preserve">worksheet, the calculations in the </w:t>
      </w:r>
      <w:r>
        <w:rPr>
          <w:rFonts w:ascii="Times New Roman" w:hAnsi="Times New Roman"/>
          <w:b/>
        </w:rPr>
        <w:t>NPV</w:t>
      </w:r>
      <w:r>
        <w:rPr>
          <w:rFonts w:ascii="Times New Roman" w:hAnsi="Times New Roman"/>
        </w:rPr>
        <w:t xml:space="preserve"> worksheets, including the parameter values, will be updated automatically when an adjustment is made in the Project worksheet. To perform the sensitivity analysis, after applying each adjustment to the relevant variation, the </w:t>
      </w:r>
      <w:r>
        <w:rPr>
          <w:rFonts w:ascii="Times New Roman" w:hAnsi="Times New Roman"/>
          <w:u w:val="single"/>
        </w:rPr>
        <w:t>value of the parameter must be entered</w:t>
      </w:r>
      <w:r>
        <w:rPr>
          <w:rFonts w:ascii="Times New Roman" w:hAnsi="Times New Roman"/>
        </w:rPr>
        <w:t xml:space="preserve"> from all </w:t>
      </w:r>
      <w:r>
        <w:rPr>
          <w:rFonts w:ascii="Times New Roman" w:hAnsi="Times New Roman"/>
          <w:b/>
        </w:rPr>
        <w:t>NPV</w:t>
      </w:r>
      <w:r>
        <w:rPr>
          <w:rFonts w:ascii="Times New Roman" w:hAnsi="Times New Roman"/>
        </w:rPr>
        <w:t xml:space="preserve"> worksheets in the green cells of each model. These cells </w:t>
      </w:r>
      <w:r>
        <w:rPr>
          <w:rFonts w:ascii="Times New Roman" w:hAnsi="Times New Roman"/>
          <w:u w:val="single"/>
        </w:rPr>
        <w:t xml:space="preserve">must not contain a link to the </w:t>
      </w:r>
      <w:r>
        <w:rPr>
          <w:rFonts w:ascii="Times New Roman" w:hAnsi="Times New Roman"/>
          <w:b/>
          <w:u w:val="single"/>
        </w:rPr>
        <w:t>NPV</w:t>
      </w:r>
      <w:r>
        <w:rPr>
          <w:rFonts w:ascii="Times New Roman" w:hAnsi="Times New Roman"/>
          <w:u w:val="single"/>
        </w:rPr>
        <w:t xml:space="preserve"> worksheet cell</w:t>
      </w:r>
      <w:r>
        <w:rPr>
          <w:rFonts w:ascii="Times New Roman" w:hAnsi="Times New Roman"/>
        </w:rPr>
        <w:t xml:space="preserve">, as the next adjustment will change its value and the analysis will not be correct. </w:t>
      </w:r>
    </w:p>
    <w:p w14:paraId="7CE29D4D" w14:textId="26A95EB7" w:rsidR="00AB21D9" w:rsidRDefault="00F814BA" w:rsidP="00003FFC">
      <w:pPr>
        <w:pStyle w:val="ListParagraph"/>
        <w:numPr>
          <w:ilvl w:val="0"/>
          <w:numId w:val="6"/>
        </w:numPr>
        <w:jc w:val="both"/>
        <w:rPr>
          <w:rFonts w:ascii="Times New Roman" w:hAnsi="Times New Roman" w:cs="Times New Roman"/>
        </w:rPr>
      </w:pPr>
      <w:r>
        <w:rPr>
          <w:rFonts w:ascii="Times New Roman" w:hAnsi="Times New Roman"/>
        </w:rPr>
        <w:t>After all four scenarios have been analysed and the rates removed, the initial value of the parameter will be returned to its unadjusted value and the impact of the variations in percentage terms on the selected parameter will be calculated in the tables for the analysis of the assumptions of each model.</w:t>
      </w:r>
    </w:p>
    <w:p w14:paraId="1EEB76E2" w14:textId="3E3B49E9" w:rsidR="00100AB3" w:rsidRPr="00100AB3" w:rsidRDefault="00100AB3" w:rsidP="00100AB3">
      <w:pPr>
        <w:jc w:val="both"/>
        <w:rPr>
          <w:rFonts w:ascii="Times New Roman" w:hAnsi="Times New Roman" w:cs="Times New Roman"/>
        </w:rPr>
      </w:pPr>
      <w:r>
        <w:rPr>
          <w:rFonts w:ascii="Times New Roman" w:hAnsi="Times New Roman"/>
        </w:rPr>
        <w:t xml:space="preserve">The example shows the original calculation from the </w:t>
      </w:r>
      <w:r>
        <w:rPr>
          <w:rFonts w:ascii="Times New Roman" w:hAnsi="Times New Roman"/>
          <w:b/>
        </w:rPr>
        <w:t>Project</w:t>
      </w:r>
      <w:r>
        <w:rPr>
          <w:rFonts w:ascii="Times New Roman" w:hAnsi="Times New Roman"/>
        </w:rPr>
        <w:t xml:space="preserve"> worksheet. It generates project revenue by multiplying the consumer (80% of the total population) by the fee. </w:t>
      </w:r>
    </w:p>
    <w:p w14:paraId="30134E03" w14:textId="78F2B1CA" w:rsidR="00003FFC" w:rsidRDefault="009A6B61" w:rsidP="00EA2FF6">
      <w:pPr>
        <w:jc w:val="both"/>
        <w:rPr>
          <w:rFonts w:ascii="Times New Roman" w:hAnsi="Times New Roman" w:cs="Times New Roman"/>
        </w:rPr>
      </w:pPr>
      <w:r w:rsidRPr="009A6B61">
        <w:rPr>
          <w:rFonts w:ascii="Times New Roman" w:hAnsi="Times New Roman" w:cs="Times New Roman"/>
          <w:noProof/>
        </w:rPr>
        <w:drawing>
          <wp:inline distT="0" distB="0" distL="0" distR="0" wp14:anchorId="119B87CC" wp14:editId="07C66590">
            <wp:extent cx="6210300" cy="2426970"/>
            <wp:effectExtent l="0" t="0" r="0" b="0"/>
            <wp:docPr id="1079415636" name="Attēls 1" descr="Attēls, kurā ir teksts, ekrānuzņēmums, cipar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15636" name="Attēls 1" descr="Attēls, kurā ir teksts, ekrānuzņēmums, cipars, fonts&#10;&#10;Mākslīgā intelekta ģenerēts saturs var būt nepareizs."/>
                    <pic:cNvPicPr/>
                  </pic:nvPicPr>
                  <pic:blipFill>
                    <a:blip r:embed="rId29"/>
                    <a:stretch>
                      <a:fillRect/>
                    </a:stretch>
                  </pic:blipFill>
                  <pic:spPr>
                    <a:xfrm>
                      <a:off x="0" y="0"/>
                      <a:ext cx="6210300" cy="2426970"/>
                    </a:xfrm>
                    <a:prstGeom prst="rect">
                      <a:avLst/>
                    </a:prstGeom>
                  </pic:spPr>
                </pic:pic>
              </a:graphicData>
            </a:graphic>
          </wp:inline>
        </w:drawing>
      </w:r>
    </w:p>
    <w:p w14:paraId="2F5B8156" w14:textId="5DE9A1F5" w:rsidR="00A73B83" w:rsidRDefault="00A73B83" w:rsidP="00A73B83">
      <w:pPr>
        <w:jc w:val="both"/>
        <w:rPr>
          <w:rFonts w:ascii="Times New Roman" w:hAnsi="Times New Roman" w:cs="Times New Roman"/>
        </w:rPr>
      </w:pPr>
      <w:r>
        <w:rPr>
          <w:rFonts w:ascii="Times New Roman" w:hAnsi="Times New Roman"/>
        </w:rPr>
        <w:t xml:space="preserve">Population growth is calculated by multiplying the previous year's population by the average annual growth calculated in the </w:t>
      </w:r>
      <w:r>
        <w:rPr>
          <w:rFonts w:ascii="Times New Roman" w:hAnsi="Times New Roman"/>
          <w:b/>
        </w:rPr>
        <w:t>Assumptions</w:t>
      </w:r>
      <w:r>
        <w:rPr>
          <w:rFonts w:ascii="Times New Roman" w:hAnsi="Times New Roman"/>
        </w:rPr>
        <w:t xml:space="preserve"> worksheet. To perform a sensitivity analysis on the number of consumers parameter, it is possible to apply a correction rate to both the number of consumers and the number of population in a row cell.</w:t>
      </w:r>
    </w:p>
    <w:p w14:paraId="6939B2C6" w14:textId="0D1AE723" w:rsidR="00A55D02" w:rsidRDefault="00A55D02" w:rsidP="00F32746">
      <w:pPr>
        <w:jc w:val="center"/>
        <w:rPr>
          <w:rFonts w:ascii="Times New Roman" w:hAnsi="Times New Roman" w:cs="Times New Roman"/>
        </w:rPr>
      </w:pPr>
    </w:p>
    <w:p w14:paraId="59830F18" w14:textId="7CC48F23" w:rsidR="004917AF" w:rsidRDefault="004917AF" w:rsidP="00A73B83">
      <w:pPr>
        <w:jc w:val="both"/>
        <w:rPr>
          <w:rFonts w:ascii="Times New Roman" w:hAnsi="Times New Roman" w:cs="Times New Roman"/>
        </w:rPr>
      </w:pPr>
      <w:r>
        <w:rPr>
          <w:rFonts w:ascii="Times New Roman" w:hAnsi="Times New Roman"/>
        </w:rPr>
        <w:t xml:space="preserve">Once the calculations for all four adjustment scenarios have been made and the calculated NPV values entered, the NPV variations for each scenario are calculated in the sensitivity analysis table. They must be analysed in the context of the defined intervals.   </w:t>
      </w:r>
    </w:p>
    <w:p w14:paraId="2E19D05E" w14:textId="1C2AB3F2" w:rsidR="00A73B83" w:rsidRDefault="001C216F" w:rsidP="00EA2FF6">
      <w:pPr>
        <w:jc w:val="both"/>
        <w:rPr>
          <w:rFonts w:ascii="Times New Roman" w:hAnsi="Times New Roman" w:cs="Times New Roman"/>
        </w:rPr>
      </w:pPr>
      <w:r w:rsidRPr="00374574">
        <w:rPr>
          <w:rFonts w:ascii="Times New Roman" w:hAnsi="Times New Roman"/>
          <w:noProof/>
        </w:rPr>
        <w:drawing>
          <wp:anchor distT="0" distB="0" distL="114300" distR="114300" simplePos="0" relativeHeight="251658248" behindDoc="0" locked="0" layoutInCell="1" allowOverlap="1" wp14:anchorId="5605DB8D" wp14:editId="760D0A31">
            <wp:simplePos x="0" y="0"/>
            <wp:positionH relativeFrom="column">
              <wp:posOffset>-40234</wp:posOffset>
            </wp:positionH>
            <wp:positionV relativeFrom="page">
              <wp:posOffset>1251966</wp:posOffset>
            </wp:positionV>
            <wp:extent cx="2004060" cy="1831340"/>
            <wp:effectExtent l="0" t="0" r="0" b="0"/>
            <wp:wrapSquare wrapText="bothSides"/>
            <wp:docPr id="1317575343" name="Attēls 1" descr="Attēls, kurā ir teksts, ekrānuzņēmums, cipar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75343" name="Attēls 1" descr="Attēls, kurā ir teksts, ekrānuzņēmums, cipars, fonts&#10;&#10;Mākslīgā intelekta ģenerēts saturs var būt nepareizs."/>
                    <pic:cNvPicPr/>
                  </pic:nvPicPr>
                  <pic:blipFill>
                    <a:blip r:embed="rId30">
                      <a:extLst>
                        <a:ext uri="{28A0092B-C50C-407E-A947-70E740481C1C}">
                          <a14:useLocalDpi xmlns:a14="http://schemas.microsoft.com/office/drawing/2010/main" val="0"/>
                        </a:ext>
                      </a:extLst>
                    </a:blip>
                    <a:stretch>
                      <a:fillRect/>
                    </a:stretch>
                  </pic:blipFill>
                  <pic:spPr>
                    <a:xfrm>
                      <a:off x="0" y="0"/>
                      <a:ext cx="2004060" cy="1831340"/>
                    </a:xfrm>
                    <a:prstGeom prst="rect">
                      <a:avLst/>
                    </a:prstGeom>
                  </pic:spPr>
                </pic:pic>
              </a:graphicData>
            </a:graphic>
          </wp:anchor>
        </w:drawing>
      </w:r>
      <w:r w:rsidRPr="00B61661">
        <w:rPr>
          <w:rFonts w:ascii="Times New Roman" w:hAnsi="Times New Roman"/>
          <w:noProof/>
        </w:rPr>
        <w:drawing>
          <wp:anchor distT="0" distB="0" distL="114300" distR="114300" simplePos="0" relativeHeight="251658247" behindDoc="0" locked="0" layoutInCell="1" allowOverlap="1" wp14:anchorId="13B2D448" wp14:editId="61FF811E">
            <wp:simplePos x="0" y="0"/>
            <wp:positionH relativeFrom="column">
              <wp:posOffset>4064127</wp:posOffset>
            </wp:positionH>
            <wp:positionV relativeFrom="page">
              <wp:posOffset>1250619</wp:posOffset>
            </wp:positionV>
            <wp:extent cx="2167255" cy="1835785"/>
            <wp:effectExtent l="0" t="0" r="4445" b="0"/>
            <wp:wrapSquare wrapText="bothSides"/>
            <wp:docPr id="1248745548" name="Attēls 1"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45548" name="Attēls 1" descr="Attēls, kurā ir teksts, ekrānuzņēmums, fonts, cipars&#10;&#10;Mākslīgā intelekta ģenerēts saturs var būt nepareizs."/>
                    <pic:cNvPicPr/>
                  </pic:nvPicPr>
                  <pic:blipFill>
                    <a:blip r:embed="rId31">
                      <a:extLst>
                        <a:ext uri="{28A0092B-C50C-407E-A947-70E740481C1C}">
                          <a14:useLocalDpi xmlns:a14="http://schemas.microsoft.com/office/drawing/2010/main" val="0"/>
                        </a:ext>
                      </a:extLst>
                    </a:blip>
                    <a:stretch>
                      <a:fillRect/>
                    </a:stretch>
                  </pic:blipFill>
                  <pic:spPr>
                    <a:xfrm>
                      <a:off x="0" y="0"/>
                      <a:ext cx="2167255" cy="1835785"/>
                    </a:xfrm>
                    <a:prstGeom prst="rect">
                      <a:avLst/>
                    </a:prstGeom>
                  </pic:spPr>
                </pic:pic>
              </a:graphicData>
            </a:graphic>
            <wp14:sizeRelH relativeFrom="margin">
              <wp14:pctWidth>0</wp14:pctWidth>
            </wp14:sizeRelH>
            <wp14:sizeRelV relativeFrom="margin">
              <wp14:pctHeight>0</wp14:pctHeight>
            </wp14:sizeRelV>
          </wp:anchor>
        </w:drawing>
      </w:r>
      <w:r w:rsidR="002372E4">
        <w:rPr>
          <w:rFonts w:ascii="Times New Roman" w:hAnsi="Times New Roman"/>
        </w:rPr>
        <w:t xml:space="preserve">In this example (on the left in the figure) it can be seen that although the initial assumption - population - has been changed at relatively small intervals, the NPV has decreased/increased several fold. This means that this parameter is "sensitive", as changes in it lead to disproportionately large changes in the result of the calculations. In this example, however, it should be noted that the variation intervals are larger than the assumption used in the project that the population grows by an average of 0.31% per year. If only the average population cell in the </w:t>
      </w:r>
      <w:r w:rsidR="002372E4">
        <w:rPr>
          <w:rFonts w:ascii="Times New Roman" w:hAnsi="Times New Roman"/>
          <w:b/>
        </w:rPr>
        <w:t>Assumptions</w:t>
      </w:r>
      <w:r w:rsidR="002372E4">
        <w:rPr>
          <w:rFonts w:ascii="Times New Roman" w:hAnsi="Times New Roman"/>
        </w:rPr>
        <w:t xml:space="preserve"> worksheet is adjusted instead of the population row in the </w:t>
      </w:r>
      <w:r w:rsidR="002372E4">
        <w:rPr>
          <w:rFonts w:ascii="Times New Roman" w:hAnsi="Times New Roman"/>
          <w:b/>
        </w:rPr>
        <w:t>Project</w:t>
      </w:r>
      <w:r w:rsidR="002372E4">
        <w:rPr>
          <w:rFonts w:ascii="Times New Roman" w:hAnsi="Times New Roman"/>
        </w:rPr>
        <w:t xml:space="preserve"> worksheet (on the right in the figure), the results are reasonable. It is therefore important to consider which parameter and which worksheet(</w:t>
      </w:r>
      <w:r w:rsidR="002372E4">
        <w:rPr>
          <w:rFonts w:ascii="Times New Roman" w:hAnsi="Times New Roman"/>
          <w:b/>
        </w:rPr>
        <w:t>Assumptions</w:t>
      </w:r>
      <w:r w:rsidR="002372E4">
        <w:rPr>
          <w:rFonts w:ascii="Times New Roman" w:hAnsi="Times New Roman"/>
        </w:rPr>
        <w:t xml:space="preserve"> or </w:t>
      </w:r>
      <w:r w:rsidR="002372E4">
        <w:rPr>
          <w:rFonts w:ascii="Times New Roman" w:hAnsi="Times New Roman"/>
          <w:b/>
        </w:rPr>
        <w:t>Projects</w:t>
      </w:r>
      <w:r w:rsidR="002372E4">
        <w:rPr>
          <w:rFonts w:ascii="Times New Roman" w:hAnsi="Times New Roman"/>
        </w:rPr>
        <w:t>) the variation adjustments are made to, so that the resulting sensitivity analysis calculations are meaningful and proportionate.</w:t>
      </w:r>
    </w:p>
    <w:p w14:paraId="05A9C3D6" w14:textId="78BAA8AA" w:rsidR="00347260" w:rsidRDefault="00347260" w:rsidP="00EA2FF6">
      <w:pPr>
        <w:jc w:val="both"/>
        <w:rPr>
          <w:rFonts w:ascii="Times New Roman" w:hAnsi="Times New Roman" w:cs="Times New Roman"/>
        </w:rPr>
      </w:pPr>
      <w:r>
        <w:rPr>
          <w:rFonts w:ascii="Times New Roman" w:hAnsi="Times New Roman"/>
        </w:rPr>
        <w:t>To carry out a sensitivity analysis for several assumptions, it is necessary to copy the calculation tables, specify the parameter and the assumption to be analysed and carry out the calculations. It is also possible to analyse the same assumption against a number of parameters, for example to assess how changes in an assumption affect the NPV and the expected value of the contract price.</w:t>
      </w:r>
    </w:p>
    <w:p w14:paraId="21750B66" w14:textId="77777777" w:rsidR="001B0B9D" w:rsidRDefault="001B0B9D" w:rsidP="00EA2FF6">
      <w:pPr>
        <w:jc w:val="both"/>
        <w:rPr>
          <w:rFonts w:ascii="Times New Roman" w:hAnsi="Times New Roman" w:cs="Times New Roman"/>
          <w:lang w:val="lv-LV"/>
        </w:rPr>
      </w:pPr>
    </w:p>
    <w:p w14:paraId="1E646A52" w14:textId="6241D6F2" w:rsidR="00463514" w:rsidRPr="00BB3EAE" w:rsidRDefault="0095283A" w:rsidP="00085430">
      <w:pPr>
        <w:shd w:val="clear" w:color="auto" w:fill="C2D69B" w:themeFill="accent3" w:themeFillTint="99"/>
        <w:rPr>
          <w:rFonts w:ascii="Times New Roman" w:hAnsi="Times New Roman" w:cs="Times New Roman"/>
          <w:b/>
          <w:bCs/>
          <w:sz w:val="24"/>
          <w:szCs w:val="24"/>
        </w:rPr>
      </w:pPr>
      <w:r>
        <w:rPr>
          <w:rFonts w:ascii="Times New Roman" w:hAnsi="Times New Roman"/>
          <w:b/>
          <w:sz w:val="24"/>
        </w:rPr>
        <w:t>7) VFM</w:t>
      </w:r>
    </w:p>
    <w:p w14:paraId="46708BCA" w14:textId="12D1733D" w:rsidR="00F32746" w:rsidRDefault="00463514" w:rsidP="00C31650">
      <w:pPr>
        <w:jc w:val="both"/>
        <w:rPr>
          <w:rFonts w:ascii="Times New Roman" w:hAnsi="Times New Roman" w:cs="Times New Roman"/>
        </w:rPr>
      </w:pPr>
      <w:r>
        <w:rPr>
          <w:rFonts w:ascii="Times New Roman" w:hAnsi="Times New Roman"/>
        </w:rPr>
        <w:t xml:space="preserve">The </w:t>
      </w:r>
      <w:r>
        <w:rPr>
          <w:rFonts w:ascii="Times New Roman" w:hAnsi="Times New Roman"/>
          <w:b/>
        </w:rPr>
        <w:t>VFM</w:t>
      </w:r>
      <w:r>
        <w:rPr>
          <w:rFonts w:ascii="Times New Roman" w:hAnsi="Times New Roman"/>
        </w:rPr>
        <w:t xml:space="preserve"> worksheet calculates the value for investment compared to the baseline models, as well as the estimated contract price for all alternatives. There is no need to enter anything in the calculation table, as the relevant cells will be filled in once all the data has been entered in the </w:t>
      </w:r>
      <w:r>
        <w:rPr>
          <w:rFonts w:ascii="Times New Roman" w:hAnsi="Times New Roman"/>
          <w:b/>
        </w:rPr>
        <w:t>NPV</w:t>
      </w:r>
      <w:r>
        <w:rPr>
          <w:rFonts w:ascii="Times New Roman" w:hAnsi="Times New Roman"/>
        </w:rPr>
        <w:t xml:space="preserve"> worksheets of the alternatives analysed. Graphs have also been produced to illustrate more clearly both the values for investment and the estimated contract price under the different alternatives.</w:t>
      </w:r>
    </w:p>
    <w:p w14:paraId="79E5A76B" w14:textId="3B725B3F" w:rsidR="00F32746" w:rsidRDefault="002E37B2" w:rsidP="00C31650">
      <w:pPr>
        <w:jc w:val="both"/>
        <w:rPr>
          <w:rFonts w:ascii="Times New Roman" w:hAnsi="Times New Roman" w:cs="Times New Roman"/>
        </w:rPr>
      </w:pPr>
      <w:r w:rsidRPr="002E37B2">
        <w:rPr>
          <w:rFonts w:ascii="Times New Roman" w:hAnsi="Times New Roman" w:cs="Times New Roman"/>
          <w:noProof/>
        </w:rPr>
        <w:drawing>
          <wp:inline distT="0" distB="0" distL="0" distR="0" wp14:anchorId="2D235BD3" wp14:editId="1C87681C">
            <wp:extent cx="6210300" cy="1525905"/>
            <wp:effectExtent l="0" t="0" r="0" b="0"/>
            <wp:docPr id="205046795" name="Attēls 1" descr="Attēls, kurā ir teksts, kvīts, ekrānuzņēmum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95" name="Attēls 1" descr="Attēls, kurā ir teksts, kvīts, ekrānuzņēmums, rinda&#10;&#10;Mākslīgā intelekta ģenerēts saturs var būt nepareizs."/>
                    <pic:cNvPicPr/>
                  </pic:nvPicPr>
                  <pic:blipFill>
                    <a:blip r:embed="rId32"/>
                    <a:stretch>
                      <a:fillRect/>
                    </a:stretch>
                  </pic:blipFill>
                  <pic:spPr>
                    <a:xfrm>
                      <a:off x="0" y="0"/>
                      <a:ext cx="6210300" cy="1525905"/>
                    </a:xfrm>
                    <a:prstGeom prst="rect">
                      <a:avLst/>
                    </a:prstGeom>
                  </pic:spPr>
                </pic:pic>
              </a:graphicData>
            </a:graphic>
          </wp:inline>
        </w:drawing>
      </w:r>
    </w:p>
    <w:p w14:paraId="4D81CBCB" w14:textId="77777777" w:rsidR="00E87F31" w:rsidRDefault="00E87F31" w:rsidP="00DC6DB0">
      <w:pPr>
        <w:rPr>
          <w:rFonts w:ascii="Times New Roman" w:hAnsi="Times New Roman" w:cs="Times New Roman"/>
          <w:lang w:val="lv-LV"/>
        </w:rPr>
      </w:pPr>
    </w:p>
    <w:p w14:paraId="4E15B16B" w14:textId="77777777" w:rsidR="008F01D0" w:rsidRPr="00865A8F" w:rsidRDefault="008F01D0" w:rsidP="00DC6DB0">
      <w:pPr>
        <w:rPr>
          <w:rFonts w:ascii="Times New Roman" w:hAnsi="Times New Roman" w:cs="Times New Roman"/>
          <w:lang w:val="lv-LV"/>
        </w:rPr>
      </w:pPr>
    </w:p>
    <w:p w14:paraId="2EF51258" w14:textId="53B4D5E4" w:rsidR="00865A8F" w:rsidRPr="001B0B9D" w:rsidRDefault="001B0B9D" w:rsidP="00085430">
      <w:pPr>
        <w:shd w:val="clear" w:color="auto" w:fill="C2D69B" w:themeFill="accent3" w:themeFillTint="99"/>
        <w:rPr>
          <w:rFonts w:ascii="Times New Roman" w:hAnsi="Times New Roman" w:cs="Times New Roman"/>
          <w:b/>
          <w:bCs/>
          <w:sz w:val="24"/>
          <w:szCs w:val="24"/>
        </w:rPr>
      </w:pPr>
      <w:r>
        <w:rPr>
          <w:rFonts w:ascii="Times New Roman" w:hAnsi="Times New Roman"/>
          <w:b/>
          <w:sz w:val="24"/>
        </w:rPr>
        <w:t>8) Statistical Treatment</w:t>
      </w:r>
    </w:p>
    <w:p w14:paraId="1E16D1EA" w14:textId="70539D16" w:rsidR="008951A5" w:rsidRDefault="00AB3DB8" w:rsidP="001A4746">
      <w:pPr>
        <w:jc w:val="both"/>
        <w:rPr>
          <w:rFonts w:ascii="Times New Roman" w:hAnsi="Times New Roman" w:cs="Times New Roman"/>
        </w:rPr>
      </w:pPr>
      <w:r>
        <w:rPr>
          <w:rFonts w:ascii="Times New Roman" w:hAnsi="Times New Roman"/>
        </w:rPr>
        <w:t xml:space="preserve">To assess whether a project can be included on or off the balance sheet, the PPP </w:t>
      </w:r>
      <w:hyperlink r:id="rId33" w:history="1">
        <w:r>
          <w:rPr>
            <w:rStyle w:val="Hyperlink"/>
            <w:rFonts w:ascii="Times New Roman" w:hAnsi="Times New Roman"/>
          </w:rPr>
          <w:t>risk allocation tool</w:t>
        </w:r>
      </w:hyperlink>
      <w:r>
        <w:t xml:space="preserve"> </w:t>
      </w:r>
      <w:r w:rsidR="002B136D">
        <w:t>(</w:t>
      </w:r>
      <w:r w:rsidR="007E40E1" w:rsidRPr="00554B62">
        <w:rPr>
          <w:rFonts w:ascii="Times New Roman" w:hAnsi="Times New Roman"/>
        </w:rPr>
        <w:t>please use your browser’s built-in page translation</w:t>
      </w:r>
      <w:r w:rsidR="002B136D">
        <w:t>)</w:t>
      </w:r>
      <w:r w:rsidR="00B152CB">
        <w:t xml:space="preserve"> </w:t>
      </w:r>
      <w:r>
        <w:rPr>
          <w:rFonts w:ascii="Times New Roman" w:hAnsi="Times New Roman"/>
        </w:rPr>
        <w:t xml:space="preserve">available on the CFCA's website </w:t>
      </w:r>
      <w:hyperlink r:id="rId34" w:history="1">
        <w:r>
          <w:rPr>
            <w:rStyle w:val="Hyperlink"/>
            <w:rFonts w:ascii="Times New Roman" w:hAnsi="Times New Roman"/>
          </w:rPr>
          <w:t>https://ppp.cfla.gov.lv/</w:t>
        </w:r>
      </w:hyperlink>
      <w:r>
        <w:rPr>
          <w:rFonts w:ascii="Times New Roman" w:hAnsi="Times New Roman"/>
        </w:rPr>
        <w:t xml:space="preserve"> must be used, creating a separate Excel file and attaching the calculations to the statistical treatment worksheet. </w:t>
      </w:r>
    </w:p>
    <w:p w14:paraId="22D56909" w14:textId="77777777" w:rsidR="008F01D0" w:rsidRDefault="008F01D0" w:rsidP="001A4746">
      <w:pPr>
        <w:jc w:val="both"/>
        <w:rPr>
          <w:rFonts w:ascii="Times New Roman" w:hAnsi="Times New Roman" w:cs="Times New Roman"/>
          <w:lang w:val="lv-LV"/>
        </w:rPr>
      </w:pPr>
    </w:p>
    <w:p w14:paraId="47CADDCD" w14:textId="0E46638C" w:rsidR="00865A8F" w:rsidRDefault="00F851A6" w:rsidP="00F851A6">
      <w:pPr>
        <w:shd w:val="clear" w:color="auto" w:fill="C2D69B" w:themeFill="accent3" w:themeFillTint="99"/>
        <w:rPr>
          <w:rFonts w:ascii="Times New Roman" w:hAnsi="Times New Roman" w:cs="Times New Roman"/>
          <w:b/>
          <w:bCs/>
          <w:sz w:val="24"/>
          <w:szCs w:val="24"/>
        </w:rPr>
      </w:pPr>
      <w:r>
        <w:rPr>
          <w:rFonts w:ascii="Times New Roman" w:hAnsi="Times New Roman"/>
          <w:b/>
          <w:sz w:val="24"/>
        </w:rPr>
        <w:t>9) Development of the FEC Descriptive Document (Word)</w:t>
      </w:r>
    </w:p>
    <w:p w14:paraId="62130FE0" w14:textId="18B553EA" w:rsidR="00F851A6" w:rsidRPr="00C1571C" w:rsidRDefault="00C1571C" w:rsidP="00F851A6">
      <w:pPr>
        <w:jc w:val="both"/>
        <w:rPr>
          <w:rFonts w:ascii="Times New Roman" w:hAnsi="Times New Roman" w:cs="Times New Roman"/>
        </w:rPr>
      </w:pPr>
      <w:r>
        <w:rPr>
          <w:rFonts w:ascii="Times New Roman" w:hAnsi="Times New Roman"/>
        </w:rPr>
        <w:t xml:space="preserve">The FEC must be prepared using the "Financial and Economic Calculations Form for Public-Private Partnerships" (word file), which is based on the "Guidelines for the Development of Financial and Economic Calculations for Public-Private Partnerships" developed by the CFCA. The financial and economic calculation form (word file) and the "Guidelines for the Development of Financial and Economic Calculations for Public-Private Partnerships" are available on the CFCA's website </w:t>
      </w:r>
      <w:hyperlink r:id="rId35" w:history="1">
        <w:r>
          <w:rPr>
            <w:rStyle w:val="Hyperlink"/>
            <w:rFonts w:ascii="Times New Roman" w:hAnsi="Times New Roman"/>
          </w:rPr>
          <w:t>https://www.cfla.gov.lv/lv/finansu-un-ekonomiskie-aprekini</w:t>
        </w:r>
      </w:hyperlink>
      <w:r w:rsidR="00554B62">
        <w:t xml:space="preserve"> </w:t>
      </w:r>
      <w:r w:rsidR="00554B62" w:rsidRPr="00554B62">
        <w:rPr>
          <w:rFonts w:ascii="Times New Roman" w:hAnsi="Times New Roman"/>
        </w:rPr>
        <w:t>(please use your browser’s built-in page translation)</w:t>
      </w:r>
      <w:r>
        <w:rPr>
          <w:rFonts w:ascii="Times New Roman" w:hAnsi="Times New Roman"/>
        </w:rPr>
        <w:t>.</w:t>
      </w:r>
    </w:p>
    <w:sectPr w:rsidR="00F851A6" w:rsidRPr="00C1571C" w:rsidSect="00B826F7">
      <w:footerReference w:type="default" r:id="rId36"/>
      <w:pgSz w:w="11905" w:h="16837"/>
      <w:pgMar w:top="993" w:right="1132" w:bottom="113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807B" w14:textId="77777777" w:rsidR="00E7137E" w:rsidRDefault="00E7137E">
      <w:pPr>
        <w:spacing w:after="0" w:line="240" w:lineRule="auto"/>
      </w:pPr>
      <w:r>
        <w:separator/>
      </w:r>
    </w:p>
  </w:endnote>
  <w:endnote w:type="continuationSeparator" w:id="0">
    <w:p w14:paraId="77730AEF" w14:textId="77777777" w:rsidR="00E7137E" w:rsidRDefault="00E7137E">
      <w:pPr>
        <w:spacing w:after="0" w:line="240" w:lineRule="auto"/>
      </w:pPr>
      <w:r>
        <w:continuationSeparator/>
      </w:r>
    </w:p>
  </w:endnote>
  <w:endnote w:type="continuationNotice" w:id="1">
    <w:p w14:paraId="676DD1E8" w14:textId="77777777" w:rsidR="00E7137E" w:rsidRDefault="00E71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Borders>
        <w:top w:val="single" w:sz="2" w:space="0" w:color="auto"/>
      </w:tblBorders>
      <w:tblCellMar>
        <w:left w:w="10" w:type="dxa"/>
        <w:right w:w="10" w:type="dxa"/>
      </w:tblCellMar>
      <w:tblLook w:val="04A0" w:firstRow="1" w:lastRow="0" w:firstColumn="1" w:lastColumn="0" w:noHBand="0" w:noVBand="1"/>
    </w:tblPr>
    <w:tblGrid>
      <w:gridCol w:w="1200"/>
      <w:gridCol w:w="7300"/>
      <w:gridCol w:w="1200"/>
    </w:tblGrid>
    <w:tr w:rsidR="00250895" w:rsidRPr="00E56E30" w14:paraId="1EF66921" w14:textId="77777777">
      <w:trPr>
        <w:trHeight w:val="100"/>
      </w:trPr>
      <w:tc>
        <w:tcPr>
          <w:tcW w:w="1200" w:type="dxa"/>
          <w:vAlign w:val="center"/>
        </w:tcPr>
        <w:p w14:paraId="6C371FF7" w14:textId="4C9A00FA" w:rsidR="00250895" w:rsidRPr="00E56E30" w:rsidRDefault="005E2E10">
          <w:r>
            <w:rPr>
              <w:rFonts w:ascii="Times New Roman" w:hAnsi="Times New Roman"/>
            </w:rPr>
            <w:t>Version 4</w:t>
          </w:r>
        </w:p>
      </w:tc>
      <w:tc>
        <w:tcPr>
          <w:tcW w:w="7300" w:type="dxa"/>
          <w:vAlign w:val="center"/>
        </w:tcPr>
        <w:p w14:paraId="19D245A9" w14:textId="4CADF16A" w:rsidR="00250895" w:rsidRPr="00E56E30" w:rsidRDefault="00763F8C">
          <w:pPr>
            <w:jc w:val="center"/>
          </w:pPr>
          <w:r>
            <w:rPr>
              <w:rFonts w:ascii="Times New Roman" w:hAnsi="Times New Roman"/>
            </w:rPr>
            <w:t xml:space="preserve">Page </w:t>
          </w:r>
          <w:r w:rsidRPr="00E56E30">
            <w:fldChar w:fldCharType="begin"/>
          </w:r>
          <w:r w:rsidRPr="00E56E30">
            <w:rPr>
              <w:rFonts w:ascii="Times New Roman" w:eastAsia="Times New Roman" w:hAnsi="Times New Roman" w:cs="Times New Roman"/>
            </w:rPr>
            <w:instrText>PAGE</w:instrText>
          </w:r>
          <w:r w:rsidRPr="00E56E30">
            <w:fldChar w:fldCharType="separate"/>
          </w:r>
          <w:r w:rsidR="0097217B">
            <w:rPr>
              <w:rFonts w:ascii="Times New Roman" w:eastAsia="Times New Roman" w:hAnsi="Times New Roman" w:cs="Times New Roman"/>
            </w:rPr>
            <w:t>8</w:t>
          </w:r>
          <w:r w:rsidRPr="00E56E30">
            <w:fldChar w:fldCharType="end"/>
          </w:r>
          <w:r>
            <w:rPr>
              <w:rFonts w:ascii="Times New Roman" w:hAnsi="Times New Roman"/>
            </w:rPr>
            <w:t xml:space="preserve"> of </w:t>
          </w:r>
          <w:r w:rsidRPr="00E56E30">
            <w:fldChar w:fldCharType="begin"/>
          </w:r>
          <w:r w:rsidRPr="00E56E30">
            <w:rPr>
              <w:rFonts w:ascii="Times New Roman" w:eastAsia="Times New Roman" w:hAnsi="Times New Roman" w:cs="Times New Roman"/>
            </w:rPr>
            <w:instrText>NUMPAGES</w:instrText>
          </w:r>
          <w:r w:rsidRPr="00E56E30">
            <w:fldChar w:fldCharType="separate"/>
          </w:r>
          <w:r w:rsidR="0097217B">
            <w:rPr>
              <w:rFonts w:ascii="Times New Roman" w:eastAsia="Times New Roman" w:hAnsi="Times New Roman" w:cs="Times New Roman"/>
            </w:rPr>
            <w:t>8</w:t>
          </w:r>
          <w:r w:rsidRPr="00E56E30">
            <w:fldChar w:fldCharType="end"/>
          </w:r>
        </w:p>
      </w:tc>
      <w:tc>
        <w:tcPr>
          <w:tcW w:w="1200" w:type="dxa"/>
          <w:vAlign w:val="center"/>
        </w:tcPr>
        <w:p w14:paraId="32C732D8" w14:textId="7BAD9458" w:rsidR="00250895" w:rsidRPr="00E56E30" w:rsidRDefault="005E2E10">
          <w:r>
            <w:rPr>
              <w:rFonts w:ascii="Times New Roman" w:hAnsi="Times New Roman"/>
            </w:rPr>
            <w:t>25.09.2024</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2275" w14:textId="77777777" w:rsidR="00E7137E" w:rsidRDefault="00E7137E">
      <w:pPr>
        <w:spacing w:after="0" w:line="240" w:lineRule="auto"/>
      </w:pPr>
      <w:r>
        <w:separator/>
      </w:r>
    </w:p>
  </w:footnote>
  <w:footnote w:type="continuationSeparator" w:id="0">
    <w:p w14:paraId="56D0CA3A" w14:textId="77777777" w:rsidR="00E7137E" w:rsidRDefault="00E7137E">
      <w:pPr>
        <w:spacing w:after="0" w:line="240" w:lineRule="auto"/>
      </w:pPr>
      <w:r>
        <w:continuationSeparator/>
      </w:r>
    </w:p>
  </w:footnote>
  <w:footnote w:type="continuationNotice" w:id="1">
    <w:p w14:paraId="2878A4DD" w14:textId="77777777" w:rsidR="00E7137E" w:rsidRDefault="00E7137E">
      <w:pPr>
        <w:spacing w:after="0" w:line="240" w:lineRule="auto"/>
      </w:pPr>
    </w:p>
  </w:footnote>
  <w:footnote w:id="2">
    <w:p w14:paraId="23FBE29B" w14:textId="0E890070" w:rsidR="003D3E28" w:rsidRPr="00917757" w:rsidRDefault="003D3E28" w:rsidP="003D3E28">
      <w:pPr>
        <w:pStyle w:val="FootnoteText"/>
        <w:rPr>
          <w:rFonts w:ascii="Times New Roman" w:hAnsi="Times New Roman" w:cs="Times New Roman"/>
          <w:sz w:val="16"/>
          <w:szCs w:val="16"/>
        </w:rPr>
      </w:pPr>
      <w:r>
        <w:rPr>
          <w:rStyle w:val="FootnoteReference"/>
          <w:rFonts w:ascii="Times New Roman" w:hAnsi="Times New Roman" w:cs="Times New Roman"/>
          <w:sz w:val="16"/>
          <w:szCs w:val="16"/>
          <w:lang w:val="lv-LV"/>
        </w:rPr>
        <w:footnoteRef/>
      </w:r>
      <w:r>
        <w:rPr>
          <w:rFonts w:ascii="Times New Roman" w:hAnsi="Times New Roman"/>
          <w:sz w:val="16"/>
        </w:rPr>
        <w:t xml:space="preserve"> According to Section 1 (32) of the </w:t>
      </w:r>
      <w:hyperlink r:id="rId1" w:history="1">
        <w:r>
          <w:rPr>
            <w:rStyle w:val="Hyperlink"/>
            <w:rFonts w:ascii="Times New Roman" w:hAnsi="Times New Roman"/>
            <w:sz w:val="16"/>
          </w:rPr>
          <w:t>Law on Public-Private Partnership</w:t>
        </w:r>
      </w:hyperlink>
      <w:r>
        <w:rPr>
          <w:rFonts w:ascii="Times New Roman" w:hAnsi="Times New Roman"/>
          <w:sz w:val="16"/>
        </w:rPr>
        <w:t xml:space="preserve"> - the total payment for the performance of a public-private partnership contract (not taking into consideration the value added tax). It also applies to the total amount of the financial resources (not taking into consideration the value added tax) the private partner would obtain by exercising the rights and obligations ensuing from a public-private partnership contract and that may also include payments of an end-user.</w:t>
      </w:r>
    </w:p>
  </w:footnote>
  <w:footnote w:id="3">
    <w:p w14:paraId="3BDCF446" w14:textId="57B58AA0" w:rsidR="0040086D" w:rsidRPr="00917757" w:rsidRDefault="0040086D">
      <w:pPr>
        <w:pStyle w:val="FootnoteText"/>
        <w:rPr>
          <w:rFonts w:ascii="Times New Roman" w:hAnsi="Times New Roman" w:cs="Times New Roman"/>
          <w:sz w:val="16"/>
          <w:szCs w:val="16"/>
        </w:rPr>
      </w:pPr>
      <w:r>
        <w:rPr>
          <w:rStyle w:val="FootnoteReference"/>
          <w:rFonts w:ascii="Times New Roman" w:hAnsi="Times New Roman" w:cs="Times New Roman"/>
          <w:sz w:val="16"/>
          <w:szCs w:val="16"/>
          <w:lang w:val="lv-LV"/>
        </w:rPr>
        <w:footnoteRef/>
      </w:r>
      <w:r>
        <w:rPr>
          <w:rFonts w:ascii="Times New Roman" w:hAnsi="Times New Roman"/>
          <w:sz w:val="16"/>
        </w:rPr>
        <w:t xml:space="preserve"> Available at https://ppp.cfla.gov.lv/ (registration required</w:t>
      </w:r>
      <w:r w:rsidR="00C06FBB">
        <w:rPr>
          <w:rFonts w:ascii="Times New Roman" w:hAnsi="Times New Roman"/>
          <w:sz w:val="16"/>
        </w:rPr>
        <w:t xml:space="preserve">, </w:t>
      </w:r>
      <w:r w:rsidR="00AF7EED">
        <w:rPr>
          <w:rFonts w:ascii="Times New Roman" w:hAnsi="Times New Roman"/>
          <w:sz w:val="16"/>
        </w:rPr>
        <w:t>p</w:t>
      </w:r>
      <w:r w:rsidR="00C06FBB" w:rsidRPr="00C06FBB">
        <w:rPr>
          <w:rFonts w:ascii="Times New Roman" w:hAnsi="Times New Roman"/>
          <w:sz w:val="16"/>
        </w:rPr>
        <w:t>lease use your browser’s built-in page translation</w:t>
      </w:r>
      <w:r>
        <w:rPr>
          <w:rFonts w:ascii="Times New Roman" w:hAnsi="Times New Roman"/>
          <w:sz w:val="16"/>
        </w:rPr>
        <w:t>)</w:t>
      </w:r>
    </w:p>
  </w:footnote>
  <w:footnote w:id="4">
    <w:p w14:paraId="10BD73B8" w14:textId="7930B81B" w:rsidR="00DC1017" w:rsidRPr="00917757" w:rsidRDefault="00DC1017" w:rsidP="00917757">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Recommendations for risk mitigation actions available at </w:t>
      </w:r>
      <w:hyperlink r:id="rId2" w:anchor="abstract" w:tgtFrame="_blank" w:tooltip="https://www.tandfonline.com/doi/full/10.1080/15309576.2020.1741406#abstract" w:history="1">
        <w:r>
          <w:rPr>
            <w:rStyle w:val="Hyperlink"/>
            <w:rFonts w:ascii="Times New Roman" w:hAnsi="Times New Roman"/>
            <w:sz w:val="16"/>
          </w:rPr>
          <w:t>https://www.tandfonline.com/doi/full/10.1080/15309576.2020.1741406#abstract</w:t>
        </w:r>
      </w:hyperlink>
      <w:r>
        <w:rPr>
          <w:rStyle w:val="Hyperlink"/>
          <w:rFonts w:ascii="Times New Roman" w:hAnsi="Times New Roman"/>
          <w:sz w:val="16"/>
        </w:rPr>
        <w:t xml:space="preserve">; </w:t>
      </w:r>
      <w:hyperlink r:id="rId3" w:history="1">
        <w:r>
          <w:rPr>
            <w:rStyle w:val="Hyperlink"/>
            <w:rFonts w:ascii="Times New Roman" w:hAnsi="Times New Roman"/>
            <w:sz w:val="16"/>
          </w:rPr>
          <w:t>https://www.foxmandal.in/anatomy-of-risks-in-ppp-projects-in-india-and-how-to-mitigate-them/</w:t>
        </w:r>
      </w:hyperlink>
      <w:r>
        <w:rPr>
          <w:rStyle w:val="Hyperlink"/>
          <w:rFonts w:ascii="Times New Roman" w:hAnsi="Times New Roman"/>
          <w:sz w:val="16"/>
        </w:rPr>
        <w:t xml:space="preserve">; </w:t>
      </w:r>
      <w:hyperlink r:id="rId4" w:history="1">
        <w:r>
          <w:rPr>
            <w:rStyle w:val="Hyperlink"/>
            <w:rFonts w:ascii="Times New Roman" w:hAnsi="Times New Roman"/>
            <w:sz w:val="16"/>
          </w:rPr>
          <w:t>https://pure.spbu.ru/ws/files/19637708/Risk_management_in_public_private_partnership_projects_1939_6104_16_4_155.pdf</w:t>
        </w:r>
      </w:hyperlink>
      <w:r>
        <w:rPr>
          <w:rStyle w:val="Hyperlink"/>
          <w:rFonts w:ascii="Times New Roman" w:hAnsi="Times New Roman"/>
          <w:sz w:val="16"/>
        </w:rPr>
        <w:t xml:space="preserve"> (</w:t>
      </w:r>
      <w:r w:rsidR="00215AE2">
        <w:rPr>
          <w:rStyle w:val="Hyperlink"/>
          <w:rFonts w:ascii="Times New Roman" w:hAnsi="Times New Roman"/>
          <w:sz w:val="16"/>
        </w:rPr>
        <w:t>s</w:t>
      </w:r>
      <w:r w:rsidR="00215AE2" w:rsidRPr="00215AE2">
        <w:rPr>
          <w:rStyle w:val="Hyperlink"/>
          <w:rFonts w:ascii="Times New Roman" w:hAnsi="Times New Roman"/>
          <w:sz w:val="16"/>
        </w:rPr>
        <w:t>ources reviewed</w:t>
      </w:r>
      <w:r w:rsidR="00215AE2">
        <w:rPr>
          <w:rStyle w:val="Hyperlink"/>
          <w:rFonts w:ascii="Times New Roman" w:hAnsi="Times New Roman"/>
          <w:sz w:val="16"/>
        </w:rPr>
        <w:t xml:space="preserve"> </w:t>
      </w:r>
      <w:r>
        <w:rPr>
          <w:rStyle w:val="Hyperlink"/>
          <w:rFonts w:ascii="Times New Roman" w:hAnsi="Times New Roman"/>
          <w:sz w:val="16"/>
        </w:rPr>
        <w:t>25.09.2024.)</w:t>
      </w:r>
    </w:p>
  </w:footnote>
  <w:footnote w:id="5">
    <w:p w14:paraId="7E89748D" w14:textId="77777777" w:rsidR="00124F56" w:rsidRPr="00917757" w:rsidRDefault="00124F56" w:rsidP="00124F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Potential risk scores (risk probability x risk impact): </w:t>
      </w:r>
      <w:r w:rsidRPr="00F854DA">
        <w:rPr>
          <w:rFonts w:ascii="Times New Roman" w:hAnsi="Times New Roman"/>
          <w:sz w:val="16"/>
        </w:rPr>
        <w:t xml:space="preserve">1x1=1; 2x1=2; 3x1=3; 1x2=2; 2x2=4; 3x2=6; 1x3=3; 2x3=6; 3x3=9. Score 3 </w:t>
      </w:r>
      <w:r w:rsidRPr="00E53EC9">
        <w:rPr>
          <w:rFonts w:ascii="Times New Roman" w:hAnsi="Times New Roman"/>
          <w:sz w:val="16"/>
        </w:rPr>
        <w:t>is formed from 1x3 or 3x1, meaning either high probability or high impact.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73F1D"/>
    <w:multiLevelType w:val="hybridMultilevel"/>
    <w:tmpl w:val="278A3FEE"/>
    <w:lvl w:ilvl="0" w:tplc="19B6C286">
      <w:numFmt w:val="bullet"/>
      <w:lvlText w:val="-"/>
      <w:lvlJc w:val="left"/>
      <w:pPr>
        <w:ind w:left="720" w:hanging="360"/>
      </w:pPr>
      <w:rPr>
        <w:rFonts w:ascii="Verdana" w:eastAsiaTheme="minorHAnsi" w:hAnsi="Verdan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8832D10"/>
    <w:multiLevelType w:val="hybridMultilevel"/>
    <w:tmpl w:val="EC90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D0773"/>
    <w:multiLevelType w:val="hybridMultilevel"/>
    <w:tmpl w:val="D64CC0A0"/>
    <w:lvl w:ilvl="0" w:tplc="04260011">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3" w15:restartNumberingAfterBreak="0">
    <w:nsid w:val="3F5306F7"/>
    <w:multiLevelType w:val="hybridMultilevel"/>
    <w:tmpl w:val="D70A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551420"/>
    <w:multiLevelType w:val="hybridMultilevel"/>
    <w:tmpl w:val="73C4B2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8C29E5"/>
    <w:multiLevelType w:val="hybridMultilevel"/>
    <w:tmpl w:val="3A9CFB10"/>
    <w:lvl w:ilvl="0" w:tplc="46CECC88">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6" w15:restartNumberingAfterBreak="0">
    <w:nsid w:val="536E5825"/>
    <w:multiLevelType w:val="hybridMultilevel"/>
    <w:tmpl w:val="CEE60C9E"/>
    <w:lvl w:ilvl="0" w:tplc="0B7E5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D971C6"/>
    <w:multiLevelType w:val="hybridMultilevel"/>
    <w:tmpl w:val="60806D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4A7D86"/>
    <w:multiLevelType w:val="hybridMultilevel"/>
    <w:tmpl w:val="8AD0F4E4"/>
    <w:lvl w:ilvl="0" w:tplc="04260017">
      <w:start w:val="1"/>
      <w:numFmt w:val="lowerLetter"/>
      <w:lvlText w:val="%1)"/>
      <w:lvlJc w:val="left"/>
      <w:pPr>
        <w:ind w:left="1068" w:hanging="360"/>
      </w:pPr>
      <w:rPr>
        <w:rFonts w:hint="default"/>
        <w:b w:val="0"/>
        <w:i w:val="0"/>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num w:numId="1" w16cid:durableId="945699205">
    <w:abstractNumId w:val="7"/>
  </w:num>
  <w:num w:numId="2" w16cid:durableId="1822891979">
    <w:abstractNumId w:val="2"/>
  </w:num>
  <w:num w:numId="3" w16cid:durableId="102502971">
    <w:abstractNumId w:val="8"/>
  </w:num>
  <w:num w:numId="4" w16cid:durableId="2005934955">
    <w:abstractNumId w:val="6"/>
  </w:num>
  <w:num w:numId="5" w16cid:durableId="101725269">
    <w:abstractNumId w:val="5"/>
  </w:num>
  <w:num w:numId="6" w16cid:durableId="1583904617">
    <w:abstractNumId w:val="4"/>
  </w:num>
  <w:num w:numId="7" w16cid:durableId="1518885336">
    <w:abstractNumId w:val="3"/>
  </w:num>
  <w:num w:numId="8" w16cid:durableId="1834637619">
    <w:abstractNumId w:val="1"/>
  </w:num>
  <w:num w:numId="9" w16cid:durableId="124388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95"/>
    <w:rsid w:val="00003FFC"/>
    <w:rsid w:val="00006E88"/>
    <w:rsid w:val="00007174"/>
    <w:rsid w:val="00012520"/>
    <w:rsid w:val="0001390D"/>
    <w:rsid w:val="00017546"/>
    <w:rsid w:val="00022564"/>
    <w:rsid w:val="000253F5"/>
    <w:rsid w:val="000276B7"/>
    <w:rsid w:val="0003136B"/>
    <w:rsid w:val="00041157"/>
    <w:rsid w:val="000427A3"/>
    <w:rsid w:val="00046890"/>
    <w:rsid w:val="00047C39"/>
    <w:rsid w:val="00053D73"/>
    <w:rsid w:val="00070EF0"/>
    <w:rsid w:val="0007281A"/>
    <w:rsid w:val="00072D75"/>
    <w:rsid w:val="00083D63"/>
    <w:rsid w:val="00085430"/>
    <w:rsid w:val="00091A8D"/>
    <w:rsid w:val="00094229"/>
    <w:rsid w:val="0009654B"/>
    <w:rsid w:val="000A04C6"/>
    <w:rsid w:val="000A13B5"/>
    <w:rsid w:val="000A3428"/>
    <w:rsid w:val="000A6829"/>
    <w:rsid w:val="000A790A"/>
    <w:rsid w:val="000B343E"/>
    <w:rsid w:val="000C638C"/>
    <w:rsid w:val="000D58E5"/>
    <w:rsid w:val="000E0647"/>
    <w:rsid w:val="000E1434"/>
    <w:rsid w:val="000E3D2B"/>
    <w:rsid w:val="000F3103"/>
    <w:rsid w:val="00100AB3"/>
    <w:rsid w:val="001025B3"/>
    <w:rsid w:val="00111FB1"/>
    <w:rsid w:val="0011671E"/>
    <w:rsid w:val="001204C1"/>
    <w:rsid w:val="00124F56"/>
    <w:rsid w:val="00137DFD"/>
    <w:rsid w:val="00141B1E"/>
    <w:rsid w:val="00142D7D"/>
    <w:rsid w:val="0014315B"/>
    <w:rsid w:val="001454E8"/>
    <w:rsid w:val="00151FF7"/>
    <w:rsid w:val="001541E6"/>
    <w:rsid w:val="0015519F"/>
    <w:rsid w:val="0015621F"/>
    <w:rsid w:val="00163026"/>
    <w:rsid w:val="00165494"/>
    <w:rsid w:val="0016699E"/>
    <w:rsid w:val="0017281E"/>
    <w:rsid w:val="00172991"/>
    <w:rsid w:val="00174113"/>
    <w:rsid w:val="00177153"/>
    <w:rsid w:val="00181A6A"/>
    <w:rsid w:val="001901A6"/>
    <w:rsid w:val="001920C8"/>
    <w:rsid w:val="001972CB"/>
    <w:rsid w:val="001A1234"/>
    <w:rsid w:val="001A4746"/>
    <w:rsid w:val="001A54A5"/>
    <w:rsid w:val="001B02D2"/>
    <w:rsid w:val="001B0B9D"/>
    <w:rsid w:val="001C216F"/>
    <w:rsid w:val="001C6F59"/>
    <w:rsid w:val="001D36DB"/>
    <w:rsid w:val="001D7E88"/>
    <w:rsid w:val="001E475A"/>
    <w:rsid w:val="001E48FF"/>
    <w:rsid w:val="001E79BE"/>
    <w:rsid w:val="001E7AE3"/>
    <w:rsid w:val="001F43E1"/>
    <w:rsid w:val="00202532"/>
    <w:rsid w:val="00207154"/>
    <w:rsid w:val="00211C7C"/>
    <w:rsid w:val="00215AE2"/>
    <w:rsid w:val="002162BC"/>
    <w:rsid w:val="00226E15"/>
    <w:rsid w:val="0023162F"/>
    <w:rsid w:val="002372E4"/>
    <w:rsid w:val="00241D53"/>
    <w:rsid w:val="0024666A"/>
    <w:rsid w:val="00250895"/>
    <w:rsid w:val="00250B7D"/>
    <w:rsid w:val="00266FA5"/>
    <w:rsid w:val="00281972"/>
    <w:rsid w:val="00291171"/>
    <w:rsid w:val="00293CB5"/>
    <w:rsid w:val="0029518A"/>
    <w:rsid w:val="002A0ECA"/>
    <w:rsid w:val="002A119C"/>
    <w:rsid w:val="002A1FB2"/>
    <w:rsid w:val="002A43FB"/>
    <w:rsid w:val="002B136D"/>
    <w:rsid w:val="002B3623"/>
    <w:rsid w:val="002B37E5"/>
    <w:rsid w:val="002B43EE"/>
    <w:rsid w:val="002C753B"/>
    <w:rsid w:val="002D00F1"/>
    <w:rsid w:val="002D1D1D"/>
    <w:rsid w:val="002E0332"/>
    <w:rsid w:val="002E37B2"/>
    <w:rsid w:val="002F05EC"/>
    <w:rsid w:val="002F2A56"/>
    <w:rsid w:val="00301B16"/>
    <w:rsid w:val="0030474D"/>
    <w:rsid w:val="00307831"/>
    <w:rsid w:val="00310F27"/>
    <w:rsid w:val="00313DB2"/>
    <w:rsid w:val="003178F2"/>
    <w:rsid w:val="00317F05"/>
    <w:rsid w:val="003212F1"/>
    <w:rsid w:val="003305A9"/>
    <w:rsid w:val="00331D52"/>
    <w:rsid w:val="003325D1"/>
    <w:rsid w:val="00335AE5"/>
    <w:rsid w:val="00347260"/>
    <w:rsid w:val="00352E78"/>
    <w:rsid w:val="003665B3"/>
    <w:rsid w:val="00370730"/>
    <w:rsid w:val="00374574"/>
    <w:rsid w:val="00376FAE"/>
    <w:rsid w:val="003778E2"/>
    <w:rsid w:val="00381DE6"/>
    <w:rsid w:val="0038236A"/>
    <w:rsid w:val="00382981"/>
    <w:rsid w:val="00385152"/>
    <w:rsid w:val="003940F3"/>
    <w:rsid w:val="003A0558"/>
    <w:rsid w:val="003A2BD3"/>
    <w:rsid w:val="003A530E"/>
    <w:rsid w:val="003B358F"/>
    <w:rsid w:val="003B5381"/>
    <w:rsid w:val="003C1655"/>
    <w:rsid w:val="003C4850"/>
    <w:rsid w:val="003C4D82"/>
    <w:rsid w:val="003C597A"/>
    <w:rsid w:val="003C7142"/>
    <w:rsid w:val="003D0A5C"/>
    <w:rsid w:val="003D3E28"/>
    <w:rsid w:val="003E02E5"/>
    <w:rsid w:val="003E2FBD"/>
    <w:rsid w:val="003E4B58"/>
    <w:rsid w:val="003E6234"/>
    <w:rsid w:val="003F3CD5"/>
    <w:rsid w:val="003F5F70"/>
    <w:rsid w:val="0040086D"/>
    <w:rsid w:val="0040287D"/>
    <w:rsid w:val="00402D32"/>
    <w:rsid w:val="00411088"/>
    <w:rsid w:val="00415BE8"/>
    <w:rsid w:val="00416858"/>
    <w:rsid w:val="004175AA"/>
    <w:rsid w:val="0042483A"/>
    <w:rsid w:val="004325B6"/>
    <w:rsid w:val="0044246D"/>
    <w:rsid w:val="0044734B"/>
    <w:rsid w:val="004510CF"/>
    <w:rsid w:val="00457AA5"/>
    <w:rsid w:val="00463514"/>
    <w:rsid w:val="00463C05"/>
    <w:rsid w:val="004738FC"/>
    <w:rsid w:val="004750C6"/>
    <w:rsid w:val="0048001A"/>
    <w:rsid w:val="004828CE"/>
    <w:rsid w:val="00491608"/>
    <w:rsid w:val="004917AF"/>
    <w:rsid w:val="00496874"/>
    <w:rsid w:val="004A3BED"/>
    <w:rsid w:val="004A48E5"/>
    <w:rsid w:val="004C00F0"/>
    <w:rsid w:val="004C1914"/>
    <w:rsid w:val="004C4FBE"/>
    <w:rsid w:val="004C764F"/>
    <w:rsid w:val="004D201F"/>
    <w:rsid w:val="004D3CCF"/>
    <w:rsid w:val="004E380A"/>
    <w:rsid w:val="004F0E86"/>
    <w:rsid w:val="004F10C1"/>
    <w:rsid w:val="004F2B84"/>
    <w:rsid w:val="004F2EEB"/>
    <w:rsid w:val="004F3CD6"/>
    <w:rsid w:val="004F6E1B"/>
    <w:rsid w:val="005024E7"/>
    <w:rsid w:val="00505423"/>
    <w:rsid w:val="005057F5"/>
    <w:rsid w:val="00510141"/>
    <w:rsid w:val="00516450"/>
    <w:rsid w:val="00522583"/>
    <w:rsid w:val="00524C44"/>
    <w:rsid w:val="005251CD"/>
    <w:rsid w:val="00525292"/>
    <w:rsid w:val="005306F6"/>
    <w:rsid w:val="00540152"/>
    <w:rsid w:val="00554B62"/>
    <w:rsid w:val="00556874"/>
    <w:rsid w:val="00557BD3"/>
    <w:rsid w:val="0056239F"/>
    <w:rsid w:val="00565E85"/>
    <w:rsid w:val="005700D2"/>
    <w:rsid w:val="00575B35"/>
    <w:rsid w:val="00575B96"/>
    <w:rsid w:val="0058466E"/>
    <w:rsid w:val="005851BF"/>
    <w:rsid w:val="00590CAA"/>
    <w:rsid w:val="005936AE"/>
    <w:rsid w:val="005A4FC6"/>
    <w:rsid w:val="005A5FB3"/>
    <w:rsid w:val="005B2095"/>
    <w:rsid w:val="005C2C8C"/>
    <w:rsid w:val="005C533E"/>
    <w:rsid w:val="005D12FD"/>
    <w:rsid w:val="005D72DF"/>
    <w:rsid w:val="005D7734"/>
    <w:rsid w:val="005E2E10"/>
    <w:rsid w:val="005E436F"/>
    <w:rsid w:val="005F0498"/>
    <w:rsid w:val="005F2909"/>
    <w:rsid w:val="005F5706"/>
    <w:rsid w:val="00600038"/>
    <w:rsid w:val="00600D29"/>
    <w:rsid w:val="00603394"/>
    <w:rsid w:val="006061E7"/>
    <w:rsid w:val="00607715"/>
    <w:rsid w:val="006078EC"/>
    <w:rsid w:val="00607AC9"/>
    <w:rsid w:val="006126E8"/>
    <w:rsid w:val="00614641"/>
    <w:rsid w:val="00615D8D"/>
    <w:rsid w:val="00620B3F"/>
    <w:rsid w:val="00622160"/>
    <w:rsid w:val="00624667"/>
    <w:rsid w:val="006265D0"/>
    <w:rsid w:val="0063069C"/>
    <w:rsid w:val="00635C37"/>
    <w:rsid w:val="00635F76"/>
    <w:rsid w:val="00636A7B"/>
    <w:rsid w:val="00645453"/>
    <w:rsid w:val="00647578"/>
    <w:rsid w:val="006510F0"/>
    <w:rsid w:val="00657A3E"/>
    <w:rsid w:val="006857D2"/>
    <w:rsid w:val="00686B9F"/>
    <w:rsid w:val="00693C84"/>
    <w:rsid w:val="006A0095"/>
    <w:rsid w:val="006A1A8A"/>
    <w:rsid w:val="006A61CD"/>
    <w:rsid w:val="006A7C95"/>
    <w:rsid w:val="006B75CE"/>
    <w:rsid w:val="006C290C"/>
    <w:rsid w:val="006D3A79"/>
    <w:rsid w:val="006D7844"/>
    <w:rsid w:val="006E0BC5"/>
    <w:rsid w:val="006E2DDA"/>
    <w:rsid w:val="006E427C"/>
    <w:rsid w:val="006E4F6A"/>
    <w:rsid w:val="006F35BE"/>
    <w:rsid w:val="00703AD7"/>
    <w:rsid w:val="00704245"/>
    <w:rsid w:val="00705F45"/>
    <w:rsid w:val="00706656"/>
    <w:rsid w:val="007101E4"/>
    <w:rsid w:val="007103DA"/>
    <w:rsid w:val="00713CAD"/>
    <w:rsid w:val="0071401B"/>
    <w:rsid w:val="0073186A"/>
    <w:rsid w:val="00731E7A"/>
    <w:rsid w:val="0073781B"/>
    <w:rsid w:val="00755B40"/>
    <w:rsid w:val="00757812"/>
    <w:rsid w:val="00761989"/>
    <w:rsid w:val="00763F8C"/>
    <w:rsid w:val="0076625A"/>
    <w:rsid w:val="00767CF1"/>
    <w:rsid w:val="0077289A"/>
    <w:rsid w:val="0077368F"/>
    <w:rsid w:val="00773DEE"/>
    <w:rsid w:val="0077566F"/>
    <w:rsid w:val="0077597A"/>
    <w:rsid w:val="00781FBC"/>
    <w:rsid w:val="007855E0"/>
    <w:rsid w:val="00785C68"/>
    <w:rsid w:val="00787FCA"/>
    <w:rsid w:val="0079329F"/>
    <w:rsid w:val="007A597C"/>
    <w:rsid w:val="007A662D"/>
    <w:rsid w:val="007B1531"/>
    <w:rsid w:val="007B3CCA"/>
    <w:rsid w:val="007B40FA"/>
    <w:rsid w:val="007C1616"/>
    <w:rsid w:val="007C5EA9"/>
    <w:rsid w:val="007D058A"/>
    <w:rsid w:val="007D1D23"/>
    <w:rsid w:val="007D3356"/>
    <w:rsid w:val="007D5281"/>
    <w:rsid w:val="007E10A5"/>
    <w:rsid w:val="007E40E1"/>
    <w:rsid w:val="007E430C"/>
    <w:rsid w:val="007E6547"/>
    <w:rsid w:val="007F0777"/>
    <w:rsid w:val="007F48A3"/>
    <w:rsid w:val="007F6202"/>
    <w:rsid w:val="008006A3"/>
    <w:rsid w:val="00802306"/>
    <w:rsid w:val="00805391"/>
    <w:rsid w:val="008062F3"/>
    <w:rsid w:val="00811040"/>
    <w:rsid w:val="00812C18"/>
    <w:rsid w:val="008226B9"/>
    <w:rsid w:val="0082387C"/>
    <w:rsid w:val="00832DB1"/>
    <w:rsid w:val="0083461B"/>
    <w:rsid w:val="00834CBC"/>
    <w:rsid w:val="00845834"/>
    <w:rsid w:val="008500D9"/>
    <w:rsid w:val="00854D21"/>
    <w:rsid w:val="00863BB6"/>
    <w:rsid w:val="00865A8F"/>
    <w:rsid w:val="00871382"/>
    <w:rsid w:val="008773DE"/>
    <w:rsid w:val="00880C56"/>
    <w:rsid w:val="00882E4D"/>
    <w:rsid w:val="00890B17"/>
    <w:rsid w:val="00892696"/>
    <w:rsid w:val="008951A5"/>
    <w:rsid w:val="00897B49"/>
    <w:rsid w:val="008B019D"/>
    <w:rsid w:val="008B0771"/>
    <w:rsid w:val="008B3D97"/>
    <w:rsid w:val="008B54E9"/>
    <w:rsid w:val="008B6DA2"/>
    <w:rsid w:val="008B76E4"/>
    <w:rsid w:val="008C134B"/>
    <w:rsid w:val="008D61F8"/>
    <w:rsid w:val="008D7C89"/>
    <w:rsid w:val="008E1752"/>
    <w:rsid w:val="008E702C"/>
    <w:rsid w:val="008F01D0"/>
    <w:rsid w:val="008F5468"/>
    <w:rsid w:val="00901614"/>
    <w:rsid w:val="00902749"/>
    <w:rsid w:val="00903477"/>
    <w:rsid w:val="00906688"/>
    <w:rsid w:val="00907EE6"/>
    <w:rsid w:val="0091327F"/>
    <w:rsid w:val="009133EF"/>
    <w:rsid w:val="00914CF2"/>
    <w:rsid w:val="00917757"/>
    <w:rsid w:val="00922CC7"/>
    <w:rsid w:val="00923F50"/>
    <w:rsid w:val="009274A3"/>
    <w:rsid w:val="00927CA9"/>
    <w:rsid w:val="00930147"/>
    <w:rsid w:val="00930A8E"/>
    <w:rsid w:val="00937338"/>
    <w:rsid w:val="0093757E"/>
    <w:rsid w:val="0094006C"/>
    <w:rsid w:val="00945055"/>
    <w:rsid w:val="0095283A"/>
    <w:rsid w:val="00962889"/>
    <w:rsid w:val="00964693"/>
    <w:rsid w:val="0097217B"/>
    <w:rsid w:val="00977033"/>
    <w:rsid w:val="009813C9"/>
    <w:rsid w:val="00985F8D"/>
    <w:rsid w:val="00987B5E"/>
    <w:rsid w:val="00987E87"/>
    <w:rsid w:val="009A38B2"/>
    <w:rsid w:val="009A6B61"/>
    <w:rsid w:val="009A6CDE"/>
    <w:rsid w:val="009A7F07"/>
    <w:rsid w:val="009B46FE"/>
    <w:rsid w:val="009C2D3F"/>
    <w:rsid w:val="009C3EDF"/>
    <w:rsid w:val="009D2D0D"/>
    <w:rsid w:val="009D3915"/>
    <w:rsid w:val="009D391D"/>
    <w:rsid w:val="009D3DDA"/>
    <w:rsid w:val="009D56EA"/>
    <w:rsid w:val="009D72B4"/>
    <w:rsid w:val="009E2440"/>
    <w:rsid w:val="009E2C91"/>
    <w:rsid w:val="009F30BA"/>
    <w:rsid w:val="009F42D7"/>
    <w:rsid w:val="009F6AE7"/>
    <w:rsid w:val="00A013CE"/>
    <w:rsid w:val="00A055D9"/>
    <w:rsid w:val="00A069F0"/>
    <w:rsid w:val="00A07BFE"/>
    <w:rsid w:val="00A10999"/>
    <w:rsid w:val="00A1389A"/>
    <w:rsid w:val="00A269AD"/>
    <w:rsid w:val="00A275BC"/>
    <w:rsid w:val="00A346C4"/>
    <w:rsid w:val="00A3543A"/>
    <w:rsid w:val="00A370AB"/>
    <w:rsid w:val="00A37E7E"/>
    <w:rsid w:val="00A45218"/>
    <w:rsid w:val="00A55D02"/>
    <w:rsid w:val="00A57BB5"/>
    <w:rsid w:val="00A61435"/>
    <w:rsid w:val="00A73B83"/>
    <w:rsid w:val="00A8028E"/>
    <w:rsid w:val="00A94B06"/>
    <w:rsid w:val="00AA15D7"/>
    <w:rsid w:val="00AA24DA"/>
    <w:rsid w:val="00AA7738"/>
    <w:rsid w:val="00AA7CDB"/>
    <w:rsid w:val="00AB1864"/>
    <w:rsid w:val="00AB21D9"/>
    <w:rsid w:val="00AB2570"/>
    <w:rsid w:val="00AB3A36"/>
    <w:rsid w:val="00AB3DB8"/>
    <w:rsid w:val="00AB467A"/>
    <w:rsid w:val="00AB56E9"/>
    <w:rsid w:val="00AB7CE0"/>
    <w:rsid w:val="00AC1DE6"/>
    <w:rsid w:val="00AC57F7"/>
    <w:rsid w:val="00AD47D6"/>
    <w:rsid w:val="00AD4866"/>
    <w:rsid w:val="00AE233D"/>
    <w:rsid w:val="00AE2DA1"/>
    <w:rsid w:val="00AE6F06"/>
    <w:rsid w:val="00AF7EED"/>
    <w:rsid w:val="00B067A3"/>
    <w:rsid w:val="00B129C2"/>
    <w:rsid w:val="00B152CB"/>
    <w:rsid w:val="00B27A9B"/>
    <w:rsid w:val="00B27B8D"/>
    <w:rsid w:val="00B27BAD"/>
    <w:rsid w:val="00B30752"/>
    <w:rsid w:val="00B35C45"/>
    <w:rsid w:val="00B40E33"/>
    <w:rsid w:val="00B45077"/>
    <w:rsid w:val="00B47B77"/>
    <w:rsid w:val="00B53262"/>
    <w:rsid w:val="00B61661"/>
    <w:rsid w:val="00B62466"/>
    <w:rsid w:val="00B63337"/>
    <w:rsid w:val="00B712F4"/>
    <w:rsid w:val="00B826F7"/>
    <w:rsid w:val="00B9240B"/>
    <w:rsid w:val="00BA0B7C"/>
    <w:rsid w:val="00BA55B0"/>
    <w:rsid w:val="00BB0570"/>
    <w:rsid w:val="00BB1CD8"/>
    <w:rsid w:val="00BB2330"/>
    <w:rsid w:val="00BB25B2"/>
    <w:rsid w:val="00BB3EAE"/>
    <w:rsid w:val="00BB71A9"/>
    <w:rsid w:val="00BC1193"/>
    <w:rsid w:val="00BD1659"/>
    <w:rsid w:val="00BD7B3B"/>
    <w:rsid w:val="00BE1E08"/>
    <w:rsid w:val="00BE224A"/>
    <w:rsid w:val="00BF59E1"/>
    <w:rsid w:val="00C01BBF"/>
    <w:rsid w:val="00C030C8"/>
    <w:rsid w:val="00C06FBB"/>
    <w:rsid w:val="00C072BD"/>
    <w:rsid w:val="00C1023D"/>
    <w:rsid w:val="00C13192"/>
    <w:rsid w:val="00C1571C"/>
    <w:rsid w:val="00C21251"/>
    <w:rsid w:val="00C260BC"/>
    <w:rsid w:val="00C31650"/>
    <w:rsid w:val="00C33E47"/>
    <w:rsid w:val="00C4233A"/>
    <w:rsid w:val="00C46279"/>
    <w:rsid w:val="00C52432"/>
    <w:rsid w:val="00C63F34"/>
    <w:rsid w:val="00C65102"/>
    <w:rsid w:val="00C76DA6"/>
    <w:rsid w:val="00C779C0"/>
    <w:rsid w:val="00C831A0"/>
    <w:rsid w:val="00C907D1"/>
    <w:rsid w:val="00C913C7"/>
    <w:rsid w:val="00C92C79"/>
    <w:rsid w:val="00C935A7"/>
    <w:rsid w:val="00C96C09"/>
    <w:rsid w:val="00CA6902"/>
    <w:rsid w:val="00CB472B"/>
    <w:rsid w:val="00CB5064"/>
    <w:rsid w:val="00CB5883"/>
    <w:rsid w:val="00CC0C64"/>
    <w:rsid w:val="00CC0D02"/>
    <w:rsid w:val="00CC66AA"/>
    <w:rsid w:val="00CC722B"/>
    <w:rsid w:val="00CD562B"/>
    <w:rsid w:val="00CD5A9F"/>
    <w:rsid w:val="00CE0379"/>
    <w:rsid w:val="00CE05AA"/>
    <w:rsid w:val="00CF5590"/>
    <w:rsid w:val="00CF7D6A"/>
    <w:rsid w:val="00CF7FD8"/>
    <w:rsid w:val="00D003A0"/>
    <w:rsid w:val="00D1089A"/>
    <w:rsid w:val="00D15897"/>
    <w:rsid w:val="00D1756B"/>
    <w:rsid w:val="00D20142"/>
    <w:rsid w:val="00D20C38"/>
    <w:rsid w:val="00D24CED"/>
    <w:rsid w:val="00D26506"/>
    <w:rsid w:val="00D44500"/>
    <w:rsid w:val="00D5638E"/>
    <w:rsid w:val="00D62E46"/>
    <w:rsid w:val="00D62F0F"/>
    <w:rsid w:val="00D7083A"/>
    <w:rsid w:val="00D81CD3"/>
    <w:rsid w:val="00D83A01"/>
    <w:rsid w:val="00D853D9"/>
    <w:rsid w:val="00D8650E"/>
    <w:rsid w:val="00D866AF"/>
    <w:rsid w:val="00D87ADC"/>
    <w:rsid w:val="00D9160A"/>
    <w:rsid w:val="00D93BD3"/>
    <w:rsid w:val="00D95D54"/>
    <w:rsid w:val="00D9652C"/>
    <w:rsid w:val="00DA1DD0"/>
    <w:rsid w:val="00DB1248"/>
    <w:rsid w:val="00DB36B0"/>
    <w:rsid w:val="00DC1017"/>
    <w:rsid w:val="00DC1C9E"/>
    <w:rsid w:val="00DC5390"/>
    <w:rsid w:val="00DC6DB0"/>
    <w:rsid w:val="00DD7F68"/>
    <w:rsid w:val="00DE1320"/>
    <w:rsid w:val="00DE328C"/>
    <w:rsid w:val="00DE3627"/>
    <w:rsid w:val="00DE3CB9"/>
    <w:rsid w:val="00DF1607"/>
    <w:rsid w:val="00DF3EDB"/>
    <w:rsid w:val="00DF4621"/>
    <w:rsid w:val="00DF4AB2"/>
    <w:rsid w:val="00DF66AC"/>
    <w:rsid w:val="00E0254A"/>
    <w:rsid w:val="00E06B9A"/>
    <w:rsid w:val="00E0765C"/>
    <w:rsid w:val="00E17F13"/>
    <w:rsid w:val="00E23002"/>
    <w:rsid w:val="00E251DF"/>
    <w:rsid w:val="00E27464"/>
    <w:rsid w:val="00E37137"/>
    <w:rsid w:val="00E37AA7"/>
    <w:rsid w:val="00E37CB2"/>
    <w:rsid w:val="00E405C7"/>
    <w:rsid w:val="00E41791"/>
    <w:rsid w:val="00E431C5"/>
    <w:rsid w:val="00E43D4A"/>
    <w:rsid w:val="00E45FD0"/>
    <w:rsid w:val="00E53EC9"/>
    <w:rsid w:val="00E56098"/>
    <w:rsid w:val="00E5684A"/>
    <w:rsid w:val="00E56E30"/>
    <w:rsid w:val="00E606DB"/>
    <w:rsid w:val="00E6085C"/>
    <w:rsid w:val="00E60F2B"/>
    <w:rsid w:val="00E66139"/>
    <w:rsid w:val="00E6760B"/>
    <w:rsid w:val="00E7137E"/>
    <w:rsid w:val="00E74BD3"/>
    <w:rsid w:val="00E7510B"/>
    <w:rsid w:val="00E76479"/>
    <w:rsid w:val="00E7720E"/>
    <w:rsid w:val="00E858A3"/>
    <w:rsid w:val="00E87F31"/>
    <w:rsid w:val="00E90DDC"/>
    <w:rsid w:val="00E918CD"/>
    <w:rsid w:val="00E928B1"/>
    <w:rsid w:val="00E95558"/>
    <w:rsid w:val="00EA20AD"/>
    <w:rsid w:val="00EA2FF6"/>
    <w:rsid w:val="00EA304C"/>
    <w:rsid w:val="00EA561B"/>
    <w:rsid w:val="00EC2BBE"/>
    <w:rsid w:val="00EC2C18"/>
    <w:rsid w:val="00EC2F7D"/>
    <w:rsid w:val="00EC74B9"/>
    <w:rsid w:val="00ED3E84"/>
    <w:rsid w:val="00ED4CA5"/>
    <w:rsid w:val="00ED4CAE"/>
    <w:rsid w:val="00EE7403"/>
    <w:rsid w:val="00F04683"/>
    <w:rsid w:val="00F07081"/>
    <w:rsid w:val="00F21951"/>
    <w:rsid w:val="00F2617E"/>
    <w:rsid w:val="00F26F07"/>
    <w:rsid w:val="00F2739B"/>
    <w:rsid w:val="00F30733"/>
    <w:rsid w:val="00F30998"/>
    <w:rsid w:val="00F31D2C"/>
    <w:rsid w:val="00F32746"/>
    <w:rsid w:val="00F32C0A"/>
    <w:rsid w:val="00F45CBD"/>
    <w:rsid w:val="00F46BE4"/>
    <w:rsid w:val="00F47555"/>
    <w:rsid w:val="00F47F72"/>
    <w:rsid w:val="00F50FDC"/>
    <w:rsid w:val="00F515CF"/>
    <w:rsid w:val="00F6040E"/>
    <w:rsid w:val="00F65C45"/>
    <w:rsid w:val="00F73E4F"/>
    <w:rsid w:val="00F76D51"/>
    <w:rsid w:val="00F814BA"/>
    <w:rsid w:val="00F851A6"/>
    <w:rsid w:val="00F854DA"/>
    <w:rsid w:val="00F87335"/>
    <w:rsid w:val="00F90350"/>
    <w:rsid w:val="00F916E3"/>
    <w:rsid w:val="00F94722"/>
    <w:rsid w:val="00FA0446"/>
    <w:rsid w:val="00FA18A5"/>
    <w:rsid w:val="00FA3E9F"/>
    <w:rsid w:val="00FA403A"/>
    <w:rsid w:val="00FB0115"/>
    <w:rsid w:val="00FB4FA2"/>
    <w:rsid w:val="00FB7476"/>
    <w:rsid w:val="00FC14C9"/>
    <w:rsid w:val="00FC6979"/>
    <w:rsid w:val="00FC708B"/>
    <w:rsid w:val="00FD078D"/>
    <w:rsid w:val="00FD6C60"/>
    <w:rsid w:val="00FE096F"/>
    <w:rsid w:val="00FE3712"/>
    <w:rsid w:val="00FE628C"/>
    <w:rsid w:val="00FF022D"/>
    <w:rsid w:val="00FF2512"/>
    <w:rsid w:val="00FF4701"/>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E8C6"/>
  <w15:docId w15:val="{FBF42DA3-810E-4A14-A27C-23DF2D4F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Pr>
      <w:vertAlign w:val="superscript"/>
    </w:rPr>
  </w:style>
  <w:style w:type="paragraph" w:customStyle="1" w:styleId="pStyle">
    <w:name w:val="pStyle"/>
    <w:basedOn w:val="Normal"/>
    <w:pPr>
      <w:spacing w:before="50" w:after="50"/>
    </w:pPr>
  </w:style>
  <w:style w:type="paragraph" w:styleId="Header">
    <w:name w:val="header"/>
    <w:basedOn w:val="Normal"/>
    <w:link w:val="HeaderChar"/>
    <w:uiPriority w:val="99"/>
    <w:unhideWhenUsed/>
    <w:rsid w:val="00DC6D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6DB0"/>
  </w:style>
  <w:style w:type="paragraph" w:styleId="Footer">
    <w:name w:val="footer"/>
    <w:basedOn w:val="Normal"/>
    <w:link w:val="FooterChar"/>
    <w:uiPriority w:val="99"/>
    <w:unhideWhenUsed/>
    <w:rsid w:val="00DC6D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6DB0"/>
  </w:style>
  <w:style w:type="paragraph" w:styleId="ListParagraph">
    <w:name w:val="List Paragraph"/>
    <w:basedOn w:val="Normal"/>
    <w:uiPriority w:val="34"/>
    <w:qFormat/>
    <w:rsid w:val="00DC6DB0"/>
    <w:pPr>
      <w:ind w:left="720"/>
      <w:contextualSpacing/>
    </w:pPr>
  </w:style>
  <w:style w:type="paragraph" w:styleId="FootnoteText">
    <w:name w:val="footnote text"/>
    <w:basedOn w:val="Normal"/>
    <w:link w:val="FootnoteTextChar"/>
    <w:uiPriority w:val="99"/>
    <w:semiHidden/>
    <w:unhideWhenUsed/>
    <w:rsid w:val="00DE3CB9"/>
    <w:pPr>
      <w:spacing w:after="0" w:line="240" w:lineRule="auto"/>
    </w:pPr>
  </w:style>
  <w:style w:type="character" w:customStyle="1" w:styleId="FootnoteTextChar">
    <w:name w:val="Footnote Text Char"/>
    <w:basedOn w:val="DefaultParagraphFont"/>
    <w:link w:val="FootnoteText"/>
    <w:uiPriority w:val="99"/>
    <w:semiHidden/>
    <w:rsid w:val="00DE3CB9"/>
  </w:style>
  <w:style w:type="character" w:styleId="Hyperlink">
    <w:name w:val="Hyperlink"/>
    <w:basedOn w:val="DefaultParagraphFont"/>
    <w:uiPriority w:val="99"/>
    <w:unhideWhenUsed/>
    <w:rsid w:val="00755B40"/>
    <w:rPr>
      <w:color w:val="0000FF"/>
      <w:u w:val="single"/>
    </w:rPr>
  </w:style>
  <w:style w:type="paragraph" w:styleId="BalloonText">
    <w:name w:val="Balloon Text"/>
    <w:basedOn w:val="Normal"/>
    <w:link w:val="BalloonTextChar"/>
    <w:uiPriority w:val="99"/>
    <w:semiHidden/>
    <w:unhideWhenUsed/>
    <w:rsid w:val="00317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F2"/>
    <w:rPr>
      <w:rFonts w:ascii="Segoe UI" w:hAnsi="Segoe UI" w:cs="Segoe UI"/>
      <w:sz w:val="18"/>
      <w:szCs w:val="18"/>
    </w:rPr>
  </w:style>
  <w:style w:type="table" w:styleId="TableGrid">
    <w:name w:val="Table Grid"/>
    <w:basedOn w:val="TableNormal"/>
    <w:uiPriority w:val="39"/>
    <w:rsid w:val="00906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201F"/>
    <w:pPr>
      <w:spacing w:after="0" w:line="240" w:lineRule="auto"/>
    </w:pPr>
  </w:style>
  <w:style w:type="character" w:styleId="CommentReference">
    <w:name w:val="annotation reference"/>
    <w:basedOn w:val="DefaultParagraphFont"/>
    <w:uiPriority w:val="99"/>
    <w:semiHidden/>
    <w:unhideWhenUsed/>
    <w:rsid w:val="001920C8"/>
    <w:rPr>
      <w:sz w:val="16"/>
      <w:szCs w:val="16"/>
    </w:rPr>
  </w:style>
  <w:style w:type="paragraph" w:styleId="CommentText">
    <w:name w:val="annotation text"/>
    <w:basedOn w:val="Normal"/>
    <w:link w:val="CommentTextChar"/>
    <w:uiPriority w:val="99"/>
    <w:unhideWhenUsed/>
    <w:rsid w:val="001920C8"/>
    <w:pPr>
      <w:spacing w:line="240" w:lineRule="auto"/>
    </w:pPr>
  </w:style>
  <w:style w:type="character" w:customStyle="1" w:styleId="CommentTextChar">
    <w:name w:val="Comment Text Char"/>
    <w:basedOn w:val="DefaultParagraphFont"/>
    <w:link w:val="CommentText"/>
    <w:uiPriority w:val="99"/>
    <w:rsid w:val="001920C8"/>
  </w:style>
  <w:style w:type="paragraph" w:styleId="CommentSubject">
    <w:name w:val="annotation subject"/>
    <w:basedOn w:val="CommentText"/>
    <w:next w:val="CommentText"/>
    <w:link w:val="CommentSubjectChar"/>
    <w:uiPriority w:val="99"/>
    <w:semiHidden/>
    <w:unhideWhenUsed/>
    <w:rsid w:val="001920C8"/>
    <w:rPr>
      <w:b/>
      <w:bCs/>
    </w:rPr>
  </w:style>
  <w:style w:type="character" w:customStyle="1" w:styleId="CommentSubjectChar">
    <w:name w:val="Comment Subject Char"/>
    <w:basedOn w:val="CommentTextChar"/>
    <w:link w:val="CommentSubject"/>
    <w:uiPriority w:val="99"/>
    <w:semiHidden/>
    <w:rsid w:val="001920C8"/>
    <w:rPr>
      <w:b/>
      <w:bCs/>
    </w:rPr>
  </w:style>
  <w:style w:type="character" w:styleId="UnresolvedMention">
    <w:name w:val="Unresolved Mention"/>
    <w:basedOn w:val="DefaultParagraphFont"/>
    <w:uiPriority w:val="99"/>
    <w:semiHidden/>
    <w:unhideWhenUsed/>
    <w:rsid w:val="00E431C5"/>
    <w:rPr>
      <w:color w:val="605E5C"/>
      <w:shd w:val="clear" w:color="auto" w:fill="E1DFDD"/>
    </w:rPr>
  </w:style>
  <w:style w:type="character" w:styleId="FollowedHyperlink">
    <w:name w:val="FollowedHyperlink"/>
    <w:basedOn w:val="DefaultParagraphFont"/>
    <w:uiPriority w:val="99"/>
    <w:semiHidden/>
    <w:unhideWhenUsed/>
    <w:rsid w:val="00962889"/>
    <w:rPr>
      <w:color w:val="800080" w:themeColor="followedHyperlink"/>
      <w:u w:val="single"/>
    </w:rPr>
  </w:style>
  <w:style w:type="character" w:styleId="Mention">
    <w:name w:val="Mention"/>
    <w:basedOn w:val="DefaultParagraphFont"/>
    <w:uiPriority w:val="99"/>
    <w:unhideWhenUsed/>
    <w:rsid w:val="00636A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fm.gov.lv/lv/makroekonomiskie-pienemumi-un-prognozes" TargetMode="External"/><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hyperlink" Target="https://ppp.cfla.gov.l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hyperlink" Target="https://ppp.cfla.gov.l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s://www.cfla.gov.lv/lv/finansu-un-ekonomiskie-aprekini"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foxmandal.in/anatomy-of-risks-in-ppp-projects-in-india-and-how-to-mitigate-them/" TargetMode="External"/><Relationship Id="rId2" Type="http://schemas.openxmlformats.org/officeDocument/2006/relationships/hyperlink" Target="https://www.tandfonline.com/doi/full/10.1080/15309576.2020.1741406" TargetMode="External"/><Relationship Id="rId1" Type="http://schemas.openxmlformats.org/officeDocument/2006/relationships/hyperlink" Target="https://likumi.lv/ta/en/en/id/194597" TargetMode="External"/><Relationship Id="rId4" Type="http://schemas.openxmlformats.org/officeDocument/2006/relationships/hyperlink" Target="https://pure.spbu.ru/ws/files/19637708/Risk_management_in_public_private_partnership_projects_1939_6104_16_4_1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5A837DF00024DBC7481451BD525B2" ma:contentTypeVersion="14" ma:contentTypeDescription="Create a new document." ma:contentTypeScope="" ma:versionID="e1a57e5724954aa74ace9fb3b8f7034a">
  <xsd:schema xmlns:xsd="http://www.w3.org/2001/XMLSchema" xmlns:xs="http://www.w3.org/2001/XMLSchema" xmlns:p="http://schemas.microsoft.com/office/2006/metadata/properties" xmlns:ns2="b7b3b213-8566-48ea-9933-efcfa651373a" xmlns:ns3="d68ddbfb-0246-4f41-98f5-4b7b8fdf9644" targetNamespace="http://schemas.microsoft.com/office/2006/metadata/properties" ma:root="true" ma:fieldsID="2ba5be1d57b05adaea1ca39c01c07788" ns2:_="" ns3:_="">
    <xsd:import namespace="b7b3b213-8566-48ea-9933-efcfa651373a"/>
    <xsd:import namespace="d68ddbfb-0246-4f41-98f5-4b7b8fdf9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3b213-8566-48ea-9933-efcfa651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ddbfb-0246-4f41-98f5-4b7b8fdf9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f5ce6-bedf-444e-a1c0-88d3b9c68b20}" ma:internalName="TaxCatchAll" ma:showField="CatchAllData" ma:web="d68ddbfb-0246-4f41-98f5-4b7b8fdf9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b3b213-8566-48ea-9933-efcfa651373a">
      <Terms xmlns="http://schemas.microsoft.com/office/infopath/2007/PartnerControls"/>
    </lcf76f155ced4ddcb4097134ff3c332f>
    <TaxCatchAll xmlns="d68ddbfb-0246-4f41-98f5-4b7b8fdf96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B3B02-598F-4EB6-A53E-645C02FE5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3b213-8566-48ea-9933-efcfa651373a"/>
    <ds:schemaRef ds:uri="d68ddbfb-0246-4f41-98f5-4b7b8fdf9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CE62A-4664-4765-A064-2787B2C759A2}">
  <ds:schemaRefs>
    <ds:schemaRef ds:uri="http://schemas.microsoft.com/sharepoint/v3/contenttype/forms"/>
  </ds:schemaRefs>
</ds:datastoreItem>
</file>

<file path=customXml/itemProps3.xml><?xml version="1.0" encoding="utf-8"?>
<ds:datastoreItem xmlns:ds="http://schemas.openxmlformats.org/officeDocument/2006/customXml" ds:itemID="{4E615E99-CCC2-428B-94B2-BF52E3A0E150}">
  <ds:schemaRefs>
    <ds:schemaRef ds:uri="http://schemas.microsoft.com/office/2006/metadata/properties"/>
    <ds:schemaRef ds:uri="http://schemas.microsoft.com/office/infopath/2007/PartnerControls"/>
    <ds:schemaRef ds:uri="b7b3b213-8566-48ea-9933-efcfa651373a"/>
    <ds:schemaRef ds:uri="d68ddbfb-0246-4f41-98f5-4b7b8fdf9644"/>
  </ds:schemaRefs>
</ds:datastoreItem>
</file>

<file path=customXml/itemProps4.xml><?xml version="1.0" encoding="utf-8"?>
<ds:datastoreItem xmlns:ds="http://schemas.openxmlformats.org/officeDocument/2006/customXml" ds:itemID="{0E6746D0-80D9-4C78-80EE-88432D7917BA}">
  <ds:schemaRefs>
    <ds:schemaRef ds:uri="http://schemas.openxmlformats.org/officeDocument/2006/bibliography"/>
  </ds:schemaRefs>
</ds:datastoreItem>
</file>

<file path=customXml/itemProps5.xml><?xml version="1.0" encoding="utf-8"?>
<ds:datastoreItem xmlns:ds="http://schemas.openxmlformats.org/officeDocument/2006/customXml" ds:itemID="{5C7915F2-F79E-4803-B171-7B7170755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Pages>
  <Words>3673</Words>
  <Characters>20939</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24563</CharactersWithSpaces>
  <SharedDoc>false</SharedDoc>
  <HLinks>
    <vt:vector size="48" baseType="variant">
      <vt:variant>
        <vt:i4>6946873</vt:i4>
      </vt:variant>
      <vt:variant>
        <vt:i4>9</vt:i4>
      </vt:variant>
      <vt:variant>
        <vt:i4>0</vt:i4>
      </vt:variant>
      <vt:variant>
        <vt:i4>5</vt:i4>
      </vt:variant>
      <vt:variant>
        <vt:lpwstr>https://www.cfla.gov.lv/lv/finansu-un-ekonomiskie-aprekini</vt:lpwstr>
      </vt:variant>
      <vt:variant>
        <vt:lpwstr/>
      </vt:variant>
      <vt:variant>
        <vt:i4>1704022</vt:i4>
      </vt:variant>
      <vt:variant>
        <vt:i4>6</vt:i4>
      </vt:variant>
      <vt:variant>
        <vt:i4>0</vt:i4>
      </vt:variant>
      <vt:variant>
        <vt:i4>5</vt:i4>
      </vt:variant>
      <vt:variant>
        <vt:lpwstr>https://ppp.cfla.gov.lv/</vt:lpwstr>
      </vt:variant>
      <vt:variant>
        <vt:lpwstr/>
      </vt:variant>
      <vt:variant>
        <vt:i4>1704022</vt:i4>
      </vt:variant>
      <vt:variant>
        <vt:i4>3</vt:i4>
      </vt:variant>
      <vt:variant>
        <vt:i4>0</vt:i4>
      </vt:variant>
      <vt:variant>
        <vt:i4>5</vt:i4>
      </vt:variant>
      <vt:variant>
        <vt:lpwstr>https://ppp.cfla.gov.lv/</vt:lpwstr>
      </vt:variant>
      <vt:variant>
        <vt:lpwstr/>
      </vt:variant>
      <vt:variant>
        <vt:i4>720966</vt:i4>
      </vt:variant>
      <vt:variant>
        <vt:i4>0</vt:i4>
      </vt:variant>
      <vt:variant>
        <vt:i4>0</vt:i4>
      </vt:variant>
      <vt:variant>
        <vt:i4>5</vt:i4>
      </vt:variant>
      <vt:variant>
        <vt:lpwstr>https://www.fm.gov.lv/lv/makroekonomiskie-pienemumi-un-prognozes</vt:lpwstr>
      </vt:variant>
      <vt:variant>
        <vt:lpwstr/>
      </vt:variant>
      <vt:variant>
        <vt:i4>5242981</vt:i4>
      </vt:variant>
      <vt:variant>
        <vt:i4>9</vt:i4>
      </vt:variant>
      <vt:variant>
        <vt:i4>0</vt:i4>
      </vt:variant>
      <vt:variant>
        <vt:i4>5</vt:i4>
      </vt:variant>
      <vt:variant>
        <vt:lpwstr>https://pure.spbu.ru/ws/files/19637708/Risk_management_in_public_private_partnership_projects_1939_6104_16_4_155.pdf</vt:lpwstr>
      </vt:variant>
      <vt:variant>
        <vt:lpwstr/>
      </vt:variant>
      <vt:variant>
        <vt:i4>4718604</vt:i4>
      </vt:variant>
      <vt:variant>
        <vt:i4>6</vt:i4>
      </vt:variant>
      <vt:variant>
        <vt:i4>0</vt:i4>
      </vt:variant>
      <vt:variant>
        <vt:i4>5</vt:i4>
      </vt:variant>
      <vt:variant>
        <vt:lpwstr>https://www.foxmandal.in/anatomy-of-risks-in-ppp-projects-in-india-and-how-to-mitigate-them/</vt:lpwstr>
      </vt:variant>
      <vt:variant>
        <vt:lpwstr/>
      </vt:variant>
      <vt:variant>
        <vt:i4>3014771</vt:i4>
      </vt:variant>
      <vt:variant>
        <vt:i4>3</vt:i4>
      </vt:variant>
      <vt:variant>
        <vt:i4>0</vt:i4>
      </vt:variant>
      <vt:variant>
        <vt:i4>5</vt:i4>
      </vt:variant>
      <vt:variant>
        <vt:lpwstr>https://www.tandfonline.com/doi/full/10.1080/15309576.2020.1741406</vt:lpwstr>
      </vt:variant>
      <vt:variant>
        <vt:lpwstr>abstract</vt:lpwstr>
      </vt:variant>
      <vt:variant>
        <vt:i4>2031701</vt:i4>
      </vt:variant>
      <vt:variant>
        <vt:i4>0</vt:i4>
      </vt:variant>
      <vt:variant>
        <vt:i4>0</vt:i4>
      </vt:variant>
      <vt:variant>
        <vt:i4>5</vt:i4>
      </vt:variant>
      <vt:variant>
        <vt:lpwstr>https://likumi.lv/ta/en/en/id/194597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Liepa</dc:creator>
  <cp:keywords/>
  <dc:description/>
  <cp:lastModifiedBy>Ritvars Timermanis</cp:lastModifiedBy>
  <cp:revision>51</cp:revision>
  <cp:lastPrinted>2023-10-12T02:29:00Z</cp:lastPrinted>
  <dcterms:created xsi:type="dcterms:W3CDTF">2025-08-05T18:41:00Z</dcterms:created>
  <dcterms:modified xsi:type="dcterms:W3CDTF">2025-09-17T12:30:00Z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0x0101002B75A837DF00024DBC7481451BD525B2</vt:lpwstr>
  </property>
  <property fmtid="{D5CDD505-2E9C-101B-9397-08002B2CF9AE}" pid="3" name="MediaServiceImageTags">
    <vt:lpwstr/>
  </property>
  <property fmtid="{D5CDD505-2E9C-101B-9397-08002B2CF9AE}" pid="4" name="docLang">
    <vt:lpwstr>en</vt:lpwstr>
  </property>
</Properties>
</file>