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917E" w14:textId="7B2AC8CE" w:rsidR="000B7AE2" w:rsidRPr="000B7AE2" w:rsidRDefault="49440399" w:rsidP="006D3156">
      <w:pPr>
        <w:keepNext/>
        <w:keepLines/>
        <w:spacing w:after="0" w:line="240" w:lineRule="auto"/>
        <w:jc w:val="right"/>
        <w:outlineLvl w:val="0"/>
        <w:rPr>
          <w:rFonts w:ascii="Aptos" w:eastAsiaTheme="majorEastAsia" w:hAnsi="Aptos" w:cs="Times New Roman"/>
        </w:rPr>
      </w:pPr>
      <w:bookmarkStart w:id="0" w:name="_Toc327796441"/>
      <w:bookmarkStart w:id="1" w:name="_Toc327799675"/>
      <w:bookmarkStart w:id="2" w:name="_Toc327799710"/>
      <w:bookmarkStart w:id="3" w:name="_Toc327800677"/>
      <w:bookmarkStart w:id="4" w:name="_Toc457378689"/>
      <w:r w:rsidRPr="45C0CFF5">
        <w:rPr>
          <w:rFonts w:ascii="Aptos" w:eastAsiaTheme="majorEastAsia" w:hAnsi="Aptos" w:cs="Times New Roman"/>
        </w:rPr>
        <w:t>9</w:t>
      </w:r>
      <w:r w:rsidR="000B7AE2" w:rsidRPr="45C0CFF5">
        <w:rPr>
          <w:rFonts w:ascii="Aptos" w:eastAsiaTheme="majorEastAsia" w:hAnsi="Aptos" w:cs="Times New Roman"/>
        </w:rPr>
        <w:t>.</w:t>
      </w:r>
      <w:r w:rsidR="00AB2182">
        <w:rPr>
          <w:rFonts w:ascii="Aptos" w:eastAsiaTheme="majorEastAsia" w:hAnsi="Aptos" w:cs="Times New Roman"/>
        </w:rPr>
        <w:t> </w:t>
      </w:r>
      <w:r w:rsidR="000B7AE2" w:rsidRPr="45C0CFF5">
        <w:rPr>
          <w:rFonts w:ascii="Aptos" w:eastAsiaTheme="majorEastAsia" w:hAnsi="Aptos" w:cs="Times New Roman"/>
        </w:rPr>
        <w:t>pielikums</w:t>
      </w:r>
    </w:p>
    <w:p w14:paraId="500E58CD" w14:textId="77777777" w:rsidR="000B7AE2" w:rsidRPr="000B7AE2" w:rsidRDefault="000B7AE2" w:rsidP="006D3156">
      <w:pPr>
        <w:keepNext/>
        <w:keepLines/>
        <w:spacing w:after="0" w:line="240" w:lineRule="auto"/>
        <w:jc w:val="right"/>
        <w:outlineLvl w:val="0"/>
        <w:rPr>
          <w:rFonts w:ascii="Aptos" w:eastAsiaTheme="majorEastAsia" w:hAnsi="Aptos" w:cs="Times New Roman"/>
          <w:szCs w:val="24"/>
        </w:rPr>
      </w:pPr>
      <w:r w:rsidRPr="000B7AE2">
        <w:rPr>
          <w:rFonts w:ascii="Aptos" w:eastAsiaTheme="majorEastAsia" w:hAnsi="Aptos" w:cs="Times New Roman"/>
          <w:szCs w:val="24"/>
        </w:rPr>
        <w:t>atlases nolikumam</w:t>
      </w:r>
    </w:p>
    <w:p w14:paraId="65B8CD4F" w14:textId="77777777" w:rsidR="000C7F72" w:rsidRPr="004A4F9E" w:rsidRDefault="000C7F72" w:rsidP="00F015C4">
      <w:pPr>
        <w:keepNext/>
        <w:keepLines/>
        <w:spacing w:before="120" w:after="0" w:line="276" w:lineRule="auto"/>
        <w:outlineLvl w:val="0"/>
        <w:rPr>
          <w:rFonts w:ascii="Aptos" w:eastAsiaTheme="majorEastAsia" w:hAnsi="Aptos" w:cs="Times New Roman"/>
          <w:b/>
          <w:bCs/>
          <w:sz w:val="28"/>
          <w:szCs w:val="28"/>
        </w:rPr>
      </w:pPr>
    </w:p>
    <w:p w14:paraId="7DA94EED" w14:textId="527A5484" w:rsidR="006B644F" w:rsidRPr="004A4F9E" w:rsidRDefault="00D5187C" w:rsidP="5AC36674">
      <w:pPr>
        <w:keepNext/>
        <w:keepLines/>
        <w:spacing w:after="0" w:line="276" w:lineRule="auto"/>
        <w:jc w:val="center"/>
        <w:outlineLvl w:val="0"/>
        <w:rPr>
          <w:rFonts w:ascii="Aptos" w:eastAsiaTheme="majorEastAsia" w:hAnsi="Aptos" w:cs="Times New Roman"/>
          <w:b/>
          <w:bCs/>
          <w:sz w:val="28"/>
          <w:szCs w:val="28"/>
        </w:rPr>
      </w:pPr>
      <w:r w:rsidRPr="5AC36674">
        <w:rPr>
          <w:rFonts w:ascii="Aptos" w:eastAsiaTheme="majorEastAsia" w:hAnsi="Aptos" w:cs="Times New Roman"/>
          <w:b/>
          <w:bCs/>
          <w:sz w:val="28"/>
          <w:szCs w:val="28"/>
        </w:rPr>
        <w:t>P</w:t>
      </w:r>
      <w:r w:rsidR="006B644F" w:rsidRPr="5AC36674">
        <w:rPr>
          <w:rFonts w:ascii="Aptos" w:eastAsiaTheme="majorEastAsia" w:hAnsi="Aptos" w:cs="Times New Roman"/>
          <w:b/>
          <w:bCs/>
          <w:sz w:val="28"/>
          <w:szCs w:val="28"/>
        </w:rPr>
        <w:t>rojektu iesniegumu v</w:t>
      </w:r>
      <w:r w:rsidR="00ED7EE2" w:rsidRPr="5AC36674">
        <w:rPr>
          <w:rFonts w:ascii="Aptos" w:eastAsiaTheme="majorEastAsia" w:hAnsi="Aptos" w:cs="Times New Roman"/>
          <w:b/>
          <w:bCs/>
          <w:sz w:val="28"/>
          <w:szCs w:val="28"/>
        </w:rPr>
        <w:t>ē</w:t>
      </w:r>
      <w:r w:rsidR="006B644F" w:rsidRPr="5AC36674">
        <w:rPr>
          <w:rFonts w:ascii="Aptos" w:eastAsiaTheme="majorEastAsia" w:hAnsi="Aptos" w:cs="Times New Roman"/>
          <w:b/>
          <w:bCs/>
          <w:sz w:val="28"/>
          <w:szCs w:val="28"/>
        </w:rPr>
        <w:t xml:space="preserve">rtēšanai nepieciešamo </w:t>
      </w:r>
    </w:p>
    <w:p w14:paraId="068773BF" w14:textId="44F11E64" w:rsidR="006B644F" w:rsidRPr="005D775F" w:rsidRDefault="006B644F" w:rsidP="005D775F">
      <w:pPr>
        <w:keepNext/>
        <w:keepLines/>
        <w:spacing w:after="0" w:line="276" w:lineRule="auto"/>
        <w:jc w:val="center"/>
        <w:outlineLvl w:val="0"/>
        <w:rPr>
          <w:rFonts w:ascii="Aptos" w:eastAsiaTheme="majorEastAsia" w:hAnsi="Aptos" w:cs="Times New Roman"/>
          <w:b/>
          <w:bCs/>
          <w:sz w:val="28"/>
          <w:szCs w:val="28"/>
        </w:rPr>
      </w:pPr>
      <w:r w:rsidRPr="5AC36674">
        <w:rPr>
          <w:rFonts w:ascii="Aptos" w:eastAsiaTheme="majorEastAsia" w:hAnsi="Aptos" w:cs="Times New Roman"/>
          <w:b/>
          <w:bCs/>
          <w:sz w:val="28"/>
          <w:szCs w:val="28"/>
        </w:rPr>
        <w:t>e</w:t>
      </w:r>
      <w:r w:rsidR="00C00A98" w:rsidRPr="5AC36674">
        <w:rPr>
          <w:rFonts w:ascii="Aptos" w:eastAsiaTheme="majorEastAsia" w:hAnsi="Aptos" w:cs="Times New Roman"/>
          <w:b/>
          <w:bCs/>
          <w:sz w:val="28"/>
          <w:szCs w:val="28"/>
        </w:rPr>
        <w:t xml:space="preserve">kspertu </w:t>
      </w:r>
      <w:bookmarkEnd w:id="0"/>
      <w:bookmarkEnd w:id="1"/>
      <w:bookmarkEnd w:id="2"/>
      <w:bookmarkEnd w:id="3"/>
      <w:bookmarkEnd w:id="4"/>
      <w:r w:rsidR="0052404F" w:rsidRPr="5AC36674">
        <w:rPr>
          <w:rFonts w:ascii="Aptos" w:eastAsiaTheme="majorEastAsia" w:hAnsi="Aptos" w:cs="Times New Roman"/>
          <w:b/>
          <w:bCs/>
          <w:sz w:val="28"/>
          <w:szCs w:val="28"/>
        </w:rPr>
        <w:t>atlase</w:t>
      </w:r>
      <w:r w:rsidR="0099533E">
        <w:rPr>
          <w:rFonts w:ascii="Aptos" w:eastAsiaTheme="majorEastAsia" w:hAnsi="Aptos" w:cs="Times New Roman"/>
          <w:b/>
          <w:bCs/>
          <w:sz w:val="28"/>
          <w:szCs w:val="28"/>
        </w:rPr>
        <w:t xml:space="preserve"> un </w:t>
      </w:r>
      <w:r w:rsidR="00253AE3">
        <w:rPr>
          <w:rFonts w:ascii="Aptos" w:eastAsiaTheme="majorEastAsia" w:hAnsi="Aptos" w:cs="Times New Roman"/>
          <w:b/>
          <w:bCs/>
          <w:sz w:val="28"/>
          <w:szCs w:val="28"/>
        </w:rPr>
        <w:t xml:space="preserve">sadarbības </w:t>
      </w:r>
      <w:r w:rsidR="0099533E">
        <w:rPr>
          <w:rFonts w:ascii="Aptos" w:eastAsiaTheme="majorEastAsia" w:hAnsi="Aptos" w:cs="Times New Roman"/>
          <w:b/>
          <w:bCs/>
          <w:sz w:val="28"/>
          <w:szCs w:val="28"/>
        </w:rPr>
        <w:t>ar ekspertiem kārtība</w:t>
      </w:r>
    </w:p>
    <w:p w14:paraId="072FF563" w14:textId="77777777" w:rsidR="006B644F" w:rsidRPr="00FA1417" w:rsidRDefault="006B644F" w:rsidP="008A2726">
      <w:pPr>
        <w:pStyle w:val="ListParagraph"/>
        <w:keepNext/>
        <w:keepLines/>
        <w:spacing w:after="0" w:line="276" w:lineRule="auto"/>
        <w:ind w:left="1080"/>
        <w:outlineLvl w:val="0"/>
        <w:rPr>
          <w:rFonts w:ascii="Aptos" w:eastAsiaTheme="majorEastAsia" w:hAnsi="Aptos" w:cs="Times New Roman"/>
          <w:b/>
          <w:bCs/>
          <w:sz w:val="22"/>
        </w:rPr>
      </w:pPr>
    </w:p>
    <w:p w14:paraId="2A7E1E12" w14:textId="1E83F931" w:rsidR="00F33D4C" w:rsidRPr="00F015C4" w:rsidRDefault="0001530B" w:rsidP="15FC3E5A">
      <w:pPr>
        <w:spacing w:after="0" w:line="276" w:lineRule="auto"/>
        <w:ind w:left="360"/>
        <w:jc w:val="both"/>
        <w:rPr>
          <w:rFonts w:ascii="Aptos" w:eastAsiaTheme="minorEastAsia" w:hAnsi="Aptos" w:cs="Times New Roman"/>
          <w:szCs w:val="24"/>
        </w:rPr>
      </w:pPr>
      <w:r w:rsidRPr="00F015C4">
        <w:rPr>
          <w:rFonts w:ascii="Aptos" w:eastAsiaTheme="minorEastAsia" w:hAnsi="Aptos" w:cs="Times New Roman"/>
          <w:szCs w:val="24"/>
        </w:rPr>
        <w:t xml:space="preserve">Lai nodrošinātu Eiropas Savienības </w:t>
      </w:r>
      <w:r w:rsidR="009F3774" w:rsidRPr="00F015C4">
        <w:rPr>
          <w:rFonts w:ascii="Aptos" w:eastAsiaTheme="minorEastAsia" w:hAnsi="Aptos" w:cs="Times New Roman"/>
          <w:szCs w:val="24"/>
        </w:rPr>
        <w:t>k</w:t>
      </w:r>
      <w:r w:rsidRPr="00F015C4">
        <w:rPr>
          <w:rFonts w:ascii="Aptos" w:eastAsiaTheme="minorEastAsia" w:hAnsi="Aptos" w:cs="Times New Roman"/>
          <w:szCs w:val="24"/>
        </w:rPr>
        <w:t>ohēzijas politikas programmas 2021.–2027.</w:t>
      </w:r>
      <w:r w:rsidRPr="00F015C4">
        <w:rPr>
          <w:rFonts w:ascii="Arial" w:eastAsiaTheme="minorEastAsia" w:hAnsi="Arial" w:cs="Arial"/>
          <w:szCs w:val="24"/>
        </w:rPr>
        <w:t> </w:t>
      </w:r>
      <w:r w:rsidRPr="00F015C4">
        <w:rPr>
          <w:rFonts w:ascii="Aptos" w:eastAsiaTheme="minorEastAsia" w:hAnsi="Aptos" w:cs="Times New Roman"/>
          <w:szCs w:val="24"/>
        </w:rPr>
        <w:t>gadam 4.2.4.</w:t>
      </w:r>
      <w:r w:rsidRPr="00F015C4">
        <w:rPr>
          <w:rFonts w:ascii="Arial" w:eastAsiaTheme="minorEastAsia" w:hAnsi="Arial" w:cs="Arial"/>
          <w:szCs w:val="24"/>
        </w:rPr>
        <w:t> </w:t>
      </w:r>
      <w:r w:rsidRPr="00F015C4">
        <w:rPr>
          <w:rFonts w:ascii="Aptos" w:eastAsiaTheme="minorEastAsia" w:hAnsi="Aptos" w:cs="Times New Roman"/>
          <w:szCs w:val="24"/>
        </w:rPr>
        <w:t>specifisk</w:t>
      </w:r>
      <w:r w:rsidRPr="00F015C4">
        <w:rPr>
          <w:rFonts w:ascii="Aptos" w:eastAsiaTheme="minorEastAsia" w:hAnsi="Aptos" w:cs="Aptos"/>
          <w:szCs w:val="24"/>
        </w:rPr>
        <w:t>ā</w:t>
      </w:r>
      <w:r w:rsidRPr="00F015C4">
        <w:rPr>
          <w:rFonts w:ascii="Aptos" w:eastAsiaTheme="minorEastAsia" w:hAnsi="Aptos" w:cs="Times New Roman"/>
          <w:szCs w:val="24"/>
        </w:rPr>
        <w:t xml:space="preserve"> atbalsta m</w:t>
      </w:r>
      <w:r w:rsidRPr="00F015C4">
        <w:rPr>
          <w:rFonts w:ascii="Aptos" w:eastAsiaTheme="minorEastAsia" w:hAnsi="Aptos" w:cs="Aptos"/>
          <w:szCs w:val="24"/>
        </w:rPr>
        <w:t>ē</w:t>
      </w:r>
      <w:r w:rsidRPr="00F015C4">
        <w:rPr>
          <w:rFonts w:ascii="Aptos" w:eastAsiaTheme="minorEastAsia" w:hAnsi="Aptos" w:cs="Times New Roman"/>
          <w:szCs w:val="24"/>
        </w:rPr>
        <w:t>r</w:t>
      </w:r>
      <w:r w:rsidRPr="00F015C4">
        <w:rPr>
          <w:rFonts w:ascii="Aptos" w:eastAsiaTheme="minorEastAsia" w:hAnsi="Aptos" w:cs="Aptos"/>
          <w:szCs w:val="24"/>
        </w:rPr>
        <w:t>ķ</w:t>
      </w:r>
      <w:r w:rsidRPr="00F015C4">
        <w:rPr>
          <w:rFonts w:ascii="Aptos" w:eastAsiaTheme="minorEastAsia" w:hAnsi="Aptos" w:cs="Times New Roman"/>
          <w:szCs w:val="24"/>
        </w:rPr>
        <w:t xml:space="preserve">a </w:t>
      </w:r>
      <w:r w:rsidRPr="00F015C4">
        <w:rPr>
          <w:rFonts w:ascii="Aptos" w:eastAsiaTheme="minorEastAsia" w:hAnsi="Aptos" w:cs="Aptos"/>
          <w:szCs w:val="24"/>
        </w:rPr>
        <w:t>“</w:t>
      </w:r>
      <w:r w:rsidRPr="00F015C4">
        <w:rPr>
          <w:rFonts w:ascii="Aptos" w:eastAsiaTheme="minorEastAsia" w:hAnsi="Aptos" w:cs="Times New Roman"/>
          <w:szCs w:val="24"/>
        </w:rPr>
        <w:t>Veicin</w:t>
      </w:r>
      <w:r w:rsidRPr="00F015C4">
        <w:rPr>
          <w:rFonts w:ascii="Aptos" w:eastAsiaTheme="minorEastAsia" w:hAnsi="Aptos" w:cs="Aptos"/>
          <w:szCs w:val="24"/>
        </w:rPr>
        <w:t>ā</w:t>
      </w:r>
      <w:r w:rsidRPr="00F015C4">
        <w:rPr>
          <w:rFonts w:ascii="Aptos" w:eastAsiaTheme="minorEastAsia" w:hAnsi="Aptos" w:cs="Times New Roman"/>
          <w:szCs w:val="24"/>
        </w:rPr>
        <w:t>t m</w:t>
      </w:r>
      <w:r w:rsidRPr="00F015C4">
        <w:rPr>
          <w:rFonts w:ascii="Aptos" w:eastAsiaTheme="minorEastAsia" w:hAnsi="Aptos" w:cs="Aptos"/>
          <w:szCs w:val="24"/>
        </w:rPr>
        <w:t>ūž</w:t>
      </w:r>
      <w:r w:rsidRPr="00F015C4">
        <w:rPr>
          <w:rFonts w:ascii="Aptos" w:eastAsiaTheme="minorEastAsia" w:hAnsi="Aptos" w:cs="Times New Roman"/>
          <w:szCs w:val="24"/>
        </w:rPr>
        <w:t>izgl</w:t>
      </w:r>
      <w:r w:rsidRPr="00F015C4">
        <w:rPr>
          <w:rFonts w:ascii="Aptos" w:eastAsiaTheme="minorEastAsia" w:hAnsi="Aptos" w:cs="Aptos"/>
          <w:szCs w:val="24"/>
        </w:rPr>
        <w:t>ī</w:t>
      </w:r>
      <w:r w:rsidRPr="00F015C4">
        <w:rPr>
          <w:rFonts w:ascii="Aptos" w:eastAsiaTheme="minorEastAsia" w:hAnsi="Aptos" w:cs="Times New Roman"/>
          <w:szCs w:val="24"/>
        </w:rPr>
        <w:t>t</w:t>
      </w:r>
      <w:r w:rsidRPr="00F015C4">
        <w:rPr>
          <w:rFonts w:ascii="Aptos" w:eastAsiaTheme="minorEastAsia" w:hAnsi="Aptos" w:cs="Aptos"/>
          <w:szCs w:val="24"/>
        </w:rPr>
        <w:t>ī</w:t>
      </w:r>
      <w:r w:rsidRPr="00F015C4">
        <w:rPr>
          <w:rFonts w:ascii="Aptos" w:eastAsiaTheme="minorEastAsia" w:hAnsi="Aptos" w:cs="Times New Roman"/>
          <w:szCs w:val="24"/>
        </w:rPr>
        <w:t xml:space="preserve">bu, jo </w:t>
      </w:r>
      <w:r w:rsidRPr="00F015C4">
        <w:rPr>
          <w:rFonts w:ascii="Aptos" w:eastAsiaTheme="minorEastAsia" w:hAnsi="Aptos" w:cs="Aptos"/>
          <w:szCs w:val="24"/>
        </w:rPr>
        <w:t>ī</w:t>
      </w:r>
      <w:r w:rsidRPr="00F015C4">
        <w:rPr>
          <w:rFonts w:ascii="Aptos" w:eastAsiaTheme="minorEastAsia" w:hAnsi="Aptos" w:cs="Times New Roman"/>
          <w:szCs w:val="24"/>
        </w:rPr>
        <w:t>pa</w:t>
      </w:r>
      <w:r w:rsidRPr="00F015C4">
        <w:rPr>
          <w:rFonts w:ascii="Aptos" w:eastAsiaTheme="minorEastAsia" w:hAnsi="Aptos" w:cs="Aptos"/>
          <w:szCs w:val="24"/>
        </w:rPr>
        <w:t>š</w:t>
      </w:r>
      <w:r w:rsidRPr="00F015C4">
        <w:rPr>
          <w:rFonts w:ascii="Aptos" w:eastAsiaTheme="minorEastAsia" w:hAnsi="Aptos" w:cs="Times New Roman"/>
          <w:szCs w:val="24"/>
        </w:rPr>
        <w:t>i paredzot elast</w:t>
      </w:r>
      <w:r w:rsidRPr="00F015C4">
        <w:rPr>
          <w:rFonts w:ascii="Aptos" w:eastAsiaTheme="minorEastAsia" w:hAnsi="Aptos" w:cs="Aptos"/>
          <w:szCs w:val="24"/>
        </w:rPr>
        <w:t>ī</w:t>
      </w:r>
      <w:r w:rsidRPr="00F015C4">
        <w:rPr>
          <w:rFonts w:ascii="Aptos" w:eastAsiaTheme="minorEastAsia" w:hAnsi="Aptos" w:cs="Times New Roman"/>
          <w:szCs w:val="24"/>
        </w:rPr>
        <w:t>gas kvalifik</w:t>
      </w:r>
      <w:r w:rsidRPr="00F015C4">
        <w:rPr>
          <w:rFonts w:ascii="Aptos" w:eastAsiaTheme="minorEastAsia" w:hAnsi="Aptos" w:cs="Aptos"/>
          <w:szCs w:val="24"/>
        </w:rPr>
        <w:t>ā</w:t>
      </w:r>
      <w:r w:rsidRPr="00F015C4">
        <w:rPr>
          <w:rFonts w:ascii="Aptos" w:eastAsiaTheme="minorEastAsia" w:hAnsi="Aptos" w:cs="Times New Roman"/>
          <w:szCs w:val="24"/>
        </w:rPr>
        <w:t>cijas paaugstin</w:t>
      </w:r>
      <w:r w:rsidRPr="00F015C4">
        <w:rPr>
          <w:rFonts w:ascii="Aptos" w:eastAsiaTheme="minorEastAsia" w:hAnsi="Aptos" w:cs="Aptos"/>
          <w:szCs w:val="24"/>
        </w:rPr>
        <w:t>āš</w:t>
      </w:r>
      <w:r w:rsidRPr="00F015C4">
        <w:rPr>
          <w:rFonts w:ascii="Aptos" w:eastAsiaTheme="minorEastAsia" w:hAnsi="Aptos" w:cs="Times New Roman"/>
          <w:szCs w:val="24"/>
        </w:rPr>
        <w:t>anas un p</w:t>
      </w:r>
      <w:r w:rsidRPr="00F015C4">
        <w:rPr>
          <w:rFonts w:ascii="Aptos" w:eastAsiaTheme="minorEastAsia" w:hAnsi="Aptos" w:cs="Aptos"/>
          <w:szCs w:val="24"/>
        </w:rPr>
        <w:t>ā</w:t>
      </w:r>
      <w:r w:rsidRPr="00F015C4">
        <w:rPr>
          <w:rFonts w:ascii="Aptos" w:eastAsiaTheme="minorEastAsia" w:hAnsi="Aptos" w:cs="Times New Roman"/>
          <w:szCs w:val="24"/>
        </w:rPr>
        <w:t>rkvalific</w:t>
      </w:r>
      <w:r w:rsidRPr="00F015C4">
        <w:rPr>
          <w:rFonts w:ascii="Aptos" w:eastAsiaTheme="minorEastAsia" w:hAnsi="Aptos" w:cs="Aptos"/>
          <w:szCs w:val="24"/>
        </w:rPr>
        <w:t>ēš</w:t>
      </w:r>
      <w:r w:rsidRPr="00F015C4">
        <w:rPr>
          <w:rFonts w:ascii="Aptos" w:eastAsiaTheme="minorEastAsia" w:hAnsi="Aptos" w:cs="Times New Roman"/>
          <w:szCs w:val="24"/>
        </w:rPr>
        <w:t>an</w:t>
      </w:r>
      <w:r w:rsidRPr="00F015C4">
        <w:rPr>
          <w:rFonts w:ascii="Aptos" w:eastAsiaTheme="minorEastAsia" w:hAnsi="Aptos" w:cs="Aptos"/>
          <w:szCs w:val="24"/>
        </w:rPr>
        <w:t>ā</w:t>
      </w:r>
      <w:r w:rsidRPr="00F015C4">
        <w:rPr>
          <w:rFonts w:ascii="Aptos" w:eastAsiaTheme="minorEastAsia" w:hAnsi="Aptos" w:cs="Times New Roman"/>
          <w:szCs w:val="24"/>
        </w:rPr>
        <w:t>s iesp</w:t>
      </w:r>
      <w:r w:rsidRPr="00F015C4">
        <w:rPr>
          <w:rFonts w:ascii="Aptos" w:eastAsiaTheme="minorEastAsia" w:hAnsi="Aptos" w:cs="Aptos"/>
          <w:szCs w:val="24"/>
        </w:rPr>
        <w:t>ē</w:t>
      </w:r>
      <w:r w:rsidRPr="00F015C4">
        <w:rPr>
          <w:rFonts w:ascii="Aptos" w:eastAsiaTheme="minorEastAsia" w:hAnsi="Aptos" w:cs="Times New Roman"/>
          <w:szCs w:val="24"/>
        </w:rPr>
        <w:t xml:space="preserve">jas visiem, </w:t>
      </w:r>
      <w:r w:rsidRPr="00F015C4">
        <w:rPr>
          <w:rFonts w:ascii="Aptos" w:eastAsiaTheme="minorEastAsia" w:hAnsi="Aptos" w:cs="Aptos"/>
          <w:szCs w:val="24"/>
        </w:rPr>
        <w:t>ņ</w:t>
      </w:r>
      <w:r w:rsidRPr="00F015C4">
        <w:rPr>
          <w:rFonts w:ascii="Aptos" w:eastAsiaTheme="minorEastAsia" w:hAnsi="Aptos" w:cs="Times New Roman"/>
          <w:szCs w:val="24"/>
        </w:rPr>
        <w:t>emot v</w:t>
      </w:r>
      <w:r w:rsidRPr="00F015C4">
        <w:rPr>
          <w:rFonts w:ascii="Aptos" w:eastAsiaTheme="minorEastAsia" w:hAnsi="Aptos" w:cs="Aptos"/>
          <w:szCs w:val="24"/>
        </w:rPr>
        <w:t>ē</w:t>
      </w:r>
      <w:r w:rsidRPr="00F015C4">
        <w:rPr>
          <w:rFonts w:ascii="Aptos" w:eastAsiaTheme="minorEastAsia" w:hAnsi="Aptos" w:cs="Times New Roman"/>
          <w:szCs w:val="24"/>
        </w:rPr>
        <w:t>r</w:t>
      </w:r>
      <w:r w:rsidRPr="00F015C4">
        <w:rPr>
          <w:rFonts w:ascii="Aptos" w:eastAsiaTheme="minorEastAsia" w:hAnsi="Aptos" w:cs="Aptos"/>
          <w:szCs w:val="24"/>
        </w:rPr>
        <w:t>ā</w:t>
      </w:r>
      <w:r w:rsidRPr="00F015C4">
        <w:rPr>
          <w:rFonts w:ascii="Aptos" w:eastAsiaTheme="minorEastAsia" w:hAnsi="Aptos" w:cs="Times New Roman"/>
          <w:szCs w:val="24"/>
        </w:rPr>
        <w:t xml:space="preserve"> digit</w:t>
      </w:r>
      <w:r w:rsidRPr="00F015C4">
        <w:rPr>
          <w:rFonts w:ascii="Aptos" w:eastAsiaTheme="minorEastAsia" w:hAnsi="Aptos" w:cs="Aptos"/>
          <w:szCs w:val="24"/>
        </w:rPr>
        <w:t>ā</w:t>
      </w:r>
      <w:r w:rsidRPr="00F015C4">
        <w:rPr>
          <w:rFonts w:ascii="Aptos" w:eastAsiaTheme="minorEastAsia" w:hAnsi="Aptos" w:cs="Times New Roman"/>
          <w:szCs w:val="24"/>
        </w:rPr>
        <w:t>l</w:t>
      </w:r>
      <w:r w:rsidRPr="00F015C4">
        <w:rPr>
          <w:rFonts w:ascii="Aptos" w:eastAsiaTheme="minorEastAsia" w:hAnsi="Aptos" w:cs="Aptos"/>
          <w:szCs w:val="24"/>
        </w:rPr>
        <w:t>ā</w:t>
      </w:r>
      <w:r w:rsidRPr="00F015C4">
        <w:rPr>
          <w:rFonts w:ascii="Aptos" w:eastAsiaTheme="minorEastAsia" w:hAnsi="Aptos" w:cs="Times New Roman"/>
          <w:szCs w:val="24"/>
        </w:rPr>
        <w:t>s prasmes, lab</w:t>
      </w:r>
      <w:r w:rsidRPr="00F015C4">
        <w:rPr>
          <w:rFonts w:ascii="Aptos" w:eastAsiaTheme="minorEastAsia" w:hAnsi="Aptos" w:cs="Aptos"/>
          <w:szCs w:val="24"/>
        </w:rPr>
        <w:t>ā</w:t>
      </w:r>
      <w:r w:rsidRPr="00F015C4">
        <w:rPr>
          <w:rFonts w:ascii="Aptos" w:eastAsiaTheme="minorEastAsia" w:hAnsi="Aptos" w:cs="Times New Roman"/>
          <w:szCs w:val="24"/>
        </w:rPr>
        <w:t>k paredzot p</w:t>
      </w:r>
      <w:r w:rsidRPr="00F015C4">
        <w:rPr>
          <w:rFonts w:ascii="Aptos" w:eastAsiaTheme="minorEastAsia" w:hAnsi="Aptos" w:cs="Aptos"/>
          <w:szCs w:val="24"/>
        </w:rPr>
        <w:t>ā</w:t>
      </w:r>
      <w:r w:rsidRPr="00F015C4">
        <w:rPr>
          <w:rFonts w:ascii="Aptos" w:eastAsiaTheme="minorEastAsia" w:hAnsi="Aptos" w:cs="Times New Roman"/>
          <w:szCs w:val="24"/>
        </w:rPr>
        <w:t>rmai</w:t>
      </w:r>
      <w:r w:rsidRPr="00F015C4">
        <w:rPr>
          <w:rFonts w:ascii="Aptos" w:eastAsiaTheme="minorEastAsia" w:hAnsi="Aptos" w:cs="Aptos"/>
          <w:szCs w:val="24"/>
        </w:rPr>
        <w:t>ņ</w:t>
      </w:r>
      <w:r w:rsidRPr="00F015C4">
        <w:rPr>
          <w:rFonts w:ascii="Aptos" w:eastAsiaTheme="minorEastAsia" w:hAnsi="Aptos" w:cs="Times New Roman"/>
          <w:szCs w:val="24"/>
        </w:rPr>
        <w:t>as un jaunas pras</w:t>
      </w:r>
      <w:r w:rsidRPr="00F015C4">
        <w:rPr>
          <w:rFonts w:ascii="Aptos" w:eastAsiaTheme="minorEastAsia" w:hAnsi="Aptos" w:cs="Aptos"/>
          <w:szCs w:val="24"/>
        </w:rPr>
        <w:t>ī</w:t>
      </w:r>
      <w:r w:rsidRPr="00F015C4">
        <w:rPr>
          <w:rFonts w:ascii="Aptos" w:eastAsiaTheme="minorEastAsia" w:hAnsi="Aptos" w:cs="Times New Roman"/>
          <w:szCs w:val="24"/>
        </w:rPr>
        <w:t>bas p</w:t>
      </w:r>
      <w:r w:rsidRPr="00F015C4">
        <w:rPr>
          <w:rFonts w:ascii="Aptos" w:eastAsiaTheme="minorEastAsia" w:hAnsi="Aptos" w:cs="Aptos"/>
          <w:szCs w:val="24"/>
        </w:rPr>
        <w:t>ē</w:t>
      </w:r>
      <w:r w:rsidRPr="00F015C4">
        <w:rPr>
          <w:rFonts w:ascii="Aptos" w:eastAsiaTheme="minorEastAsia" w:hAnsi="Aptos" w:cs="Times New Roman"/>
          <w:szCs w:val="24"/>
        </w:rPr>
        <w:t>c prasm</w:t>
      </w:r>
      <w:r w:rsidRPr="00F015C4">
        <w:rPr>
          <w:rFonts w:ascii="Aptos" w:eastAsiaTheme="minorEastAsia" w:hAnsi="Aptos" w:cs="Aptos"/>
          <w:szCs w:val="24"/>
        </w:rPr>
        <w:t>ē</w:t>
      </w:r>
      <w:r w:rsidRPr="00F015C4">
        <w:rPr>
          <w:rFonts w:ascii="Aptos" w:eastAsiaTheme="minorEastAsia" w:hAnsi="Aptos" w:cs="Times New Roman"/>
          <w:szCs w:val="24"/>
        </w:rPr>
        <w:t>m, kas balst</w:t>
      </w:r>
      <w:r w:rsidRPr="00F015C4">
        <w:rPr>
          <w:rFonts w:ascii="Aptos" w:eastAsiaTheme="minorEastAsia" w:hAnsi="Aptos" w:cs="Aptos"/>
          <w:szCs w:val="24"/>
        </w:rPr>
        <w:t>ī</w:t>
      </w:r>
      <w:r w:rsidRPr="00F015C4">
        <w:rPr>
          <w:rFonts w:ascii="Aptos" w:eastAsiaTheme="minorEastAsia" w:hAnsi="Aptos" w:cs="Times New Roman"/>
          <w:szCs w:val="24"/>
        </w:rPr>
        <w:t>tas  uz darba tirgus vajadz</w:t>
      </w:r>
      <w:r w:rsidRPr="00F015C4">
        <w:rPr>
          <w:rFonts w:ascii="Aptos" w:eastAsiaTheme="minorEastAsia" w:hAnsi="Aptos" w:cs="Aptos"/>
          <w:szCs w:val="24"/>
        </w:rPr>
        <w:t>ī</w:t>
      </w:r>
      <w:r w:rsidRPr="00F015C4">
        <w:rPr>
          <w:rFonts w:ascii="Aptos" w:eastAsiaTheme="minorEastAsia" w:hAnsi="Aptos" w:cs="Times New Roman"/>
          <w:szCs w:val="24"/>
        </w:rPr>
        <w:t>b</w:t>
      </w:r>
      <w:r w:rsidRPr="00F015C4">
        <w:rPr>
          <w:rFonts w:ascii="Aptos" w:eastAsiaTheme="minorEastAsia" w:hAnsi="Aptos" w:cs="Aptos"/>
          <w:szCs w:val="24"/>
        </w:rPr>
        <w:t>ā</w:t>
      </w:r>
      <w:r w:rsidRPr="00F015C4">
        <w:rPr>
          <w:rFonts w:ascii="Aptos" w:eastAsiaTheme="minorEastAsia" w:hAnsi="Aptos" w:cs="Times New Roman"/>
          <w:szCs w:val="24"/>
        </w:rPr>
        <w:t>m, atvieglojot karjeras mai</w:t>
      </w:r>
      <w:r w:rsidRPr="00F015C4">
        <w:rPr>
          <w:rFonts w:ascii="Aptos" w:eastAsiaTheme="minorEastAsia" w:hAnsi="Aptos" w:cs="Aptos"/>
          <w:szCs w:val="24"/>
        </w:rPr>
        <w:t>ņ</w:t>
      </w:r>
      <w:r w:rsidRPr="00F015C4">
        <w:rPr>
          <w:rFonts w:ascii="Aptos" w:eastAsiaTheme="minorEastAsia" w:hAnsi="Aptos" w:cs="Times New Roman"/>
          <w:szCs w:val="24"/>
        </w:rPr>
        <w:t>u un sekm</w:t>
      </w:r>
      <w:r w:rsidRPr="00F015C4">
        <w:rPr>
          <w:rFonts w:ascii="Aptos" w:eastAsiaTheme="minorEastAsia" w:hAnsi="Aptos" w:cs="Aptos"/>
          <w:szCs w:val="24"/>
        </w:rPr>
        <w:t>ē</w:t>
      </w:r>
      <w:r w:rsidRPr="00F015C4">
        <w:rPr>
          <w:rFonts w:ascii="Aptos" w:eastAsiaTheme="minorEastAsia" w:hAnsi="Aptos" w:cs="Times New Roman"/>
          <w:szCs w:val="24"/>
        </w:rPr>
        <w:t>jot profesion</w:t>
      </w:r>
      <w:r w:rsidRPr="00F015C4">
        <w:rPr>
          <w:rFonts w:ascii="Aptos" w:eastAsiaTheme="minorEastAsia" w:hAnsi="Aptos" w:cs="Aptos"/>
          <w:szCs w:val="24"/>
        </w:rPr>
        <w:t>ā</w:t>
      </w:r>
      <w:r w:rsidRPr="00F015C4">
        <w:rPr>
          <w:rFonts w:ascii="Aptos" w:eastAsiaTheme="minorEastAsia" w:hAnsi="Aptos" w:cs="Times New Roman"/>
          <w:szCs w:val="24"/>
        </w:rPr>
        <w:t>lo mobilit</w:t>
      </w:r>
      <w:r w:rsidRPr="00F015C4">
        <w:rPr>
          <w:rFonts w:ascii="Aptos" w:eastAsiaTheme="minorEastAsia" w:hAnsi="Aptos" w:cs="Aptos"/>
          <w:szCs w:val="24"/>
        </w:rPr>
        <w:t>ā</w:t>
      </w:r>
      <w:r w:rsidRPr="00F015C4">
        <w:rPr>
          <w:rFonts w:ascii="Aptos" w:eastAsiaTheme="minorEastAsia" w:hAnsi="Aptos" w:cs="Times New Roman"/>
          <w:szCs w:val="24"/>
        </w:rPr>
        <w:t>ti</w:t>
      </w:r>
      <w:r w:rsidRPr="00F015C4">
        <w:rPr>
          <w:rFonts w:ascii="Aptos" w:eastAsiaTheme="minorEastAsia" w:hAnsi="Aptos" w:cs="Aptos"/>
          <w:szCs w:val="24"/>
        </w:rPr>
        <w:t>”</w:t>
      </w:r>
      <w:r w:rsidRPr="00F015C4">
        <w:rPr>
          <w:rFonts w:ascii="Aptos" w:eastAsiaTheme="minorEastAsia" w:hAnsi="Aptos" w:cs="Times New Roman"/>
          <w:szCs w:val="24"/>
        </w:rPr>
        <w:t xml:space="preserve"> 4.2.4.1.</w:t>
      </w:r>
      <w:r w:rsidR="00AB2182">
        <w:rPr>
          <w:rFonts w:ascii="Aptos" w:eastAsiaTheme="minorEastAsia" w:hAnsi="Aptos" w:cs="Times New Roman"/>
          <w:szCs w:val="24"/>
        </w:rPr>
        <w:t> </w:t>
      </w:r>
      <w:r w:rsidRPr="00F015C4">
        <w:rPr>
          <w:rFonts w:ascii="Aptos" w:eastAsiaTheme="minorEastAsia" w:hAnsi="Aptos" w:cs="Times New Roman"/>
          <w:szCs w:val="24"/>
        </w:rPr>
        <w:t>pas</w:t>
      </w:r>
      <w:r w:rsidRPr="00F015C4">
        <w:rPr>
          <w:rFonts w:ascii="Aptos" w:eastAsiaTheme="minorEastAsia" w:hAnsi="Aptos" w:cs="Aptos"/>
          <w:szCs w:val="24"/>
        </w:rPr>
        <w:t>ā</w:t>
      </w:r>
      <w:r w:rsidRPr="00F015C4">
        <w:rPr>
          <w:rFonts w:ascii="Aptos" w:eastAsiaTheme="minorEastAsia" w:hAnsi="Aptos" w:cs="Times New Roman"/>
          <w:szCs w:val="24"/>
        </w:rPr>
        <w:t xml:space="preserve">kuma </w:t>
      </w:r>
      <w:r w:rsidRPr="00F015C4">
        <w:rPr>
          <w:rFonts w:ascii="Aptos" w:eastAsiaTheme="minorEastAsia" w:hAnsi="Aptos" w:cs="Aptos"/>
          <w:szCs w:val="24"/>
        </w:rPr>
        <w:t>“</w:t>
      </w:r>
      <w:r w:rsidRPr="00F015C4">
        <w:rPr>
          <w:rFonts w:ascii="Aptos" w:eastAsiaTheme="minorEastAsia" w:hAnsi="Aptos" w:cs="Times New Roman"/>
          <w:szCs w:val="24"/>
        </w:rPr>
        <w:t>Atbalsts nozaru vajadz</w:t>
      </w:r>
      <w:r w:rsidRPr="00F015C4">
        <w:rPr>
          <w:rFonts w:ascii="Aptos" w:eastAsiaTheme="minorEastAsia" w:hAnsi="Aptos" w:cs="Aptos"/>
          <w:szCs w:val="24"/>
        </w:rPr>
        <w:t>ī</w:t>
      </w:r>
      <w:r w:rsidRPr="00F015C4">
        <w:rPr>
          <w:rFonts w:ascii="Aptos" w:eastAsiaTheme="minorEastAsia" w:hAnsi="Aptos" w:cs="Times New Roman"/>
          <w:szCs w:val="24"/>
        </w:rPr>
        <w:t>b</w:t>
      </w:r>
      <w:r w:rsidRPr="00F015C4">
        <w:rPr>
          <w:rFonts w:ascii="Aptos" w:eastAsiaTheme="minorEastAsia" w:hAnsi="Aptos" w:cs="Aptos"/>
          <w:szCs w:val="24"/>
        </w:rPr>
        <w:t>ā</w:t>
      </w:r>
      <w:r w:rsidRPr="00F015C4">
        <w:rPr>
          <w:rFonts w:ascii="Aptos" w:eastAsiaTheme="minorEastAsia" w:hAnsi="Aptos" w:cs="Times New Roman"/>
          <w:szCs w:val="24"/>
        </w:rPr>
        <w:t>s balst</w:t>
      </w:r>
      <w:r w:rsidRPr="00F015C4">
        <w:rPr>
          <w:rFonts w:ascii="Aptos" w:eastAsiaTheme="minorEastAsia" w:hAnsi="Aptos" w:cs="Aptos"/>
          <w:szCs w:val="24"/>
        </w:rPr>
        <w:t>ī</w:t>
      </w:r>
      <w:r w:rsidRPr="00F015C4">
        <w:rPr>
          <w:rFonts w:ascii="Aptos" w:eastAsiaTheme="minorEastAsia" w:hAnsi="Aptos" w:cs="Times New Roman"/>
          <w:szCs w:val="24"/>
        </w:rPr>
        <w:t>tai pieaugu</w:t>
      </w:r>
      <w:r w:rsidRPr="00F015C4">
        <w:rPr>
          <w:rFonts w:ascii="Aptos" w:eastAsiaTheme="minorEastAsia" w:hAnsi="Aptos" w:cs="Aptos"/>
          <w:szCs w:val="24"/>
        </w:rPr>
        <w:t>š</w:t>
      </w:r>
      <w:r w:rsidRPr="00F015C4">
        <w:rPr>
          <w:rFonts w:ascii="Aptos" w:eastAsiaTheme="minorEastAsia" w:hAnsi="Aptos" w:cs="Times New Roman"/>
          <w:szCs w:val="24"/>
        </w:rPr>
        <w:t>o izgl</w:t>
      </w:r>
      <w:r w:rsidRPr="00F015C4">
        <w:rPr>
          <w:rFonts w:ascii="Aptos" w:eastAsiaTheme="minorEastAsia" w:hAnsi="Aptos" w:cs="Aptos"/>
          <w:szCs w:val="24"/>
        </w:rPr>
        <w:t>ī</w:t>
      </w:r>
      <w:r w:rsidRPr="00F015C4">
        <w:rPr>
          <w:rFonts w:ascii="Aptos" w:eastAsiaTheme="minorEastAsia" w:hAnsi="Aptos" w:cs="Times New Roman"/>
          <w:szCs w:val="24"/>
        </w:rPr>
        <w:t>t</w:t>
      </w:r>
      <w:r w:rsidRPr="00F015C4">
        <w:rPr>
          <w:rFonts w:ascii="Aptos" w:eastAsiaTheme="minorEastAsia" w:hAnsi="Aptos" w:cs="Aptos"/>
          <w:szCs w:val="24"/>
        </w:rPr>
        <w:t>ī</w:t>
      </w:r>
      <w:r w:rsidRPr="00F015C4">
        <w:rPr>
          <w:rFonts w:ascii="Aptos" w:eastAsiaTheme="minorEastAsia" w:hAnsi="Aptos" w:cs="Times New Roman"/>
          <w:szCs w:val="24"/>
        </w:rPr>
        <w:t>bai</w:t>
      </w:r>
      <w:r w:rsidRPr="00F015C4">
        <w:rPr>
          <w:rFonts w:ascii="Aptos" w:eastAsiaTheme="minorEastAsia" w:hAnsi="Aptos" w:cs="Aptos"/>
          <w:szCs w:val="24"/>
        </w:rPr>
        <w:t>”</w:t>
      </w:r>
      <w:r w:rsidRPr="00F015C4">
        <w:rPr>
          <w:rFonts w:ascii="Aptos" w:eastAsiaTheme="minorEastAsia" w:hAnsi="Aptos" w:cs="Times New Roman"/>
          <w:szCs w:val="24"/>
        </w:rPr>
        <w:t xml:space="preserve"> otrās kārtas (turpmāk - pasākuma) projektu iesniegumu vērtēšanu atbilstoši </w:t>
      </w:r>
      <w:r w:rsidR="003C6B0C" w:rsidRPr="00F015C4">
        <w:rPr>
          <w:rFonts w:ascii="Aptos" w:eastAsiaTheme="minorEastAsia" w:hAnsi="Aptos" w:cs="Times New Roman"/>
          <w:szCs w:val="24"/>
        </w:rPr>
        <w:t xml:space="preserve">2025. gada 1. jūlija </w:t>
      </w:r>
      <w:r w:rsidR="00F961E1" w:rsidRPr="00F015C4">
        <w:rPr>
          <w:rFonts w:ascii="Aptos" w:eastAsiaTheme="minorEastAsia" w:hAnsi="Aptos" w:cs="Times New Roman"/>
          <w:szCs w:val="24"/>
        </w:rPr>
        <w:t>M</w:t>
      </w:r>
      <w:r w:rsidR="004A244E" w:rsidRPr="00F015C4">
        <w:rPr>
          <w:rFonts w:ascii="Aptos" w:eastAsiaTheme="minorEastAsia" w:hAnsi="Aptos" w:cs="Times New Roman"/>
          <w:szCs w:val="24"/>
        </w:rPr>
        <w:t xml:space="preserve">inistru kabineta </w:t>
      </w:r>
      <w:r w:rsidR="003C6B0C" w:rsidRPr="00F015C4">
        <w:rPr>
          <w:rFonts w:ascii="Aptos" w:eastAsiaTheme="minorEastAsia" w:hAnsi="Aptos" w:cs="Times New Roman"/>
          <w:szCs w:val="24"/>
        </w:rPr>
        <w:t>noteikum</w:t>
      </w:r>
      <w:r w:rsidR="009468D1" w:rsidRPr="00F015C4">
        <w:rPr>
          <w:rFonts w:ascii="Aptos" w:eastAsiaTheme="minorEastAsia" w:hAnsi="Aptos" w:cs="Times New Roman"/>
          <w:szCs w:val="24"/>
        </w:rPr>
        <w:t>os</w:t>
      </w:r>
      <w:r w:rsidR="008A1CAC" w:rsidRPr="00F015C4">
        <w:rPr>
          <w:rFonts w:ascii="Aptos" w:eastAsiaTheme="minorEastAsia" w:hAnsi="Aptos" w:cs="Times New Roman"/>
          <w:szCs w:val="24"/>
        </w:rPr>
        <w:t xml:space="preserve"> </w:t>
      </w:r>
      <w:r w:rsidR="003C6B0C" w:rsidRPr="00F015C4">
        <w:rPr>
          <w:rFonts w:ascii="Aptos" w:eastAsiaTheme="minorEastAsia" w:hAnsi="Aptos" w:cs="Times New Roman"/>
          <w:szCs w:val="24"/>
        </w:rPr>
        <w:t xml:space="preserve">Nr. 404 “Eiropas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 pasākuma “Atbalsts nozaru vajadzībās balstītai pieaugušo izglītībai” otrās kārtas īstenošanas noteikumi” (turpmāk – SAM MK noteikumi) </w:t>
      </w:r>
      <w:r w:rsidRPr="00F015C4">
        <w:rPr>
          <w:rFonts w:ascii="Aptos" w:eastAsiaTheme="minorEastAsia" w:hAnsi="Aptos" w:cs="Times New Roman"/>
          <w:szCs w:val="24"/>
        </w:rPr>
        <w:t xml:space="preserve">noteiktajai kārtībai, ir nepieciešami </w:t>
      </w:r>
      <w:r w:rsidR="00461E66">
        <w:rPr>
          <w:rFonts w:ascii="Aptos" w:eastAsiaTheme="minorEastAsia" w:hAnsi="Aptos" w:cs="Times New Roman"/>
          <w:szCs w:val="24"/>
        </w:rPr>
        <w:t xml:space="preserve">vismaz divu </w:t>
      </w:r>
      <w:r w:rsidRPr="00F015C4">
        <w:rPr>
          <w:rFonts w:ascii="Aptos" w:eastAsiaTheme="minorEastAsia" w:hAnsi="Aptos" w:cs="Times New Roman"/>
          <w:szCs w:val="24"/>
        </w:rPr>
        <w:t xml:space="preserve">ārvalstu ekspertu cilvēkresursu attīstības jautājumos (turpmāk - eksperts) pakalpojumi, kas ietver ekspertīzes atzinumu un konsolidēto ekspertīzes atzinumu sniegšanu par prasmju fondu konceptuālo aprakstu kvalitāti un atbilstību projektu iesniegumu atlases nolikumā noteiktajām prasībām. </w:t>
      </w:r>
    </w:p>
    <w:p w14:paraId="1B42E78B" w14:textId="77777777" w:rsidR="0001530B" w:rsidRPr="00F015C4" w:rsidRDefault="0001530B" w:rsidP="15FC3E5A">
      <w:pPr>
        <w:spacing w:after="0" w:line="276" w:lineRule="auto"/>
        <w:ind w:left="360"/>
        <w:jc w:val="both"/>
        <w:rPr>
          <w:rFonts w:ascii="Aptos" w:eastAsiaTheme="minorEastAsia" w:hAnsi="Aptos" w:cs="Times New Roman"/>
          <w:szCs w:val="24"/>
        </w:rPr>
      </w:pPr>
    </w:p>
    <w:p w14:paraId="6C4251B0" w14:textId="6F37D8D4" w:rsidR="00BB2653" w:rsidRPr="00F015C4" w:rsidRDefault="00755DDC" w:rsidP="38A4E786">
      <w:pPr>
        <w:spacing w:after="0" w:line="276" w:lineRule="auto"/>
        <w:ind w:left="360"/>
        <w:jc w:val="both"/>
        <w:rPr>
          <w:rFonts w:ascii="Aptos" w:eastAsiaTheme="minorEastAsia" w:hAnsi="Aptos" w:cs="Times New Roman"/>
          <w:szCs w:val="24"/>
        </w:rPr>
      </w:pPr>
      <w:r w:rsidRPr="00F015C4">
        <w:rPr>
          <w:rFonts w:ascii="Aptos" w:eastAsiaTheme="minorEastAsia" w:hAnsi="Aptos" w:cs="Times New Roman"/>
          <w:szCs w:val="24"/>
        </w:rPr>
        <w:t>Eksperti tiek piesaistīti</w:t>
      </w:r>
      <w:r w:rsidR="00C909B2" w:rsidRPr="00F015C4">
        <w:rPr>
          <w:rFonts w:ascii="Aptos" w:eastAsiaTheme="minorEastAsia" w:hAnsi="Aptos" w:cs="Times New Roman"/>
          <w:szCs w:val="24"/>
        </w:rPr>
        <w:t xml:space="preserve"> </w:t>
      </w:r>
      <w:r w:rsidR="00FA1417" w:rsidRPr="00F015C4">
        <w:rPr>
          <w:rFonts w:ascii="Aptos" w:eastAsiaTheme="minorEastAsia" w:hAnsi="Aptos" w:cs="Times New Roman"/>
          <w:szCs w:val="24"/>
        </w:rPr>
        <w:t xml:space="preserve">un izvēlēti </w:t>
      </w:r>
      <w:r w:rsidR="0B542CDB" w:rsidRPr="00F015C4">
        <w:rPr>
          <w:rFonts w:ascii="Aptos" w:eastAsiaTheme="minorEastAsia" w:hAnsi="Aptos" w:cs="Times New Roman"/>
          <w:szCs w:val="24"/>
        </w:rPr>
        <w:t>Centrālās finanšu un līgumu aģentūras (turpmāk - aģentūra)</w:t>
      </w:r>
      <w:r w:rsidR="00661BEA" w:rsidRPr="00F015C4">
        <w:rPr>
          <w:rFonts w:ascii="Aptos" w:eastAsiaTheme="minorEastAsia" w:hAnsi="Aptos" w:cs="Times New Roman"/>
          <w:szCs w:val="24"/>
        </w:rPr>
        <w:t xml:space="preserve"> </w:t>
      </w:r>
      <w:r w:rsidR="00756C92" w:rsidRPr="00F015C4">
        <w:rPr>
          <w:rFonts w:ascii="Aptos" w:eastAsiaTheme="minorEastAsia" w:hAnsi="Aptos" w:cs="Times New Roman"/>
          <w:szCs w:val="24"/>
        </w:rPr>
        <w:t>rīkotās cenu aptaujas „Ārvalstu ekspertu pakalpojumi Centrālās finanšu un līgumu aģentūras projektu iesniegumu atlases vērtēšanai”</w:t>
      </w:r>
      <w:r w:rsidR="00C909B2" w:rsidRPr="00F015C4">
        <w:rPr>
          <w:rFonts w:ascii="Aptos" w:eastAsiaTheme="minorEastAsia" w:hAnsi="Aptos" w:cs="Times New Roman"/>
          <w:szCs w:val="24"/>
        </w:rPr>
        <w:t xml:space="preserve"> </w:t>
      </w:r>
      <w:r w:rsidR="00756C92" w:rsidRPr="00F015C4">
        <w:rPr>
          <w:rFonts w:ascii="Aptos" w:eastAsiaTheme="minorEastAsia" w:hAnsi="Aptos" w:cs="Times New Roman"/>
          <w:szCs w:val="24"/>
        </w:rPr>
        <w:t>rezultātā</w:t>
      </w:r>
      <w:r w:rsidR="00626E11" w:rsidRPr="00F015C4">
        <w:rPr>
          <w:rFonts w:ascii="Aptos" w:eastAsiaTheme="minorEastAsia" w:hAnsi="Aptos" w:cs="Times New Roman"/>
          <w:szCs w:val="24"/>
        </w:rPr>
        <w:t>,</w:t>
      </w:r>
      <w:r w:rsidR="00DA40C1" w:rsidRPr="00F015C4">
        <w:rPr>
          <w:rFonts w:ascii="Aptos" w:eastAsiaTheme="minorEastAsia" w:hAnsi="Aptos" w:cs="Times New Roman"/>
          <w:szCs w:val="24"/>
        </w:rPr>
        <w:t xml:space="preserve"> </w:t>
      </w:r>
      <w:r w:rsidR="00626E11" w:rsidRPr="00F015C4">
        <w:rPr>
          <w:rFonts w:ascii="Aptos" w:eastAsiaTheme="minorEastAsia" w:hAnsi="Aptos" w:cs="Times New Roman"/>
          <w:szCs w:val="24"/>
        </w:rPr>
        <w:t xml:space="preserve">noslēdzot ar izvēlētajiem ekspertiem </w:t>
      </w:r>
      <w:r w:rsidR="00113FF2" w:rsidRPr="00F015C4">
        <w:rPr>
          <w:rFonts w:ascii="Aptos" w:eastAsiaTheme="minorEastAsia" w:hAnsi="Aptos" w:cs="Times New Roman"/>
          <w:szCs w:val="24"/>
        </w:rPr>
        <w:t>Vispārīgo vienošanos</w:t>
      </w:r>
      <w:r w:rsidR="00FA1417" w:rsidRPr="00F015C4">
        <w:rPr>
          <w:rFonts w:ascii="Aptos" w:eastAsiaTheme="minorEastAsia" w:hAnsi="Aptos" w:cs="Times New Roman"/>
          <w:szCs w:val="24"/>
        </w:rPr>
        <w:t>.</w:t>
      </w:r>
    </w:p>
    <w:p w14:paraId="7F3ABA0D" w14:textId="77777777" w:rsidR="0001530B" w:rsidRPr="00F015C4" w:rsidRDefault="0001530B" w:rsidP="15FC3E5A">
      <w:pPr>
        <w:spacing w:after="0" w:line="276" w:lineRule="auto"/>
        <w:ind w:left="360"/>
        <w:jc w:val="both"/>
        <w:rPr>
          <w:rFonts w:ascii="Aptos" w:eastAsia="Aptos" w:hAnsi="Aptos" w:cs="Aptos"/>
          <w:b/>
          <w:bCs/>
          <w:color w:val="000000" w:themeColor="text1"/>
          <w:szCs w:val="24"/>
        </w:rPr>
      </w:pPr>
    </w:p>
    <w:p w14:paraId="41EDDCC6" w14:textId="2EE28246" w:rsidR="00F33D4C" w:rsidRPr="00F015C4" w:rsidRDefault="5DF6D90E" w:rsidP="15FC3E5A">
      <w:pPr>
        <w:pStyle w:val="ListParagraph"/>
        <w:numPr>
          <w:ilvl w:val="0"/>
          <w:numId w:val="20"/>
        </w:numPr>
        <w:spacing w:after="0" w:line="276" w:lineRule="auto"/>
        <w:jc w:val="both"/>
        <w:rPr>
          <w:rFonts w:ascii="Aptos" w:eastAsia="Aptos" w:hAnsi="Aptos" w:cs="Aptos"/>
          <w:color w:val="000000" w:themeColor="text1"/>
          <w:szCs w:val="24"/>
        </w:rPr>
      </w:pPr>
      <w:r w:rsidRPr="00F015C4">
        <w:rPr>
          <w:rFonts w:ascii="Aptos" w:eastAsia="Aptos" w:hAnsi="Aptos" w:cs="Aptos"/>
          <w:b/>
          <w:bCs/>
          <w:color w:val="000000" w:themeColor="text1"/>
          <w:szCs w:val="24"/>
        </w:rPr>
        <w:t>NOSACĪJUMI EKSPERTAM</w:t>
      </w:r>
    </w:p>
    <w:p w14:paraId="040CFA50" w14:textId="63D70B51" w:rsidR="00F33D4C" w:rsidRPr="00F015C4" w:rsidRDefault="5DF6D90E" w:rsidP="00A37289">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Eksperta kompetence un līdzšinējā darba pieredze atbilst pasākuma tematikai un liecina par izpratni par prasmju fondu un to darbības principiem;</w:t>
      </w:r>
    </w:p>
    <w:p w14:paraId="4F3B5385" w14:textId="22497138" w:rsidR="00F33D4C" w:rsidRPr="00F015C4" w:rsidRDefault="5DF6D90E" w:rsidP="00A37289">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Ekspertam ir vismaz akadēmiskais maģistra grāds vai otrā līmeņa profesionālā augstākā izglītība sociālajās zinātnēs;</w:t>
      </w:r>
    </w:p>
    <w:p w14:paraId="660B4798" w14:textId="46C8EDF6" w:rsidR="00140156" w:rsidRPr="00F015C4" w:rsidRDefault="5DF6D90E" w:rsidP="00F015C4">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Eksperts vērtējumu veic neatkarīgi un nepārstāv projekta iesnieguma iesniedzēja vai sadarbības partnera institūciju, viņa darbībā nav tādu apstākļu, kas izraisa interešu konfliktu, tai skaitā nerada un neradīs ekspertam personisku vai mantisku ieinteresētību.</w:t>
      </w:r>
    </w:p>
    <w:p w14:paraId="312A0298" w14:textId="77777777" w:rsidR="00F015C4" w:rsidRDefault="00F015C4" w:rsidP="00140156">
      <w:pPr>
        <w:pStyle w:val="ListParagraph"/>
        <w:spacing w:after="0" w:line="278" w:lineRule="auto"/>
        <w:ind w:left="360"/>
        <w:jc w:val="both"/>
        <w:rPr>
          <w:rFonts w:ascii="Aptos" w:eastAsia="Aptos" w:hAnsi="Aptos" w:cs="Aptos"/>
          <w:color w:val="000000" w:themeColor="text1"/>
          <w:szCs w:val="24"/>
        </w:rPr>
      </w:pPr>
    </w:p>
    <w:p w14:paraId="5CF19965" w14:textId="77777777" w:rsidR="00F015C4" w:rsidRPr="00F015C4" w:rsidRDefault="00F015C4" w:rsidP="00140156">
      <w:pPr>
        <w:pStyle w:val="ListParagraph"/>
        <w:spacing w:after="0" w:line="278" w:lineRule="auto"/>
        <w:ind w:left="360"/>
        <w:jc w:val="both"/>
        <w:rPr>
          <w:rFonts w:ascii="Aptos" w:eastAsia="Aptos" w:hAnsi="Aptos" w:cs="Aptos"/>
          <w:color w:val="000000" w:themeColor="text1"/>
          <w:szCs w:val="24"/>
        </w:rPr>
      </w:pPr>
    </w:p>
    <w:p w14:paraId="6F7EFE60" w14:textId="7186D40E" w:rsidR="00F33D4C" w:rsidRPr="00F015C4" w:rsidRDefault="5DF6D90E" w:rsidP="00991B49">
      <w:pPr>
        <w:pStyle w:val="ListParagraph"/>
        <w:numPr>
          <w:ilvl w:val="0"/>
          <w:numId w:val="22"/>
        </w:numPr>
        <w:spacing w:after="0" w:line="278" w:lineRule="auto"/>
        <w:jc w:val="both"/>
        <w:rPr>
          <w:rFonts w:ascii="Aptos" w:eastAsia="Aptos" w:hAnsi="Aptos" w:cs="Aptos"/>
          <w:color w:val="000000" w:themeColor="text1"/>
          <w:szCs w:val="24"/>
        </w:rPr>
      </w:pPr>
      <w:r w:rsidRPr="00F015C4">
        <w:rPr>
          <w:rFonts w:ascii="Aptos" w:eastAsia="Aptos" w:hAnsi="Aptos" w:cs="Aptos"/>
          <w:b/>
          <w:bCs/>
          <w:color w:val="000000" w:themeColor="text1"/>
          <w:szCs w:val="24"/>
        </w:rPr>
        <w:lastRenderedPageBreak/>
        <w:t>EKSPERTA DARBA UZDEVUMI</w:t>
      </w:r>
    </w:p>
    <w:p w14:paraId="2709F723" w14:textId="109DAEC2" w:rsidR="00AA47EE" w:rsidRPr="00F015C4" w:rsidRDefault="00AA47EE" w:rsidP="00A37289">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Uzsākot uzdevuma izpildi, apliecināt interešu konflikta neesamību. Eksperts ir personīgi atbildīgs par neatrašanos interešu konfliktā attiecībā uz vērtējamo projekta iesniedzēju, tā dibinātājiem un sadarbības partneriem. Interešu konflikta gadījumā ekspertam ir pienākums atstatīt sevi no ekspertīzes atzinuma vai konsolidētā ekspertīzes atzinuma sniegšanas par attiecīgo projekta iesniegumu</w:t>
      </w:r>
      <w:r w:rsidR="003402AB" w:rsidRPr="00F015C4">
        <w:rPr>
          <w:rFonts w:ascii="Aptos" w:eastAsia="Aptos" w:hAnsi="Aptos" w:cs="Aptos"/>
          <w:color w:val="000000" w:themeColor="text1"/>
          <w:szCs w:val="24"/>
        </w:rPr>
        <w:t>.</w:t>
      </w:r>
    </w:p>
    <w:p w14:paraId="17CC3A91" w14:textId="0D7015DE" w:rsidR="00461E66" w:rsidRPr="00F015C4" w:rsidRDefault="5DF6D90E" w:rsidP="00461E66">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Sagatavot rakstisku ekspertīzes atzinumu par projekta iesniegumam pievienotā prasmju fonda konceptuālā apraksta kvalitāti un atbilstību projektu iesniegumu atlases nolikumā noteiktajām prasībām, atspoguļojot objektīvu un argumentētu viedokli</w:t>
      </w:r>
      <w:r w:rsidR="00461E66">
        <w:rPr>
          <w:rFonts w:ascii="Aptos" w:eastAsia="Aptos" w:hAnsi="Aptos" w:cs="Aptos"/>
          <w:color w:val="000000" w:themeColor="text1"/>
          <w:szCs w:val="24"/>
        </w:rPr>
        <w:t>,</w:t>
      </w:r>
      <w:r w:rsidR="00461E66" w:rsidRPr="00461E66">
        <w:rPr>
          <w:rFonts w:ascii="Aptos" w:eastAsia="Aptos" w:hAnsi="Aptos" w:cs="Aptos"/>
          <w:color w:val="000000" w:themeColor="text1"/>
          <w:szCs w:val="24"/>
        </w:rPr>
        <w:t xml:space="preserve"> </w:t>
      </w:r>
      <w:r w:rsidR="00461E66" w:rsidRPr="00F015C4">
        <w:rPr>
          <w:rFonts w:ascii="Aptos" w:eastAsia="Aptos" w:hAnsi="Aptos" w:cs="Aptos"/>
          <w:color w:val="000000" w:themeColor="text1"/>
          <w:szCs w:val="24"/>
        </w:rPr>
        <w:t>kurā ietvert:</w:t>
      </w:r>
    </w:p>
    <w:p w14:paraId="10EF99C8" w14:textId="77777777" w:rsidR="00461E66" w:rsidRPr="00F015C4" w:rsidRDefault="00461E66" w:rsidP="00461E66">
      <w:pPr>
        <w:pStyle w:val="ListParagraph"/>
        <w:numPr>
          <w:ilvl w:val="2"/>
          <w:numId w:val="22"/>
        </w:numPr>
        <w:spacing w:after="0" w:line="278" w:lineRule="auto"/>
        <w:ind w:left="1560" w:hanging="709"/>
        <w:jc w:val="both"/>
        <w:rPr>
          <w:rFonts w:ascii="Aptos" w:eastAsia="Aptos" w:hAnsi="Aptos" w:cs="Aptos"/>
          <w:color w:val="000000" w:themeColor="text1"/>
          <w:szCs w:val="24"/>
        </w:rPr>
      </w:pPr>
      <w:r w:rsidRPr="00F015C4">
        <w:rPr>
          <w:rFonts w:ascii="Aptos" w:eastAsia="Aptos" w:hAnsi="Aptos" w:cs="Aptos"/>
          <w:szCs w:val="24"/>
        </w:rPr>
        <w:t>kvalitātes un atbilstības vērtējumu atbilstoši nolikuma 1.</w:t>
      </w:r>
      <w:r>
        <w:rPr>
          <w:rFonts w:ascii="Aptos" w:eastAsia="Aptos" w:hAnsi="Aptos" w:cs="Aptos"/>
          <w:szCs w:val="24"/>
        </w:rPr>
        <w:t> </w:t>
      </w:r>
      <w:r w:rsidRPr="00F015C4">
        <w:rPr>
          <w:rFonts w:ascii="Aptos" w:eastAsia="Aptos" w:hAnsi="Aptos" w:cs="Aptos"/>
          <w:szCs w:val="24"/>
        </w:rPr>
        <w:t>pielikumā ietvertajiem kvalitātes kritērijiem Nr.</w:t>
      </w:r>
      <w:r>
        <w:rPr>
          <w:rFonts w:ascii="Aptos" w:eastAsia="Aptos" w:hAnsi="Aptos" w:cs="Aptos"/>
          <w:szCs w:val="24"/>
        </w:rPr>
        <w:t> </w:t>
      </w:r>
      <w:r w:rsidRPr="00F015C4">
        <w:rPr>
          <w:rFonts w:ascii="Aptos" w:eastAsia="Aptos" w:hAnsi="Aptos" w:cs="Aptos"/>
          <w:szCs w:val="24"/>
        </w:rPr>
        <w:t>4.2.,</w:t>
      </w:r>
      <w:r>
        <w:rPr>
          <w:rFonts w:ascii="Aptos" w:eastAsia="Aptos" w:hAnsi="Aptos" w:cs="Aptos"/>
          <w:szCs w:val="24"/>
        </w:rPr>
        <w:t xml:space="preserve"> </w:t>
      </w:r>
      <w:r w:rsidRPr="00F015C4">
        <w:rPr>
          <w:rFonts w:ascii="Aptos" w:eastAsia="Aptos" w:hAnsi="Aptos" w:cs="Aptos"/>
          <w:szCs w:val="24"/>
        </w:rPr>
        <w:t>Nr.</w:t>
      </w:r>
      <w:r>
        <w:rPr>
          <w:rFonts w:ascii="Aptos" w:eastAsia="Aptos" w:hAnsi="Aptos" w:cs="Aptos"/>
          <w:szCs w:val="24"/>
        </w:rPr>
        <w:t> </w:t>
      </w:r>
      <w:r w:rsidRPr="00F015C4">
        <w:rPr>
          <w:rFonts w:ascii="Aptos" w:eastAsia="Aptos" w:hAnsi="Aptos" w:cs="Aptos"/>
          <w:szCs w:val="24"/>
        </w:rPr>
        <w:t>4.3., Nr.</w:t>
      </w:r>
      <w:r>
        <w:rPr>
          <w:rFonts w:ascii="Aptos" w:eastAsia="Aptos" w:hAnsi="Aptos" w:cs="Aptos"/>
          <w:szCs w:val="24"/>
        </w:rPr>
        <w:t> </w:t>
      </w:r>
      <w:r w:rsidRPr="00F015C4">
        <w:rPr>
          <w:rFonts w:ascii="Aptos" w:eastAsia="Aptos" w:hAnsi="Aptos" w:cs="Aptos"/>
          <w:szCs w:val="24"/>
        </w:rPr>
        <w:t>4.4., Nr.</w:t>
      </w:r>
      <w:r>
        <w:rPr>
          <w:rFonts w:ascii="Aptos" w:eastAsia="Aptos" w:hAnsi="Aptos" w:cs="Aptos"/>
          <w:szCs w:val="24"/>
        </w:rPr>
        <w:t> </w:t>
      </w:r>
      <w:r w:rsidRPr="00F015C4">
        <w:rPr>
          <w:rFonts w:ascii="Aptos" w:eastAsia="Aptos" w:hAnsi="Aptos" w:cs="Aptos"/>
          <w:szCs w:val="24"/>
        </w:rPr>
        <w:t>4.5. un Nr.</w:t>
      </w:r>
      <w:r>
        <w:rPr>
          <w:rFonts w:ascii="Aptos" w:eastAsia="Aptos" w:hAnsi="Aptos" w:cs="Aptos"/>
          <w:szCs w:val="24"/>
        </w:rPr>
        <w:t> </w:t>
      </w:r>
      <w:r w:rsidRPr="00F015C4">
        <w:rPr>
          <w:rFonts w:ascii="Aptos" w:eastAsia="Aptos" w:hAnsi="Aptos" w:cs="Aptos"/>
          <w:szCs w:val="24"/>
        </w:rPr>
        <w:t>4.6</w:t>
      </w:r>
      <w:r w:rsidRPr="00F015C4">
        <w:rPr>
          <w:rFonts w:ascii="Aptos" w:eastAsia="Aptos" w:hAnsi="Aptos" w:cs="Aptos"/>
          <w:color w:val="000000" w:themeColor="text1"/>
          <w:szCs w:val="24"/>
        </w:rPr>
        <w:t>.;</w:t>
      </w:r>
    </w:p>
    <w:p w14:paraId="52EB3D9C" w14:textId="77777777" w:rsidR="00461E66" w:rsidRPr="00F015C4" w:rsidRDefault="00461E66" w:rsidP="00461E66">
      <w:pPr>
        <w:pStyle w:val="ListParagraph"/>
        <w:numPr>
          <w:ilvl w:val="2"/>
          <w:numId w:val="22"/>
        </w:numPr>
        <w:spacing w:after="0" w:line="278" w:lineRule="auto"/>
        <w:ind w:left="1560" w:hanging="709"/>
        <w:jc w:val="both"/>
        <w:rPr>
          <w:rFonts w:ascii="Aptos" w:eastAsia="Aptos" w:hAnsi="Aptos" w:cs="Aptos"/>
          <w:color w:val="000000" w:themeColor="text1"/>
          <w:szCs w:val="24"/>
        </w:rPr>
      </w:pPr>
      <w:r w:rsidRPr="00F015C4">
        <w:rPr>
          <w:rFonts w:ascii="Aptos" w:eastAsia="Aptos" w:hAnsi="Aptos" w:cs="Aptos"/>
          <w:color w:val="000000" w:themeColor="text1"/>
          <w:szCs w:val="24"/>
        </w:rPr>
        <w:t>objektīvu un argumentētu viedokli, kas izteikts apgalvojumu formā, pamatojoties uz pieejamajos dokumentos norādīto informāciju, un neizmanto pieņēmumus, šķietamību vai varbūtību;</w:t>
      </w:r>
    </w:p>
    <w:p w14:paraId="25A76D1B" w14:textId="77777777" w:rsidR="00461E66" w:rsidRPr="00F015C4" w:rsidRDefault="00461E66" w:rsidP="00461E66">
      <w:pPr>
        <w:pStyle w:val="ListParagraph"/>
        <w:numPr>
          <w:ilvl w:val="2"/>
          <w:numId w:val="22"/>
        </w:numPr>
        <w:spacing w:after="0" w:line="278" w:lineRule="auto"/>
        <w:ind w:left="1560" w:hanging="709"/>
        <w:jc w:val="both"/>
        <w:rPr>
          <w:rFonts w:ascii="Aptos" w:eastAsia="Aptos" w:hAnsi="Aptos" w:cs="Aptos"/>
          <w:color w:val="000000" w:themeColor="text1"/>
          <w:szCs w:val="24"/>
        </w:rPr>
      </w:pPr>
      <w:r w:rsidRPr="00F015C4">
        <w:rPr>
          <w:rFonts w:ascii="Aptos" w:eastAsia="Aptos" w:hAnsi="Aptos" w:cs="Aptos"/>
          <w:color w:val="000000" w:themeColor="text1"/>
          <w:szCs w:val="24"/>
        </w:rPr>
        <w:t xml:space="preserve">konstatējumu par </w:t>
      </w:r>
      <w:proofErr w:type="spellStart"/>
      <w:r w:rsidRPr="00F015C4">
        <w:rPr>
          <w:rFonts w:ascii="Aptos" w:eastAsia="Aptos" w:hAnsi="Aptos" w:cs="Aptos"/>
          <w:color w:val="000000" w:themeColor="text1"/>
          <w:szCs w:val="24"/>
        </w:rPr>
        <w:t>izvērtējumam</w:t>
      </w:r>
      <w:proofErr w:type="spellEnd"/>
      <w:r w:rsidRPr="00F015C4">
        <w:rPr>
          <w:rFonts w:ascii="Aptos" w:eastAsia="Aptos" w:hAnsi="Aptos" w:cs="Aptos"/>
          <w:color w:val="000000" w:themeColor="text1"/>
          <w:szCs w:val="24"/>
        </w:rPr>
        <w:t xml:space="preserve"> nepieciešamās informācijas trūkumu/nepietiekamību pieejamajos dokumentos, ja attiecināms;</w:t>
      </w:r>
    </w:p>
    <w:p w14:paraId="231159B6" w14:textId="77777777" w:rsidR="00461E66" w:rsidRPr="00F015C4" w:rsidRDefault="00461E66" w:rsidP="00461E66">
      <w:pPr>
        <w:pStyle w:val="ListParagraph"/>
        <w:numPr>
          <w:ilvl w:val="2"/>
          <w:numId w:val="22"/>
        </w:numPr>
        <w:spacing w:after="0" w:line="278" w:lineRule="auto"/>
        <w:ind w:left="1560" w:hanging="709"/>
        <w:jc w:val="both"/>
        <w:rPr>
          <w:rFonts w:ascii="Aptos" w:eastAsia="Aptos" w:hAnsi="Aptos" w:cs="Aptos"/>
          <w:color w:val="000000" w:themeColor="text1"/>
          <w:szCs w:val="24"/>
        </w:rPr>
      </w:pPr>
      <w:r w:rsidRPr="00F015C4">
        <w:rPr>
          <w:rFonts w:ascii="Aptos" w:eastAsia="Aptos" w:hAnsi="Aptos" w:cs="Aptos"/>
          <w:color w:val="000000" w:themeColor="text1"/>
          <w:szCs w:val="24"/>
        </w:rPr>
        <w:t>vērtējumu punktos atbilstoši sniegtajiem argumentiem, kas ir pietiekami, lai uz sniegtā atzinuma pamata izdotu attiecīgu normatīvajos aktos noteiktu lēmumu.</w:t>
      </w:r>
    </w:p>
    <w:p w14:paraId="47C1779E" w14:textId="49A83A83" w:rsidR="00F33D4C" w:rsidRPr="00F015C4" w:rsidRDefault="5DF6D90E" w:rsidP="00CA57C1">
      <w:pPr>
        <w:pStyle w:val="ListParagraph"/>
        <w:numPr>
          <w:ilvl w:val="1"/>
          <w:numId w:val="22"/>
        </w:numPr>
        <w:spacing w:after="0" w:line="278" w:lineRule="auto"/>
        <w:ind w:left="851" w:hanging="425"/>
        <w:jc w:val="both"/>
      </w:pPr>
      <w:r w:rsidRPr="00CA57C1">
        <w:rPr>
          <w:rFonts w:ascii="Aptos" w:eastAsia="Aptos" w:hAnsi="Aptos" w:cs="Aptos"/>
          <w:color w:val="000000" w:themeColor="text1"/>
          <w:szCs w:val="24"/>
        </w:rPr>
        <w:t xml:space="preserve">Pēc </w:t>
      </w:r>
      <w:r w:rsidR="0A1001B4" w:rsidRPr="00CA57C1">
        <w:rPr>
          <w:rFonts w:ascii="Aptos" w:eastAsia="Aptos" w:hAnsi="Aptos" w:cs="Aptos"/>
          <w:color w:val="000000" w:themeColor="text1"/>
          <w:szCs w:val="24"/>
        </w:rPr>
        <w:t>aģentūra</w:t>
      </w:r>
      <w:r w:rsidR="00ED6BB2" w:rsidRPr="00CA57C1">
        <w:rPr>
          <w:rFonts w:ascii="Aptos" w:eastAsia="Aptos" w:hAnsi="Aptos" w:cs="Aptos"/>
          <w:color w:val="000000" w:themeColor="text1"/>
          <w:szCs w:val="24"/>
        </w:rPr>
        <w:t>s</w:t>
      </w:r>
      <w:r w:rsidRPr="00CA57C1">
        <w:rPr>
          <w:rFonts w:ascii="Aptos" w:eastAsia="Aptos" w:hAnsi="Aptos" w:cs="Aptos"/>
          <w:color w:val="000000" w:themeColor="text1"/>
          <w:szCs w:val="24"/>
        </w:rPr>
        <w:t xml:space="preserve"> pārstāvja pieprasījuma sagatavot konsolidēto ekspertīzes atzinumu</w:t>
      </w:r>
      <w:r w:rsidR="00461E66">
        <w:rPr>
          <w:rFonts w:ascii="Aptos" w:eastAsia="Aptos" w:hAnsi="Aptos" w:cs="Aptos"/>
          <w:color w:val="000000" w:themeColor="text1"/>
          <w:szCs w:val="24"/>
        </w:rPr>
        <w:t xml:space="preserve"> atbilstoši 2.2.1., 2.2.2., 2.2.3. un 2.2.4.apakšpunktā ietvertajiem nosacījumiem</w:t>
      </w:r>
      <w:r w:rsidRPr="00CA57C1">
        <w:rPr>
          <w:rFonts w:ascii="Aptos" w:eastAsia="Aptos" w:hAnsi="Aptos" w:cs="Aptos"/>
          <w:color w:val="000000" w:themeColor="text1"/>
          <w:szCs w:val="24"/>
        </w:rPr>
        <w:t>.</w:t>
      </w:r>
    </w:p>
    <w:p w14:paraId="51FE397E" w14:textId="56591FF4" w:rsidR="00063CB6" w:rsidRPr="00F015C4" w:rsidRDefault="5DF6D90E" w:rsidP="00A37289">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 xml:space="preserve">Pēc </w:t>
      </w:r>
      <w:r w:rsidR="007C7833" w:rsidRPr="00F015C4">
        <w:rPr>
          <w:rFonts w:ascii="Aptos" w:eastAsia="Aptos" w:hAnsi="Aptos" w:cs="Aptos"/>
          <w:color w:val="000000" w:themeColor="text1"/>
          <w:szCs w:val="24"/>
        </w:rPr>
        <w:t>aģentūras</w:t>
      </w:r>
      <w:r w:rsidRPr="00F015C4">
        <w:rPr>
          <w:rFonts w:ascii="Aptos" w:eastAsia="Aptos" w:hAnsi="Aptos" w:cs="Aptos"/>
          <w:color w:val="000000" w:themeColor="text1"/>
          <w:szCs w:val="24"/>
        </w:rPr>
        <w:t xml:space="preserve"> pārstāvja pieprasījuma veikt precizētajam projekta iesniegumam pievienotā prasmju fonda konceptuālā apraksta ekspertīzi, ja lēmumā par projekta iesnieguma apstiprināšanu ar nosacījumu ietverto nosacījumu izpildes rezultātā precizēta informācija, kas saistīta ar ekspertīzes atzinumā vai konsolidētajā ekspertīzes atzinumā norādīto.</w:t>
      </w:r>
    </w:p>
    <w:p w14:paraId="4E8B82B1" w14:textId="61981B0F" w:rsidR="00F33D4C" w:rsidRPr="00F015C4" w:rsidRDefault="7EE0598E" w:rsidP="00A37289">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 xml:space="preserve">Pēc </w:t>
      </w:r>
      <w:r w:rsidR="001B7CF0" w:rsidRPr="00F015C4">
        <w:rPr>
          <w:rFonts w:ascii="Aptos" w:eastAsia="Aptos" w:hAnsi="Aptos" w:cs="Aptos"/>
          <w:color w:val="000000" w:themeColor="text1"/>
          <w:szCs w:val="24"/>
        </w:rPr>
        <w:t>aģentūras</w:t>
      </w:r>
      <w:r w:rsidRPr="00F015C4">
        <w:rPr>
          <w:rFonts w:ascii="Aptos" w:eastAsia="Aptos" w:hAnsi="Aptos" w:cs="Aptos"/>
          <w:color w:val="000000" w:themeColor="text1"/>
          <w:szCs w:val="24"/>
        </w:rPr>
        <w:t xml:space="preserve"> pieprasījuma </w:t>
      </w:r>
      <w:r w:rsidR="0047686E" w:rsidRPr="00F015C4">
        <w:rPr>
          <w:rFonts w:ascii="Aptos" w:eastAsia="Aptos" w:hAnsi="Aptos" w:cs="Aptos"/>
          <w:color w:val="000000" w:themeColor="text1"/>
          <w:szCs w:val="24"/>
        </w:rPr>
        <w:t xml:space="preserve">piedalīties </w:t>
      </w:r>
      <w:r w:rsidR="001B7CF0" w:rsidRPr="00F015C4">
        <w:rPr>
          <w:rFonts w:ascii="Aptos" w:eastAsia="Aptos" w:hAnsi="Aptos" w:cs="Aptos"/>
          <w:color w:val="000000" w:themeColor="text1"/>
          <w:szCs w:val="24"/>
        </w:rPr>
        <w:t>aģentūras</w:t>
      </w:r>
      <w:r w:rsidRPr="00F015C4">
        <w:rPr>
          <w:rFonts w:ascii="Aptos" w:eastAsia="Aptos" w:hAnsi="Aptos" w:cs="Aptos"/>
          <w:color w:val="000000" w:themeColor="text1"/>
          <w:szCs w:val="24"/>
        </w:rPr>
        <w:t xml:space="preserve"> organizētajās tiešsaistes sanāksmēs, pamatojot sniegto ekspertīzes atzinumu vai konsolidēto ekspertīzes atzinumu.</w:t>
      </w:r>
    </w:p>
    <w:p w14:paraId="351EBFA5" w14:textId="0CFCE444" w:rsidR="00F33D4C" w:rsidRPr="00F015C4" w:rsidRDefault="7EE0598E" w:rsidP="00A37289">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 xml:space="preserve">Pēc </w:t>
      </w:r>
      <w:r w:rsidR="001B7CF0" w:rsidRPr="00F015C4">
        <w:rPr>
          <w:rFonts w:ascii="Aptos" w:eastAsia="Aptos" w:hAnsi="Aptos" w:cs="Aptos"/>
          <w:color w:val="000000" w:themeColor="text1"/>
          <w:szCs w:val="24"/>
        </w:rPr>
        <w:t>aģentūras</w:t>
      </w:r>
      <w:r w:rsidRPr="00F015C4">
        <w:rPr>
          <w:rFonts w:ascii="Aptos" w:eastAsia="Aptos" w:hAnsi="Aptos" w:cs="Aptos"/>
          <w:color w:val="000000" w:themeColor="text1"/>
          <w:szCs w:val="24"/>
        </w:rPr>
        <w:t xml:space="preserve"> pārstāvja pieprasījuma sniegt skaidrojumu, pamatojot sniegto ekspertīzes atzinumu vai konsolidēto ekspertīzes atzinumu, ja tas nepieciešams </w:t>
      </w:r>
      <w:r w:rsidR="00727E81" w:rsidRPr="00F015C4">
        <w:rPr>
          <w:rFonts w:ascii="Aptos" w:eastAsia="Aptos" w:hAnsi="Aptos" w:cs="Aptos"/>
          <w:color w:val="000000" w:themeColor="text1"/>
          <w:szCs w:val="24"/>
        </w:rPr>
        <w:t>aģentūras</w:t>
      </w:r>
      <w:r w:rsidR="00742CB5" w:rsidRPr="00F015C4">
        <w:rPr>
          <w:rFonts w:ascii="Aptos" w:eastAsia="Aptos" w:hAnsi="Aptos" w:cs="Aptos"/>
          <w:color w:val="000000" w:themeColor="text1"/>
          <w:szCs w:val="24"/>
        </w:rPr>
        <w:t xml:space="preserve"> </w:t>
      </w:r>
      <w:r w:rsidRPr="00F015C4">
        <w:rPr>
          <w:rFonts w:ascii="Aptos" w:eastAsia="Aptos" w:hAnsi="Aptos" w:cs="Aptos"/>
          <w:color w:val="000000" w:themeColor="text1"/>
          <w:szCs w:val="24"/>
        </w:rPr>
        <w:t>izdotā lēmuma apstrīdēšanas un pārsūdzēšanas gadījumā.</w:t>
      </w:r>
    </w:p>
    <w:p w14:paraId="1C9ABD6A" w14:textId="77777777" w:rsidR="00140156" w:rsidRPr="00F015C4" w:rsidRDefault="00140156" w:rsidP="00140156">
      <w:pPr>
        <w:pStyle w:val="ListParagraph"/>
        <w:spacing w:after="0" w:line="278" w:lineRule="auto"/>
        <w:ind w:left="709"/>
        <w:jc w:val="both"/>
        <w:rPr>
          <w:rFonts w:ascii="Aptos" w:eastAsia="Aptos" w:hAnsi="Aptos" w:cs="Aptos"/>
          <w:color w:val="000000" w:themeColor="text1"/>
          <w:szCs w:val="24"/>
        </w:rPr>
      </w:pPr>
    </w:p>
    <w:p w14:paraId="21473B52" w14:textId="72956165" w:rsidR="00F33D4C" w:rsidRPr="00F015C4" w:rsidRDefault="00512142" w:rsidP="00063CB6">
      <w:pPr>
        <w:pStyle w:val="ListParagraph"/>
        <w:numPr>
          <w:ilvl w:val="0"/>
          <w:numId w:val="22"/>
        </w:numPr>
        <w:spacing w:after="0" w:line="278" w:lineRule="auto"/>
        <w:jc w:val="both"/>
        <w:rPr>
          <w:rFonts w:ascii="Aptos" w:eastAsia="Aptos" w:hAnsi="Aptos" w:cs="Aptos"/>
          <w:color w:val="000000" w:themeColor="text1"/>
          <w:szCs w:val="24"/>
        </w:rPr>
      </w:pPr>
      <w:r w:rsidRPr="00F015C4">
        <w:rPr>
          <w:rFonts w:ascii="Aptos" w:eastAsia="Aptos" w:hAnsi="Aptos" w:cs="Aptos"/>
          <w:b/>
          <w:bCs/>
          <w:color w:val="000000" w:themeColor="text1"/>
          <w:szCs w:val="24"/>
        </w:rPr>
        <w:t>SADARBĪBA AR EKSPERTIEM</w:t>
      </w:r>
      <w:r w:rsidR="0090749A" w:rsidRPr="00F015C4">
        <w:rPr>
          <w:rFonts w:ascii="Aptos" w:eastAsia="Aptos" w:hAnsi="Aptos" w:cs="Aptos"/>
          <w:b/>
          <w:bCs/>
          <w:color w:val="000000" w:themeColor="text1"/>
          <w:szCs w:val="24"/>
        </w:rPr>
        <w:t xml:space="preserve"> UN DARBA ORGANIZĀCIJA</w:t>
      </w:r>
    </w:p>
    <w:p w14:paraId="34C4734F" w14:textId="7E51E136" w:rsidR="00512142" w:rsidRPr="00F015C4" w:rsidRDefault="7EE0598E" w:rsidP="00A956E0">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Projekta iesnieguma dokumentācijas izvērtēšana, ekspertīzes atzinuma un konsolidētā ekspertīzes atzinuma sniegšana tiek veikta Kohēzijas politikas fondu vadības informācijas sistēmā</w:t>
      </w:r>
      <w:r w:rsidR="0C430BBD" w:rsidRPr="00F015C4">
        <w:rPr>
          <w:rFonts w:ascii="Aptos" w:eastAsia="Aptos" w:hAnsi="Aptos" w:cs="Aptos"/>
          <w:color w:val="000000" w:themeColor="text1"/>
          <w:szCs w:val="24"/>
        </w:rPr>
        <w:t xml:space="preserve"> (</w:t>
      </w:r>
      <w:r w:rsidR="00B467C0" w:rsidRPr="00F015C4">
        <w:rPr>
          <w:rFonts w:ascii="Aptos" w:eastAsia="Aptos" w:hAnsi="Aptos" w:cs="Aptos"/>
          <w:color w:val="000000" w:themeColor="text1"/>
          <w:szCs w:val="24"/>
        </w:rPr>
        <w:t xml:space="preserve">turpmāk - </w:t>
      </w:r>
      <w:r w:rsidR="0C430BBD" w:rsidRPr="00F015C4">
        <w:rPr>
          <w:rFonts w:ascii="Aptos" w:eastAsia="Aptos" w:hAnsi="Aptos" w:cs="Aptos"/>
          <w:color w:val="000000" w:themeColor="text1"/>
          <w:szCs w:val="24"/>
        </w:rPr>
        <w:t>Projektu portālā)</w:t>
      </w:r>
      <w:r w:rsidRPr="00F015C4">
        <w:rPr>
          <w:rFonts w:ascii="Aptos" w:eastAsia="Aptos" w:hAnsi="Aptos" w:cs="Aptos"/>
          <w:color w:val="000000" w:themeColor="text1"/>
          <w:szCs w:val="24"/>
        </w:rPr>
        <w:t>.</w:t>
      </w:r>
    </w:p>
    <w:p w14:paraId="0AC7E817" w14:textId="17D72C20" w:rsidR="00504668" w:rsidRPr="00F015C4" w:rsidRDefault="7EE0598E" w:rsidP="00A956E0">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 xml:space="preserve">Ekspertīzes atzinumus sniedz divās kārtās, nodrošinot ekspertu neatkarīgus individuālos ekspertīzes atzinumus un ekspertu konsolidēto ekspertīzes atzinumu, kas balstīts uz individuālas ekspertīzes atzinumiem. Konsolidētajā ekspertīzes atzinumā norādītais punktu skaits nav mazāks par punktu skaitu, kas piešķirts </w:t>
      </w:r>
      <w:r w:rsidRPr="00F015C4">
        <w:rPr>
          <w:rFonts w:ascii="Aptos" w:eastAsia="Aptos" w:hAnsi="Aptos" w:cs="Aptos"/>
          <w:color w:val="000000" w:themeColor="text1"/>
          <w:szCs w:val="24"/>
        </w:rPr>
        <w:lastRenderedPageBreak/>
        <w:t>zemākajā individuālajā vērtējumā, un nav lielāks par punktu skaitu, kas piešķirts augstākajā individuālajā vērtējumā.</w:t>
      </w:r>
    </w:p>
    <w:p w14:paraId="02DAD7CD" w14:textId="73403B03" w:rsidR="00504668" w:rsidRPr="00F015C4" w:rsidRDefault="7EE0598E" w:rsidP="00A956E0">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Ja eksperti nespēj vienoties par ekspertu konsolidēto ekspertīzes atzinumu, tiek pieaicināts trešais eksperts. Atlasītajam trešajam ekspertam ir jāatbilst pasākumā noteiktajām prasībām. Trešais eksperts vispirms neatkarīgi un neiepazīstoties ar iepriekšējiem vērtējumiem veic projekta ekspertīzi, sniedz savu individuālo ekspertīzes atzinumu un tikai pēc tam veido ekspertu konsolidēto ekspertīzes atzinumu. Trešā eksperta sagatavotais ekspertu konsolidētais ekspertīzes atzinums punktu apmērā nav augstāks par abu pārējo ekspertu augstāko vērtējumu punktu apmērā un nav zemāks par abu pārējo ekspertu zemāko vērtējumu punktu apmērā.</w:t>
      </w:r>
    </w:p>
    <w:p w14:paraId="300DAD3D" w14:textId="55565702" w:rsidR="00712913" w:rsidRPr="00F015C4" w:rsidRDefault="00FD5993" w:rsidP="00A956E0">
      <w:pPr>
        <w:pStyle w:val="ListParagraph"/>
        <w:numPr>
          <w:ilvl w:val="1"/>
          <w:numId w:val="22"/>
        </w:numPr>
        <w:spacing w:after="0" w:line="278" w:lineRule="auto"/>
        <w:ind w:left="851" w:hanging="425"/>
        <w:jc w:val="both"/>
        <w:rPr>
          <w:rFonts w:ascii="Aptos" w:eastAsia="Aptos" w:hAnsi="Aptos" w:cs="Aptos"/>
          <w:color w:val="000000" w:themeColor="text1"/>
        </w:rPr>
      </w:pPr>
      <w:r w:rsidRPr="505F4093">
        <w:rPr>
          <w:rFonts w:ascii="Aptos" w:eastAsia="Aptos" w:hAnsi="Aptos" w:cs="Aptos"/>
          <w:color w:val="000000" w:themeColor="text1"/>
        </w:rPr>
        <w:t xml:space="preserve">Termiņš </w:t>
      </w:r>
      <w:r w:rsidR="00016088" w:rsidRPr="505F4093">
        <w:rPr>
          <w:rFonts w:ascii="Aptos" w:eastAsia="Aptos" w:hAnsi="Aptos" w:cs="Aptos"/>
          <w:color w:val="000000" w:themeColor="text1"/>
        </w:rPr>
        <w:t xml:space="preserve">ekspertam </w:t>
      </w:r>
      <w:r w:rsidRPr="505F4093">
        <w:rPr>
          <w:rFonts w:ascii="Aptos" w:eastAsia="Aptos" w:hAnsi="Aptos" w:cs="Aptos"/>
          <w:color w:val="000000" w:themeColor="text1"/>
        </w:rPr>
        <w:t>viena projekta iesnieguma dokumentācijas izvērtēšanai un ekspertīzes atzinuma sniegšanai, viena konsolidētā ekspertīzes atzinuma sniegšanai, komentāru</w:t>
      </w:r>
      <w:r w:rsidR="00712913" w:rsidRPr="505F4093">
        <w:rPr>
          <w:rFonts w:ascii="Aptos" w:eastAsia="Aptos" w:hAnsi="Aptos" w:cs="Aptos"/>
          <w:color w:val="000000" w:themeColor="text1"/>
        </w:rPr>
        <w:t xml:space="preserve"> izskatīšanai un precizētā konsolidēto ekspertīzes atzinuma </w:t>
      </w:r>
      <w:r w:rsidR="00016088" w:rsidRPr="505F4093">
        <w:rPr>
          <w:rFonts w:ascii="Aptos" w:eastAsia="Aptos" w:hAnsi="Aptos" w:cs="Aptos"/>
          <w:color w:val="000000" w:themeColor="text1"/>
        </w:rPr>
        <w:t xml:space="preserve">vai skaidrojuma </w:t>
      </w:r>
      <w:r w:rsidR="00164961" w:rsidRPr="505F4093">
        <w:rPr>
          <w:rFonts w:ascii="Aptos" w:eastAsia="Aptos" w:hAnsi="Aptos" w:cs="Aptos"/>
          <w:color w:val="000000" w:themeColor="text1"/>
        </w:rPr>
        <w:t xml:space="preserve">aģentūras </w:t>
      </w:r>
      <w:r w:rsidR="000A7AC9" w:rsidRPr="505F4093">
        <w:rPr>
          <w:rFonts w:ascii="Aptos" w:eastAsia="Aptos" w:hAnsi="Aptos" w:cs="Aptos"/>
          <w:color w:val="000000" w:themeColor="text1"/>
        </w:rPr>
        <w:t xml:space="preserve">izdotā lēmuma apstrīdēšanas un pārsūdzēšanas gadījumā noteikts </w:t>
      </w:r>
      <w:r w:rsidR="0029012B" w:rsidRPr="505F4093">
        <w:rPr>
          <w:rFonts w:ascii="Aptos" w:eastAsia="Aptos" w:hAnsi="Aptos" w:cs="Aptos"/>
          <w:color w:val="000000" w:themeColor="text1"/>
        </w:rPr>
        <w:t>Vispārīgās vienošanās 1. pielikumā</w:t>
      </w:r>
      <w:r w:rsidR="00EA1783" w:rsidRPr="505F4093">
        <w:rPr>
          <w:rFonts w:ascii="Aptos" w:eastAsia="Aptos" w:hAnsi="Aptos" w:cs="Aptos"/>
          <w:color w:val="000000" w:themeColor="text1"/>
        </w:rPr>
        <w:t>.</w:t>
      </w:r>
    </w:p>
    <w:p w14:paraId="553175D1" w14:textId="7166248F" w:rsidR="00F33D4C" w:rsidRPr="00F015C4" w:rsidRDefault="7EE0598E" w:rsidP="00A956E0">
      <w:pPr>
        <w:pStyle w:val="ListParagraph"/>
        <w:numPr>
          <w:ilvl w:val="1"/>
          <w:numId w:val="22"/>
        </w:numPr>
        <w:spacing w:after="0" w:line="278" w:lineRule="auto"/>
        <w:ind w:left="851" w:hanging="425"/>
        <w:jc w:val="both"/>
        <w:rPr>
          <w:rFonts w:ascii="Aptos" w:eastAsia="Aptos" w:hAnsi="Aptos" w:cs="Aptos"/>
          <w:color w:val="000000" w:themeColor="text1"/>
          <w:szCs w:val="24"/>
        </w:rPr>
      </w:pPr>
      <w:r w:rsidRPr="00F015C4">
        <w:rPr>
          <w:rFonts w:ascii="Aptos" w:eastAsia="Aptos" w:hAnsi="Aptos" w:cs="Aptos"/>
          <w:color w:val="000000" w:themeColor="text1"/>
          <w:szCs w:val="24"/>
        </w:rPr>
        <w:t xml:space="preserve">Gadījumos, kad ekspertu sniegtais atzinums paredz negatīva lēmuma sagatavošanu </w:t>
      </w:r>
      <w:r w:rsidR="00164961" w:rsidRPr="00F015C4">
        <w:rPr>
          <w:rFonts w:ascii="Aptos" w:eastAsia="Aptos" w:hAnsi="Aptos" w:cs="Aptos"/>
          <w:color w:val="000000" w:themeColor="text1"/>
          <w:szCs w:val="24"/>
        </w:rPr>
        <w:t>aģentūra</w:t>
      </w:r>
      <w:r w:rsidR="000329C1" w:rsidRPr="00F015C4">
        <w:rPr>
          <w:rFonts w:ascii="Aptos" w:eastAsia="Aptos" w:hAnsi="Aptos" w:cs="Aptos"/>
          <w:color w:val="000000" w:themeColor="text1"/>
          <w:szCs w:val="24"/>
        </w:rPr>
        <w:t xml:space="preserve"> </w:t>
      </w:r>
      <w:r w:rsidRPr="00F015C4">
        <w:rPr>
          <w:rFonts w:ascii="Aptos" w:eastAsia="Aptos" w:hAnsi="Aptos" w:cs="Aptos"/>
          <w:color w:val="000000" w:themeColor="text1"/>
          <w:szCs w:val="24"/>
        </w:rPr>
        <w:t xml:space="preserve">izvērtē, vai: </w:t>
      </w:r>
    </w:p>
    <w:p w14:paraId="7903D3AF" w14:textId="7E5E5A39" w:rsidR="00F33D4C" w:rsidRPr="00F015C4" w:rsidRDefault="7EE0598E" w:rsidP="00692606">
      <w:pPr>
        <w:pStyle w:val="ListParagraph"/>
        <w:numPr>
          <w:ilvl w:val="2"/>
          <w:numId w:val="22"/>
        </w:numPr>
        <w:spacing w:after="0" w:line="278" w:lineRule="auto"/>
        <w:ind w:left="1701" w:hanging="708"/>
        <w:jc w:val="both"/>
        <w:rPr>
          <w:rFonts w:ascii="Aptos" w:eastAsia="Aptos" w:hAnsi="Aptos" w:cs="Aptos"/>
          <w:color w:val="000000" w:themeColor="text1"/>
          <w:szCs w:val="24"/>
        </w:rPr>
      </w:pPr>
      <w:r w:rsidRPr="00F015C4">
        <w:rPr>
          <w:rFonts w:ascii="Aptos" w:eastAsia="Aptos" w:hAnsi="Aptos" w:cs="Aptos"/>
          <w:color w:val="000000" w:themeColor="text1"/>
          <w:szCs w:val="24"/>
        </w:rPr>
        <w:t>ekspertīzes atzinums ir sniegts kā argumentēts viedoklis, kas izteikts apgalvojumu formā, un neatspoguļo pieņēmumus, šķietamību vai varbūtību;</w:t>
      </w:r>
    </w:p>
    <w:p w14:paraId="76DA3D64" w14:textId="35F1C1AB" w:rsidR="00F33D4C" w:rsidRPr="00F015C4" w:rsidRDefault="7EE0598E" w:rsidP="00692606">
      <w:pPr>
        <w:pStyle w:val="ListParagraph"/>
        <w:numPr>
          <w:ilvl w:val="2"/>
          <w:numId w:val="22"/>
        </w:numPr>
        <w:spacing w:after="0" w:line="278" w:lineRule="auto"/>
        <w:ind w:left="1701" w:hanging="708"/>
        <w:jc w:val="both"/>
        <w:rPr>
          <w:rFonts w:ascii="Aptos" w:eastAsia="Aptos" w:hAnsi="Aptos" w:cs="Aptos"/>
          <w:color w:val="000000" w:themeColor="text1"/>
          <w:szCs w:val="24"/>
        </w:rPr>
      </w:pPr>
      <w:r w:rsidRPr="00F015C4">
        <w:rPr>
          <w:rFonts w:ascii="Aptos" w:eastAsia="Aptos" w:hAnsi="Aptos" w:cs="Aptos"/>
          <w:color w:val="000000" w:themeColor="text1"/>
          <w:szCs w:val="24"/>
        </w:rPr>
        <w:t xml:space="preserve">ekspertīzes atzinums gatavots, pamatojoties uz pieejamajos dokumentos noradīto informāciju, t.sk., eksperts skaidri ir konstatējis </w:t>
      </w:r>
      <w:proofErr w:type="spellStart"/>
      <w:r w:rsidRPr="00F015C4">
        <w:rPr>
          <w:rFonts w:ascii="Aptos" w:eastAsia="Aptos" w:hAnsi="Aptos" w:cs="Aptos"/>
          <w:color w:val="000000" w:themeColor="text1"/>
          <w:szCs w:val="24"/>
        </w:rPr>
        <w:t>izvērtējumam</w:t>
      </w:r>
      <w:proofErr w:type="spellEnd"/>
      <w:r w:rsidRPr="00F015C4">
        <w:rPr>
          <w:rFonts w:ascii="Aptos" w:eastAsia="Aptos" w:hAnsi="Aptos" w:cs="Aptos"/>
          <w:color w:val="000000" w:themeColor="text1"/>
          <w:szCs w:val="24"/>
        </w:rPr>
        <w:t xml:space="preserve"> nepieciešamās informācijas trūkumu/nepietiekamību pieejamajos dokumentos, ja attiecināms; </w:t>
      </w:r>
    </w:p>
    <w:p w14:paraId="5C1ABC81" w14:textId="6C9E6CB6" w:rsidR="00F33D4C" w:rsidRPr="00F015C4" w:rsidRDefault="7EE0598E" w:rsidP="00692606">
      <w:pPr>
        <w:pStyle w:val="ListParagraph"/>
        <w:numPr>
          <w:ilvl w:val="2"/>
          <w:numId w:val="22"/>
        </w:numPr>
        <w:spacing w:after="0" w:line="278" w:lineRule="auto"/>
        <w:ind w:left="1701" w:hanging="708"/>
        <w:jc w:val="both"/>
        <w:rPr>
          <w:rFonts w:ascii="Aptos" w:eastAsia="Aptos" w:hAnsi="Aptos" w:cs="Aptos"/>
          <w:color w:val="000000" w:themeColor="text1"/>
          <w:szCs w:val="24"/>
        </w:rPr>
      </w:pPr>
      <w:r w:rsidRPr="00F015C4">
        <w:rPr>
          <w:rFonts w:ascii="Aptos" w:eastAsia="Aptos" w:hAnsi="Aptos" w:cs="Aptos"/>
          <w:color w:val="000000" w:themeColor="text1"/>
          <w:szCs w:val="24"/>
        </w:rPr>
        <w:t>ekspertīzes atzinumā norādītais vērtējums punktos atbilst iztirzājumā sniegtajiem argumentiem un šie argumenti ir pietiekami, lai uz sniegtā atzinuma pamata izdotu attiecīgu normatīvajos aktos noteiktu lēmumu.</w:t>
      </w:r>
    </w:p>
    <w:p w14:paraId="5183C748" w14:textId="2867661D" w:rsidR="3C6A64F3" w:rsidRPr="00F015C4" w:rsidRDefault="00DD2806" w:rsidP="00692606">
      <w:pPr>
        <w:pStyle w:val="ListParagraph"/>
        <w:numPr>
          <w:ilvl w:val="1"/>
          <w:numId w:val="22"/>
        </w:numPr>
        <w:spacing w:after="0" w:line="278" w:lineRule="auto"/>
        <w:ind w:left="851" w:hanging="425"/>
        <w:jc w:val="both"/>
        <w:rPr>
          <w:rFonts w:ascii="Aptos" w:eastAsia="Aptos" w:hAnsi="Aptos" w:cs="Aptos"/>
          <w:szCs w:val="24"/>
        </w:rPr>
      </w:pPr>
      <w:r w:rsidRPr="00F015C4">
        <w:rPr>
          <w:rFonts w:ascii="Aptos" w:eastAsia="Aptos" w:hAnsi="Aptos" w:cs="Aptos"/>
          <w:color w:val="000000" w:themeColor="text1"/>
          <w:szCs w:val="24"/>
        </w:rPr>
        <w:t>Aģentūras</w:t>
      </w:r>
      <w:r w:rsidR="4D1CE171" w:rsidRPr="00F015C4">
        <w:rPr>
          <w:rFonts w:ascii="Aptos" w:eastAsia="Aptos" w:hAnsi="Aptos" w:cs="Aptos"/>
          <w:color w:val="000000" w:themeColor="text1"/>
          <w:szCs w:val="24"/>
        </w:rPr>
        <w:t xml:space="preserve"> pārstāvis</w:t>
      </w:r>
      <w:r w:rsidR="3C6A64F3" w:rsidRPr="00F015C4">
        <w:rPr>
          <w:rFonts w:ascii="Aptos" w:eastAsia="Aptos" w:hAnsi="Aptos" w:cs="Aptos"/>
          <w:color w:val="000000" w:themeColor="text1"/>
          <w:szCs w:val="24"/>
        </w:rPr>
        <w:t xml:space="preserve"> vērtē </w:t>
      </w:r>
      <w:r w:rsidR="3C6A64F3" w:rsidRPr="00F015C4">
        <w:rPr>
          <w:rFonts w:ascii="Aptos" w:eastAsia="Aptos" w:hAnsi="Aptos" w:cs="Aptos"/>
          <w:szCs w:val="24"/>
        </w:rPr>
        <w:t xml:space="preserve">eksperta konsolidētās ekspertīzes </w:t>
      </w:r>
      <w:r w:rsidR="3C6A64F3" w:rsidRPr="00F015C4">
        <w:rPr>
          <w:rFonts w:ascii="Aptos" w:eastAsia="Aptos" w:hAnsi="Aptos" w:cs="Aptos"/>
          <w:color w:val="000000" w:themeColor="text1"/>
          <w:szCs w:val="24"/>
        </w:rPr>
        <w:t xml:space="preserve">atzinuma atbilstību SAM MK noteikumu un projekta iesniegumu atlasi regulējošo dokumentu nosacījumiem un nepieciešamības gadījumā lūdz nodrošināt atkārtotu ekspertīzes atzinuma sniegšanu, ja </w:t>
      </w:r>
      <w:r w:rsidR="3C6A64F3" w:rsidRPr="00F015C4">
        <w:rPr>
          <w:rFonts w:ascii="Aptos" w:eastAsia="Aptos" w:hAnsi="Aptos" w:cs="Aptos"/>
          <w:szCs w:val="24"/>
        </w:rPr>
        <w:t xml:space="preserve">konsolidētās </w:t>
      </w:r>
      <w:r w:rsidR="3C6A64F3" w:rsidRPr="00F015C4">
        <w:rPr>
          <w:rFonts w:ascii="Aptos" w:eastAsia="Aptos" w:hAnsi="Aptos" w:cs="Aptos"/>
          <w:color w:val="000000" w:themeColor="text1"/>
          <w:szCs w:val="24"/>
        </w:rPr>
        <w:t xml:space="preserve">ekspertīzes atzinumā </w:t>
      </w:r>
      <w:r w:rsidR="3C6A64F3" w:rsidRPr="00F015C4">
        <w:rPr>
          <w:rFonts w:ascii="Aptos" w:eastAsia="Aptos" w:hAnsi="Aptos" w:cs="Aptos"/>
          <w:szCs w:val="24"/>
        </w:rPr>
        <w:t xml:space="preserve">eksperta </w:t>
      </w:r>
      <w:r w:rsidR="3C6A64F3" w:rsidRPr="00F015C4">
        <w:rPr>
          <w:rFonts w:ascii="Aptos" w:eastAsia="Aptos" w:hAnsi="Aptos" w:cs="Aptos"/>
          <w:color w:val="000000" w:themeColor="text1"/>
          <w:szCs w:val="24"/>
        </w:rPr>
        <w:t>vērtējumam nav sniegts pamatojums vai nav ievēroti SAM MK noteikumi vai projekta iesniegumu atlasi regulējošo dokumentu nosacījumi.</w:t>
      </w:r>
    </w:p>
    <w:p w14:paraId="2962FBCF" w14:textId="5325F234" w:rsidR="00095800" w:rsidRPr="00F015C4" w:rsidRDefault="7EE0598E" w:rsidP="003C01BE">
      <w:pPr>
        <w:pStyle w:val="ListParagraph"/>
        <w:numPr>
          <w:ilvl w:val="1"/>
          <w:numId w:val="22"/>
        </w:numPr>
        <w:spacing w:after="0" w:line="278" w:lineRule="auto"/>
        <w:ind w:left="851" w:hanging="425"/>
        <w:rPr>
          <w:rFonts w:ascii="Aptos" w:eastAsia="Aptos" w:hAnsi="Aptos" w:cs="Aptos"/>
          <w:color w:val="000000" w:themeColor="text1"/>
          <w:szCs w:val="24"/>
        </w:rPr>
      </w:pPr>
      <w:r w:rsidRPr="00F015C4">
        <w:rPr>
          <w:rFonts w:ascii="Aptos" w:eastAsia="Aptos" w:hAnsi="Aptos" w:cs="Aptos"/>
          <w:color w:val="000000" w:themeColor="text1"/>
          <w:szCs w:val="24"/>
        </w:rPr>
        <w:t xml:space="preserve">Ja nepieciešams, </w:t>
      </w:r>
      <w:r w:rsidR="00AB48FB" w:rsidRPr="00F015C4">
        <w:rPr>
          <w:rFonts w:ascii="Aptos" w:eastAsia="Aptos" w:hAnsi="Aptos" w:cs="Aptos"/>
          <w:color w:val="000000" w:themeColor="text1"/>
          <w:szCs w:val="24"/>
        </w:rPr>
        <w:t>aģentūras</w:t>
      </w:r>
      <w:r w:rsidR="000329C1" w:rsidRPr="00F015C4">
        <w:rPr>
          <w:rFonts w:ascii="Aptos" w:eastAsia="Aptos" w:hAnsi="Aptos" w:cs="Aptos"/>
          <w:color w:val="000000" w:themeColor="text1"/>
          <w:szCs w:val="24"/>
        </w:rPr>
        <w:t xml:space="preserve"> </w:t>
      </w:r>
      <w:r w:rsidRPr="00F015C4">
        <w:rPr>
          <w:rFonts w:ascii="Aptos" w:eastAsia="Aptos" w:hAnsi="Aptos" w:cs="Aptos"/>
          <w:color w:val="000000" w:themeColor="text1"/>
          <w:szCs w:val="24"/>
        </w:rPr>
        <w:t xml:space="preserve"> </w:t>
      </w:r>
      <w:r w:rsidR="000329C1" w:rsidRPr="00F015C4">
        <w:rPr>
          <w:rFonts w:ascii="Aptos" w:eastAsia="Aptos" w:hAnsi="Aptos" w:cs="Aptos"/>
          <w:color w:val="000000" w:themeColor="text1"/>
          <w:szCs w:val="24"/>
        </w:rPr>
        <w:t xml:space="preserve">pārstāvis </w:t>
      </w:r>
      <w:r w:rsidRPr="00F015C4">
        <w:rPr>
          <w:rFonts w:ascii="Aptos" w:eastAsia="Aptos" w:hAnsi="Aptos" w:cs="Aptos"/>
          <w:color w:val="000000" w:themeColor="text1"/>
          <w:szCs w:val="24"/>
        </w:rPr>
        <w:t>par nepilnībām informē ekspertu un lūdz papildināt sniegto</w:t>
      </w:r>
      <w:r w:rsidR="00265362" w:rsidRPr="00F015C4">
        <w:rPr>
          <w:rFonts w:ascii="Aptos" w:eastAsia="Aptos" w:hAnsi="Aptos" w:cs="Aptos"/>
          <w:color w:val="000000" w:themeColor="text1"/>
          <w:szCs w:val="24"/>
        </w:rPr>
        <w:t xml:space="preserve"> </w:t>
      </w:r>
      <w:r w:rsidRPr="00F015C4">
        <w:rPr>
          <w:rFonts w:ascii="Aptos" w:eastAsia="Aptos" w:hAnsi="Aptos" w:cs="Aptos"/>
          <w:color w:val="000000" w:themeColor="text1"/>
          <w:szCs w:val="24"/>
        </w:rPr>
        <w:t>atzinumu, neiejaucoties ekspertu kompetencē.</w:t>
      </w:r>
    </w:p>
    <w:sectPr w:rsidR="00095800" w:rsidRPr="00F015C4" w:rsidSect="00F015C4">
      <w:pgSz w:w="11907" w:h="16840" w:code="9"/>
      <w:pgMar w:top="1134" w:right="1275" w:bottom="1135" w:left="1276"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4563" w14:textId="77777777" w:rsidR="004F0F31" w:rsidRDefault="004F0F31" w:rsidP="005E4E2B">
      <w:pPr>
        <w:spacing w:after="0" w:line="240" w:lineRule="auto"/>
      </w:pPr>
      <w:r>
        <w:separator/>
      </w:r>
    </w:p>
  </w:endnote>
  <w:endnote w:type="continuationSeparator" w:id="0">
    <w:p w14:paraId="76AF1865" w14:textId="77777777" w:rsidR="004F0F31" w:rsidRDefault="004F0F31" w:rsidP="005E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C46A" w14:textId="77777777" w:rsidR="004F0F31" w:rsidRDefault="004F0F31" w:rsidP="005E4E2B">
      <w:pPr>
        <w:spacing w:after="0" w:line="240" w:lineRule="auto"/>
      </w:pPr>
      <w:r>
        <w:separator/>
      </w:r>
    </w:p>
  </w:footnote>
  <w:footnote w:type="continuationSeparator" w:id="0">
    <w:p w14:paraId="2031EB56" w14:textId="77777777" w:rsidR="004F0F31" w:rsidRDefault="004F0F31" w:rsidP="005E4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9CB"/>
    <w:multiLevelType w:val="hybridMultilevel"/>
    <w:tmpl w:val="C21AE0AE"/>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 w15:restartNumberingAfterBreak="0">
    <w:nsid w:val="11132E1A"/>
    <w:multiLevelType w:val="hybridMultilevel"/>
    <w:tmpl w:val="947A8426"/>
    <w:lvl w:ilvl="0" w:tplc="16005D8E">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 w15:restartNumberingAfterBreak="0">
    <w:nsid w:val="196F6FE8"/>
    <w:multiLevelType w:val="hybridMultilevel"/>
    <w:tmpl w:val="61D0F8BE"/>
    <w:lvl w:ilvl="0" w:tplc="915E4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A575D"/>
    <w:multiLevelType w:val="hybridMultilevel"/>
    <w:tmpl w:val="8F425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B11BE4"/>
    <w:multiLevelType w:val="hybridMultilevel"/>
    <w:tmpl w:val="0BD8B8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7B02171"/>
    <w:multiLevelType w:val="hybridMultilevel"/>
    <w:tmpl w:val="75442A60"/>
    <w:lvl w:ilvl="0" w:tplc="1512B7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F2744"/>
    <w:multiLevelType w:val="hybridMultilevel"/>
    <w:tmpl w:val="CFC8CE26"/>
    <w:lvl w:ilvl="0" w:tplc="C64010E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B583A2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882C36"/>
    <w:multiLevelType w:val="hybridMultilevel"/>
    <w:tmpl w:val="278EBBE0"/>
    <w:lvl w:ilvl="0" w:tplc="21FC297E">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4BA96771"/>
    <w:multiLevelType w:val="multilevel"/>
    <w:tmpl w:val="50425B2E"/>
    <w:lvl w:ilvl="0">
      <w:start w:val="1"/>
      <w:numFmt w:val="decimal"/>
      <w:lvlText w:val="%1."/>
      <w:lvlJc w:val="left"/>
      <w:pPr>
        <w:ind w:left="454" w:hanging="454"/>
      </w:pPr>
      <w:rPr>
        <w:b w:val="0"/>
        <w:color w:val="auto"/>
      </w:rPr>
    </w:lvl>
    <w:lvl w:ilvl="1">
      <w:start w:val="1"/>
      <w:numFmt w:val="decimal"/>
      <w:isLgl/>
      <w:lvlText w:val="%1.%2."/>
      <w:lvlJc w:val="left"/>
      <w:pPr>
        <w:ind w:left="1077" w:hanging="567"/>
      </w:pPr>
    </w:lvl>
    <w:lvl w:ilvl="2">
      <w:start w:val="1"/>
      <w:numFmt w:val="lowerLetter"/>
      <w:isLgl/>
      <w:lvlText w:val="%3."/>
      <w:lvlJc w:val="left"/>
      <w:pPr>
        <w:ind w:left="1474" w:hanging="454"/>
      </w:pPr>
      <w:rPr>
        <w:rFonts w:ascii="Times New Roman" w:eastAsiaTheme="minorHAnsi" w:hAnsi="Times New Roman" w:cs="Times New Roman"/>
      </w:r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9" w15:restartNumberingAfterBreak="0">
    <w:nsid w:val="4DDB1CF2"/>
    <w:multiLevelType w:val="hybridMultilevel"/>
    <w:tmpl w:val="83D02954"/>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0" w15:restartNumberingAfterBreak="0">
    <w:nsid w:val="55E33E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ED45B3"/>
    <w:multiLevelType w:val="hybridMultilevel"/>
    <w:tmpl w:val="0BD8B8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A2E0570"/>
    <w:multiLevelType w:val="hybridMultilevel"/>
    <w:tmpl w:val="07EEAE20"/>
    <w:lvl w:ilvl="0" w:tplc="735626AC">
      <w:start w:val="1"/>
      <w:numFmt w:val="decimal"/>
      <w:lvlText w:val="%1."/>
      <w:lvlJc w:val="left"/>
      <w:pPr>
        <w:ind w:left="720" w:hanging="360"/>
      </w:pPr>
    </w:lvl>
    <w:lvl w:ilvl="1" w:tplc="126E5F7E">
      <w:start w:val="1"/>
      <w:numFmt w:val="lowerLetter"/>
      <w:lvlText w:val="%2."/>
      <w:lvlJc w:val="left"/>
      <w:pPr>
        <w:ind w:left="1440" w:hanging="360"/>
      </w:pPr>
    </w:lvl>
    <w:lvl w:ilvl="2" w:tplc="C60E8084">
      <w:start w:val="1"/>
      <w:numFmt w:val="lowerRoman"/>
      <w:lvlText w:val="%3."/>
      <w:lvlJc w:val="right"/>
      <w:pPr>
        <w:ind w:left="2160" w:hanging="180"/>
      </w:pPr>
    </w:lvl>
    <w:lvl w:ilvl="3" w:tplc="DFA4260C">
      <w:start w:val="1"/>
      <w:numFmt w:val="decimal"/>
      <w:lvlText w:val="%4."/>
      <w:lvlJc w:val="left"/>
      <w:pPr>
        <w:ind w:left="2880" w:hanging="360"/>
      </w:pPr>
    </w:lvl>
    <w:lvl w:ilvl="4" w:tplc="05C6F66E">
      <w:start w:val="1"/>
      <w:numFmt w:val="lowerLetter"/>
      <w:lvlText w:val="%5."/>
      <w:lvlJc w:val="left"/>
      <w:pPr>
        <w:ind w:left="3600" w:hanging="360"/>
      </w:pPr>
    </w:lvl>
    <w:lvl w:ilvl="5" w:tplc="A22CE4A4">
      <w:start w:val="1"/>
      <w:numFmt w:val="lowerRoman"/>
      <w:lvlText w:val="%6."/>
      <w:lvlJc w:val="right"/>
      <w:pPr>
        <w:ind w:left="4320" w:hanging="180"/>
      </w:pPr>
    </w:lvl>
    <w:lvl w:ilvl="6" w:tplc="12C0C26C">
      <w:start w:val="1"/>
      <w:numFmt w:val="decimal"/>
      <w:lvlText w:val="%7."/>
      <w:lvlJc w:val="left"/>
      <w:pPr>
        <w:ind w:left="5040" w:hanging="360"/>
      </w:pPr>
    </w:lvl>
    <w:lvl w:ilvl="7" w:tplc="1F78C396">
      <w:start w:val="1"/>
      <w:numFmt w:val="lowerLetter"/>
      <w:lvlText w:val="%8."/>
      <w:lvlJc w:val="left"/>
      <w:pPr>
        <w:ind w:left="5760" w:hanging="360"/>
      </w:pPr>
    </w:lvl>
    <w:lvl w:ilvl="8" w:tplc="E8D4BBEC">
      <w:start w:val="1"/>
      <w:numFmt w:val="lowerRoman"/>
      <w:lvlText w:val="%9."/>
      <w:lvlJc w:val="right"/>
      <w:pPr>
        <w:ind w:left="6480" w:hanging="180"/>
      </w:pPr>
    </w:lvl>
  </w:abstractNum>
  <w:abstractNum w:abstractNumId="13" w15:restartNumberingAfterBreak="0">
    <w:nsid w:val="6F69F83F"/>
    <w:multiLevelType w:val="multilevel"/>
    <w:tmpl w:val="6B5AD980"/>
    <w:lvl w:ilvl="0">
      <w:start w:val="1"/>
      <w:numFmt w:val="decimal"/>
      <w:lvlText w:val="%1."/>
      <w:lvlJc w:val="left"/>
      <w:pPr>
        <w:ind w:left="720" w:hanging="360"/>
      </w:pPr>
      <w:rPr>
        <w:sz w:val="24"/>
        <w:szCs w:val="24"/>
      </w:rPr>
    </w:lvl>
    <w:lvl w:ilvl="1">
      <w:start w:val="1"/>
      <w:numFmt w:val="decimal"/>
      <w:lvlText w:val="%1.%2."/>
      <w:lvlJc w:val="left"/>
      <w:pPr>
        <w:ind w:left="9574" w:hanging="360"/>
      </w:pPr>
      <w:rPr>
        <w:rFonts w:ascii="Aptos" w:hAnsi="Aptos" w:hint="default"/>
      </w:rPr>
    </w:lvl>
    <w:lvl w:ilvl="2">
      <w:start w:val="1"/>
      <w:numFmt w:val="decimal"/>
      <w:lvlText w:val="%1.%2.%3."/>
      <w:lvlJc w:val="left"/>
      <w:pPr>
        <w:ind w:left="605" w:hanging="18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6DD3B7"/>
    <w:multiLevelType w:val="hybridMultilevel"/>
    <w:tmpl w:val="063C6A3A"/>
    <w:lvl w:ilvl="0" w:tplc="A17A5FEE">
      <w:start w:val="1"/>
      <w:numFmt w:val="decimal"/>
      <w:lvlText w:val="%1."/>
      <w:lvlJc w:val="left"/>
      <w:pPr>
        <w:ind w:left="720" w:hanging="360"/>
      </w:pPr>
    </w:lvl>
    <w:lvl w:ilvl="1" w:tplc="BF1E5B02">
      <w:start w:val="1"/>
      <w:numFmt w:val="lowerLetter"/>
      <w:lvlText w:val="%2."/>
      <w:lvlJc w:val="left"/>
      <w:pPr>
        <w:ind w:left="1440" w:hanging="360"/>
      </w:pPr>
    </w:lvl>
    <w:lvl w:ilvl="2" w:tplc="E1B68266">
      <w:start w:val="1"/>
      <w:numFmt w:val="lowerRoman"/>
      <w:lvlText w:val="%3."/>
      <w:lvlJc w:val="right"/>
      <w:pPr>
        <w:ind w:left="2160" w:hanging="180"/>
      </w:pPr>
    </w:lvl>
    <w:lvl w:ilvl="3" w:tplc="1C149A1C">
      <w:start w:val="1"/>
      <w:numFmt w:val="decimal"/>
      <w:lvlText w:val="%4."/>
      <w:lvlJc w:val="left"/>
      <w:pPr>
        <w:ind w:left="2880" w:hanging="360"/>
      </w:pPr>
    </w:lvl>
    <w:lvl w:ilvl="4" w:tplc="A992B982">
      <w:start w:val="1"/>
      <w:numFmt w:val="lowerLetter"/>
      <w:lvlText w:val="%5."/>
      <w:lvlJc w:val="left"/>
      <w:pPr>
        <w:ind w:left="3600" w:hanging="360"/>
      </w:pPr>
    </w:lvl>
    <w:lvl w:ilvl="5" w:tplc="502E8410">
      <w:start w:val="1"/>
      <w:numFmt w:val="lowerRoman"/>
      <w:lvlText w:val="%6."/>
      <w:lvlJc w:val="right"/>
      <w:pPr>
        <w:ind w:left="4320" w:hanging="180"/>
      </w:pPr>
    </w:lvl>
    <w:lvl w:ilvl="6" w:tplc="D0B2F9C8">
      <w:start w:val="1"/>
      <w:numFmt w:val="decimal"/>
      <w:lvlText w:val="%7."/>
      <w:lvlJc w:val="left"/>
      <w:pPr>
        <w:ind w:left="5040" w:hanging="360"/>
      </w:pPr>
    </w:lvl>
    <w:lvl w:ilvl="7" w:tplc="F9DCFB3A">
      <w:start w:val="1"/>
      <w:numFmt w:val="lowerLetter"/>
      <w:lvlText w:val="%8."/>
      <w:lvlJc w:val="left"/>
      <w:pPr>
        <w:ind w:left="5760" w:hanging="360"/>
      </w:pPr>
    </w:lvl>
    <w:lvl w:ilvl="8" w:tplc="9766A47C">
      <w:start w:val="1"/>
      <w:numFmt w:val="lowerRoman"/>
      <w:lvlText w:val="%9."/>
      <w:lvlJc w:val="right"/>
      <w:pPr>
        <w:ind w:left="6480" w:hanging="180"/>
      </w:pPr>
    </w:lvl>
  </w:abstractNum>
  <w:abstractNum w:abstractNumId="15" w15:restartNumberingAfterBreak="0">
    <w:nsid w:val="72E745B7"/>
    <w:multiLevelType w:val="hybridMultilevel"/>
    <w:tmpl w:val="6958E0E2"/>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6" w15:restartNumberingAfterBreak="0">
    <w:nsid w:val="732406BB"/>
    <w:multiLevelType w:val="hybridMultilevel"/>
    <w:tmpl w:val="BAA8469A"/>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7" w15:restartNumberingAfterBreak="0">
    <w:nsid w:val="78FF16CA"/>
    <w:multiLevelType w:val="hybridMultilevel"/>
    <w:tmpl w:val="B72A6C9A"/>
    <w:lvl w:ilvl="0" w:tplc="C326394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C924F43"/>
    <w:multiLevelType w:val="hybridMultilevel"/>
    <w:tmpl w:val="75442A60"/>
    <w:lvl w:ilvl="0" w:tplc="1512B7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514B8F"/>
    <w:multiLevelType w:val="hybridMultilevel"/>
    <w:tmpl w:val="D78809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6C37A6"/>
    <w:multiLevelType w:val="hybridMultilevel"/>
    <w:tmpl w:val="3DAAF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88810207">
    <w:abstractNumId w:val="10"/>
  </w:num>
  <w:num w:numId="2" w16cid:durableId="872041887">
    <w:abstractNumId w:val="9"/>
  </w:num>
  <w:num w:numId="3" w16cid:durableId="1456867733">
    <w:abstractNumId w:val="20"/>
  </w:num>
  <w:num w:numId="4" w16cid:durableId="621426898">
    <w:abstractNumId w:val="16"/>
  </w:num>
  <w:num w:numId="5" w16cid:durableId="368990357">
    <w:abstractNumId w:val="0"/>
  </w:num>
  <w:num w:numId="6" w16cid:durableId="1128402218">
    <w:abstractNumId w:val="3"/>
  </w:num>
  <w:num w:numId="7" w16cid:durableId="1611812705">
    <w:abstractNumId w:val="15"/>
  </w:num>
  <w:num w:numId="8" w16cid:durableId="6252125">
    <w:abstractNumId w:val="6"/>
  </w:num>
  <w:num w:numId="9" w16cid:durableId="1716151428">
    <w:abstractNumId w:val="19"/>
  </w:num>
  <w:num w:numId="10" w16cid:durableId="1439791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0441867">
    <w:abstractNumId w:val="18"/>
  </w:num>
  <w:num w:numId="12" w16cid:durableId="652370070">
    <w:abstractNumId w:val="2"/>
  </w:num>
  <w:num w:numId="13" w16cid:durableId="334067502">
    <w:abstractNumId w:val="1"/>
  </w:num>
  <w:num w:numId="14" w16cid:durableId="1121387953">
    <w:abstractNumId w:val="17"/>
  </w:num>
  <w:num w:numId="15" w16cid:durableId="928078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9685181">
    <w:abstractNumId w:val="7"/>
  </w:num>
  <w:num w:numId="17" w16cid:durableId="2086220347">
    <w:abstractNumId w:val="11"/>
  </w:num>
  <w:num w:numId="18" w16cid:durableId="1631787611">
    <w:abstractNumId w:val="4"/>
  </w:num>
  <w:num w:numId="19" w16cid:durableId="756365629">
    <w:abstractNumId w:val="5"/>
  </w:num>
  <w:num w:numId="20" w16cid:durableId="1495560423">
    <w:abstractNumId w:val="12"/>
  </w:num>
  <w:num w:numId="21" w16cid:durableId="1403481247">
    <w:abstractNumId w:val="14"/>
  </w:num>
  <w:num w:numId="22" w16cid:durableId="1441953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trackRevisions/>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FA1"/>
    <w:rsid w:val="00000B4C"/>
    <w:rsid w:val="0001530B"/>
    <w:rsid w:val="00016088"/>
    <w:rsid w:val="000329C1"/>
    <w:rsid w:val="00032F96"/>
    <w:rsid w:val="000561D1"/>
    <w:rsid w:val="0005744F"/>
    <w:rsid w:val="00057F8E"/>
    <w:rsid w:val="00063CB6"/>
    <w:rsid w:val="00073873"/>
    <w:rsid w:val="00077F30"/>
    <w:rsid w:val="000846E4"/>
    <w:rsid w:val="000855FE"/>
    <w:rsid w:val="000876C8"/>
    <w:rsid w:val="00094DC8"/>
    <w:rsid w:val="00094DE9"/>
    <w:rsid w:val="00095800"/>
    <w:rsid w:val="000A0ACE"/>
    <w:rsid w:val="000A6BAE"/>
    <w:rsid w:val="000A7AC9"/>
    <w:rsid w:val="000B0392"/>
    <w:rsid w:val="000B7AE2"/>
    <w:rsid w:val="000C5AF8"/>
    <w:rsid w:val="000C7F72"/>
    <w:rsid w:val="000D223C"/>
    <w:rsid w:val="000E2562"/>
    <w:rsid w:val="00103604"/>
    <w:rsid w:val="00113FF2"/>
    <w:rsid w:val="00117359"/>
    <w:rsid w:val="001252F8"/>
    <w:rsid w:val="00140156"/>
    <w:rsid w:val="001403ED"/>
    <w:rsid w:val="001406BD"/>
    <w:rsid w:val="00142A49"/>
    <w:rsid w:val="0014396F"/>
    <w:rsid w:val="001441B9"/>
    <w:rsid w:val="00144BF0"/>
    <w:rsid w:val="001549D5"/>
    <w:rsid w:val="00154D1D"/>
    <w:rsid w:val="00157F29"/>
    <w:rsid w:val="00161D31"/>
    <w:rsid w:val="00164961"/>
    <w:rsid w:val="00193C03"/>
    <w:rsid w:val="00195D51"/>
    <w:rsid w:val="0019682A"/>
    <w:rsid w:val="001A1629"/>
    <w:rsid w:val="001A3443"/>
    <w:rsid w:val="001B08CA"/>
    <w:rsid w:val="001B40B9"/>
    <w:rsid w:val="001B4D77"/>
    <w:rsid w:val="001B7CF0"/>
    <w:rsid w:val="001D7CC8"/>
    <w:rsid w:val="002137F2"/>
    <w:rsid w:val="00222323"/>
    <w:rsid w:val="002223E0"/>
    <w:rsid w:val="00247D86"/>
    <w:rsid w:val="00253AE3"/>
    <w:rsid w:val="0025421F"/>
    <w:rsid w:val="00254FE3"/>
    <w:rsid w:val="00265362"/>
    <w:rsid w:val="002745A6"/>
    <w:rsid w:val="00274FFD"/>
    <w:rsid w:val="0027576A"/>
    <w:rsid w:val="0029012B"/>
    <w:rsid w:val="00290631"/>
    <w:rsid w:val="002928E0"/>
    <w:rsid w:val="002930EA"/>
    <w:rsid w:val="00295B39"/>
    <w:rsid w:val="002C070F"/>
    <w:rsid w:val="002C60A5"/>
    <w:rsid w:val="002D38EA"/>
    <w:rsid w:val="002D6FD3"/>
    <w:rsid w:val="002E4E88"/>
    <w:rsid w:val="002F5BC2"/>
    <w:rsid w:val="00314995"/>
    <w:rsid w:val="0033316B"/>
    <w:rsid w:val="00336129"/>
    <w:rsid w:val="003402AB"/>
    <w:rsid w:val="0034388E"/>
    <w:rsid w:val="00362DFC"/>
    <w:rsid w:val="00377FBA"/>
    <w:rsid w:val="00396CAD"/>
    <w:rsid w:val="003974B1"/>
    <w:rsid w:val="003A4F1D"/>
    <w:rsid w:val="003B0C40"/>
    <w:rsid w:val="003C01BE"/>
    <w:rsid w:val="003C1AE1"/>
    <w:rsid w:val="003C6B0C"/>
    <w:rsid w:val="003C7311"/>
    <w:rsid w:val="003D3556"/>
    <w:rsid w:val="003D7C67"/>
    <w:rsid w:val="003F1492"/>
    <w:rsid w:val="003F4F47"/>
    <w:rsid w:val="003F643B"/>
    <w:rsid w:val="00407055"/>
    <w:rsid w:val="00417591"/>
    <w:rsid w:val="00417CDD"/>
    <w:rsid w:val="0043647A"/>
    <w:rsid w:val="00437311"/>
    <w:rsid w:val="004374D8"/>
    <w:rsid w:val="004435F0"/>
    <w:rsid w:val="00461E66"/>
    <w:rsid w:val="00461F89"/>
    <w:rsid w:val="00462483"/>
    <w:rsid w:val="0047686E"/>
    <w:rsid w:val="004804E6"/>
    <w:rsid w:val="004867AC"/>
    <w:rsid w:val="00496B00"/>
    <w:rsid w:val="004A244E"/>
    <w:rsid w:val="004A273E"/>
    <w:rsid w:val="004A4F9E"/>
    <w:rsid w:val="004B1106"/>
    <w:rsid w:val="004B39E8"/>
    <w:rsid w:val="004C6143"/>
    <w:rsid w:val="004F0F31"/>
    <w:rsid w:val="00503459"/>
    <w:rsid w:val="00504668"/>
    <w:rsid w:val="00512142"/>
    <w:rsid w:val="00516347"/>
    <w:rsid w:val="00517C87"/>
    <w:rsid w:val="0052404F"/>
    <w:rsid w:val="005406A4"/>
    <w:rsid w:val="00541040"/>
    <w:rsid w:val="0054184F"/>
    <w:rsid w:val="00542D55"/>
    <w:rsid w:val="00557AF1"/>
    <w:rsid w:val="00563D83"/>
    <w:rsid w:val="00565596"/>
    <w:rsid w:val="0057152D"/>
    <w:rsid w:val="005722EA"/>
    <w:rsid w:val="00572746"/>
    <w:rsid w:val="005767C5"/>
    <w:rsid w:val="00590D51"/>
    <w:rsid w:val="00594B91"/>
    <w:rsid w:val="005B132E"/>
    <w:rsid w:val="005C0D9E"/>
    <w:rsid w:val="005D271C"/>
    <w:rsid w:val="005D775F"/>
    <w:rsid w:val="005E4E2B"/>
    <w:rsid w:val="005F49C7"/>
    <w:rsid w:val="005F4EF5"/>
    <w:rsid w:val="00605CC5"/>
    <w:rsid w:val="0061393F"/>
    <w:rsid w:val="00620A97"/>
    <w:rsid w:val="00626E11"/>
    <w:rsid w:val="00631AF2"/>
    <w:rsid w:val="00633801"/>
    <w:rsid w:val="0065608E"/>
    <w:rsid w:val="00661BEA"/>
    <w:rsid w:val="00665681"/>
    <w:rsid w:val="00682057"/>
    <w:rsid w:val="006852BD"/>
    <w:rsid w:val="00692606"/>
    <w:rsid w:val="0069466E"/>
    <w:rsid w:val="006A6349"/>
    <w:rsid w:val="006B456E"/>
    <w:rsid w:val="006B644F"/>
    <w:rsid w:val="006C237A"/>
    <w:rsid w:val="006D3156"/>
    <w:rsid w:val="006E2AE9"/>
    <w:rsid w:val="006E690F"/>
    <w:rsid w:val="0070089D"/>
    <w:rsid w:val="00712913"/>
    <w:rsid w:val="00727E81"/>
    <w:rsid w:val="00733556"/>
    <w:rsid w:val="007371F7"/>
    <w:rsid w:val="00737B34"/>
    <w:rsid w:val="00742CB5"/>
    <w:rsid w:val="00746401"/>
    <w:rsid w:val="00751BDE"/>
    <w:rsid w:val="00755DDC"/>
    <w:rsid w:val="00756C92"/>
    <w:rsid w:val="007644B3"/>
    <w:rsid w:val="007711A1"/>
    <w:rsid w:val="00795844"/>
    <w:rsid w:val="007A0780"/>
    <w:rsid w:val="007A7961"/>
    <w:rsid w:val="007C2262"/>
    <w:rsid w:val="007C7833"/>
    <w:rsid w:val="007D3FC7"/>
    <w:rsid w:val="007D55CA"/>
    <w:rsid w:val="007D6197"/>
    <w:rsid w:val="007D6558"/>
    <w:rsid w:val="007F0273"/>
    <w:rsid w:val="007F086C"/>
    <w:rsid w:val="00811301"/>
    <w:rsid w:val="00830660"/>
    <w:rsid w:val="00832DD3"/>
    <w:rsid w:val="00840748"/>
    <w:rsid w:val="00845C12"/>
    <w:rsid w:val="00863F82"/>
    <w:rsid w:val="008641EA"/>
    <w:rsid w:val="008803A6"/>
    <w:rsid w:val="00884C0F"/>
    <w:rsid w:val="008A1CAC"/>
    <w:rsid w:val="008A2726"/>
    <w:rsid w:val="008C1DCE"/>
    <w:rsid w:val="008C2DD7"/>
    <w:rsid w:val="008C4F43"/>
    <w:rsid w:val="008D3727"/>
    <w:rsid w:val="0090749A"/>
    <w:rsid w:val="00913FEB"/>
    <w:rsid w:val="0093113A"/>
    <w:rsid w:val="009468D1"/>
    <w:rsid w:val="00947A1E"/>
    <w:rsid w:val="00951B96"/>
    <w:rsid w:val="00952FA1"/>
    <w:rsid w:val="0096021D"/>
    <w:rsid w:val="00965EC5"/>
    <w:rsid w:val="00967030"/>
    <w:rsid w:val="00991040"/>
    <w:rsid w:val="00991608"/>
    <w:rsid w:val="00991B49"/>
    <w:rsid w:val="0099389E"/>
    <w:rsid w:val="0099533E"/>
    <w:rsid w:val="009A26CE"/>
    <w:rsid w:val="009B3C89"/>
    <w:rsid w:val="009B65F8"/>
    <w:rsid w:val="009E02AA"/>
    <w:rsid w:val="009E2932"/>
    <w:rsid w:val="009F3774"/>
    <w:rsid w:val="00A03D5F"/>
    <w:rsid w:val="00A15FE4"/>
    <w:rsid w:val="00A3140C"/>
    <w:rsid w:val="00A317C1"/>
    <w:rsid w:val="00A33580"/>
    <w:rsid w:val="00A3659C"/>
    <w:rsid w:val="00A37289"/>
    <w:rsid w:val="00A56E03"/>
    <w:rsid w:val="00A6039E"/>
    <w:rsid w:val="00A67900"/>
    <w:rsid w:val="00A7059B"/>
    <w:rsid w:val="00A870C0"/>
    <w:rsid w:val="00A956E0"/>
    <w:rsid w:val="00AA0281"/>
    <w:rsid w:val="00AA47EE"/>
    <w:rsid w:val="00AA6188"/>
    <w:rsid w:val="00AB2182"/>
    <w:rsid w:val="00AB2F1B"/>
    <w:rsid w:val="00AB48FB"/>
    <w:rsid w:val="00AB7FDE"/>
    <w:rsid w:val="00AC54B6"/>
    <w:rsid w:val="00AD19C7"/>
    <w:rsid w:val="00AF4F78"/>
    <w:rsid w:val="00B01C1C"/>
    <w:rsid w:val="00B11CBF"/>
    <w:rsid w:val="00B3353C"/>
    <w:rsid w:val="00B467C0"/>
    <w:rsid w:val="00B51AA0"/>
    <w:rsid w:val="00B54B76"/>
    <w:rsid w:val="00B761ED"/>
    <w:rsid w:val="00B770F7"/>
    <w:rsid w:val="00B83D0F"/>
    <w:rsid w:val="00B841EA"/>
    <w:rsid w:val="00B84241"/>
    <w:rsid w:val="00B86D5D"/>
    <w:rsid w:val="00B87B7C"/>
    <w:rsid w:val="00B92632"/>
    <w:rsid w:val="00B94F3B"/>
    <w:rsid w:val="00BB2653"/>
    <w:rsid w:val="00BD167B"/>
    <w:rsid w:val="00BD72D1"/>
    <w:rsid w:val="00BE684D"/>
    <w:rsid w:val="00BF6637"/>
    <w:rsid w:val="00BF7968"/>
    <w:rsid w:val="00C00A98"/>
    <w:rsid w:val="00C13488"/>
    <w:rsid w:val="00C441FD"/>
    <w:rsid w:val="00C52C02"/>
    <w:rsid w:val="00C72914"/>
    <w:rsid w:val="00C73092"/>
    <w:rsid w:val="00C829EB"/>
    <w:rsid w:val="00C909B2"/>
    <w:rsid w:val="00C9116E"/>
    <w:rsid w:val="00C95315"/>
    <w:rsid w:val="00C977FB"/>
    <w:rsid w:val="00CA57C1"/>
    <w:rsid w:val="00CB2BAB"/>
    <w:rsid w:val="00CB70FE"/>
    <w:rsid w:val="00CD6F52"/>
    <w:rsid w:val="00CE6577"/>
    <w:rsid w:val="00CF032D"/>
    <w:rsid w:val="00CF50F7"/>
    <w:rsid w:val="00D13A0C"/>
    <w:rsid w:val="00D141F7"/>
    <w:rsid w:val="00D15464"/>
    <w:rsid w:val="00D24CC6"/>
    <w:rsid w:val="00D27BA9"/>
    <w:rsid w:val="00D5187C"/>
    <w:rsid w:val="00D55654"/>
    <w:rsid w:val="00D57E70"/>
    <w:rsid w:val="00D62C2D"/>
    <w:rsid w:val="00D80A3F"/>
    <w:rsid w:val="00DA40C1"/>
    <w:rsid w:val="00DB0924"/>
    <w:rsid w:val="00DB37CE"/>
    <w:rsid w:val="00DB55D6"/>
    <w:rsid w:val="00DD2806"/>
    <w:rsid w:val="00DD3AB8"/>
    <w:rsid w:val="00DD3BDB"/>
    <w:rsid w:val="00DD65E3"/>
    <w:rsid w:val="00DF10E9"/>
    <w:rsid w:val="00DF16F3"/>
    <w:rsid w:val="00E0205E"/>
    <w:rsid w:val="00E20984"/>
    <w:rsid w:val="00E26F17"/>
    <w:rsid w:val="00E34C64"/>
    <w:rsid w:val="00E369EF"/>
    <w:rsid w:val="00E42E26"/>
    <w:rsid w:val="00E464E4"/>
    <w:rsid w:val="00E62FA5"/>
    <w:rsid w:val="00E72D37"/>
    <w:rsid w:val="00E73DD8"/>
    <w:rsid w:val="00E80378"/>
    <w:rsid w:val="00E82005"/>
    <w:rsid w:val="00EA1783"/>
    <w:rsid w:val="00EA7222"/>
    <w:rsid w:val="00EB2006"/>
    <w:rsid w:val="00EB68A1"/>
    <w:rsid w:val="00EB6E8D"/>
    <w:rsid w:val="00EB734F"/>
    <w:rsid w:val="00EB7463"/>
    <w:rsid w:val="00EB7A42"/>
    <w:rsid w:val="00EC0AEB"/>
    <w:rsid w:val="00EC2AF1"/>
    <w:rsid w:val="00ED0F8E"/>
    <w:rsid w:val="00ED4135"/>
    <w:rsid w:val="00ED4236"/>
    <w:rsid w:val="00ED6BB2"/>
    <w:rsid w:val="00ED6DB7"/>
    <w:rsid w:val="00ED7EE0"/>
    <w:rsid w:val="00ED7EE2"/>
    <w:rsid w:val="00EF0C22"/>
    <w:rsid w:val="00EF6C52"/>
    <w:rsid w:val="00F015C4"/>
    <w:rsid w:val="00F03212"/>
    <w:rsid w:val="00F05382"/>
    <w:rsid w:val="00F13D0C"/>
    <w:rsid w:val="00F33D4C"/>
    <w:rsid w:val="00F44C3A"/>
    <w:rsid w:val="00F453C9"/>
    <w:rsid w:val="00F607B0"/>
    <w:rsid w:val="00F84A9F"/>
    <w:rsid w:val="00F864C7"/>
    <w:rsid w:val="00F961E1"/>
    <w:rsid w:val="00FA1417"/>
    <w:rsid w:val="00FB44DE"/>
    <w:rsid w:val="00FB7DA3"/>
    <w:rsid w:val="00FC6C59"/>
    <w:rsid w:val="00FD5993"/>
    <w:rsid w:val="00FE06A2"/>
    <w:rsid w:val="00FE0DA9"/>
    <w:rsid w:val="00FE150B"/>
    <w:rsid w:val="00FE2412"/>
    <w:rsid w:val="01ACBBB5"/>
    <w:rsid w:val="03F642EE"/>
    <w:rsid w:val="04C625AD"/>
    <w:rsid w:val="0750A982"/>
    <w:rsid w:val="099B4B00"/>
    <w:rsid w:val="0A1001B4"/>
    <w:rsid w:val="0B542CDB"/>
    <w:rsid w:val="0C430BBD"/>
    <w:rsid w:val="0D55AA50"/>
    <w:rsid w:val="0F160199"/>
    <w:rsid w:val="1063B0C5"/>
    <w:rsid w:val="12A5A717"/>
    <w:rsid w:val="139D9982"/>
    <w:rsid w:val="15FC3E5A"/>
    <w:rsid w:val="196B1F7B"/>
    <w:rsid w:val="1DE35EB5"/>
    <w:rsid w:val="1EC6DB35"/>
    <w:rsid w:val="1F52067D"/>
    <w:rsid w:val="1FF9C339"/>
    <w:rsid w:val="20257751"/>
    <w:rsid w:val="28A3CA4B"/>
    <w:rsid w:val="2DEBB791"/>
    <w:rsid w:val="2F10CA8A"/>
    <w:rsid w:val="30B1CA65"/>
    <w:rsid w:val="312A41EE"/>
    <w:rsid w:val="352D1EBB"/>
    <w:rsid w:val="36B4AF0E"/>
    <w:rsid w:val="38A4E786"/>
    <w:rsid w:val="3C6A64F3"/>
    <w:rsid w:val="4287BDCB"/>
    <w:rsid w:val="43743E1C"/>
    <w:rsid w:val="459A9D93"/>
    <w:rsid w:val="45C0CFF5"/>
    <w:rsid w:val="49440399"/>
    <w:rsid w:val="4D1CE171"/>
    <w:rsid w:val="505F4093"/>
    <w:rsid w:val="51448229"/>
    <w:rsid w:val="52F989FC"/>
    <w:rsid w:val="549C1F99"/>
    <w:rsid w:val="55F51550"/>
    <w:rsid w:val="5755FF80"/>
    <w:rsid w:val="5788DC3E"/>
    <w:rsid w:val="58DC49EA"/>
    <w:rsid w:val="59B2FCEB"/>
    <w:rsid w:val="5AC36674"/>
    <w:rsid w:val="5DF6D90E"/>
    <w:rsid w:val="629FAAEC"/>
    <w:rsid w:val="63C0DB59"/>
    <w:rsid w:val="671B229B"/>
    <w:rsid w:val="67D4B195"/>
    <w:rsid w:val="6A4BB244"/>
    <w:rsid w:val="6DF1115D"/>
    <w:rsid w:val="6E2DAEA8"/>
    <w:rsid w:val="71420E41"/>
    <w:rsid w:val="74ABCC36"/>
    <w:rsid w:val="7A806DFD"/>
    <w:rsid w:val="7B401427"/>
    <w:rsid w:val="7EE0598E"/>
    <w:rsid w:val="7FDE9CF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70223"/>
  <w15:docId w15:val="{7D72938E-5B86-4E37-8E9D-0F823572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14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4E2B"/>
    <w:pPr>
      <w:tabs>
        <w:tab w:val="center" w:pos="4153"/>
        <w:tab w:val="right" w:pos="8306"/>
      </w:tabs>
      <w:spacing w:after="0" w:line="240" w:lineRule="auto"/>
    </w:pPr>
    <w:rPr>
      <w:rFonts w:eastAsia="Times New Roman" w:cs="Times New Roman"/>
      <w:sz w:val="20"/>
      <w:szCs w:val="20"/>
    </w:rPr>
  </w:style>
  <w:style w:type="character" w:customStyle="1" w:styleId="HeaderChar">
    <w:name w:val="Header Char"/>
    <w:basedOn w:val="DefaultParagraphFont"/>
    <w:link w:val="Header"/>
    <w:rsid w:val="005E4E2B"/>
    <w:rPr>
      <w:rFonts w:eastAsia="Times New Roman" w:cs="Times New Roman"/>
      <w:sz w:val="20"/>
      <w:szCs w:val="20"/>
    </w:rPr>
  </w:style>
  <w:style w:type="paragraph" w:styleId="Footer">
    <w:name w:val="footer"/>
    <w:basedOn w:val="Normal"/>
    <w:link w:val="FooterChar"/>
    <w:uiPriority w:val="99"/>
    <w:rsid w:val="005E4E2B"/>
    <w:pPr>
      <w:tabs>
        <w:tab w:val="center" w:pos="4153"/>
        <w:tab w:val="right" w:pos="8306"/>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5E4E2B"/>
    <w:rPr>
      <w:rFonts w:eastAsia="Times New Roman" w:cs="Times New Roman"/>
      <w:sz w:val="20"/>
      <w:szCs w:val="20"/>
    </w:rPr>
  </w:style>
  <w:style w:type="paragraph" w:styleId="ListParagraph">
    <w:name w:val="List Paragraph"/>
    <w:aliases w:val="H&amp;P List Paragraph,2,Strip,Saraksta rindkopa1,Normal bullet 2,Bullet list"/>
    <w:basedOn w:val="Normal"/>
    <w:link w:val="ListParagraphChar"/>
    <w:uiPriority w:val="34"/>
    <w:qFormat/>
    <w:rsid w:val="00B83D0F"/>
    <w:pPr>
      <w:ind w:left="720"/>
      <w:contextualSpacing/>
    </w:pPr>
  </w:style>
  <w:style w:type="character" w:styleId="CommentReference">
    <w:name w:val="annotation reference"/>
    <w:basedOn w:val="DefaultParagraphFont"/>
    <w:uiPriority w:val="99"/>
    <w:semiHidden/>
    <w:unhideWhenUsed/>
    <w:rsid w:val="00516347"/>
    <w:rPr>
      <w:sz w:val="16"/>
      <w:szCs w:val="16"/>
    </w:rPr>
  </w:style>
  <w:style w:type="paragraph" w:styleId="CommentText">
    <w:name w:val="annotation text"/>
    <w:basedOn w:val="Normal"/>
    <w:link w:val="CommentTextChar"/>
    <w:uiPriority w:val="99"/>
    <w:unhideWhenUsed/>
    <w:rsid w:val="00516347"/>
    <w:pPr>
      <w:spacing w:line="240" w:lineRule="auto"/>
    </w:pPr>
    <w:rPr>
      <w:sz w:val="20"/>
      <w:szCs w:val="20"/>
    </w:rPr>
  </w:style>
  <w:style w:type="character" w:customStyle="1" w:styleId="CommentTextChar">
    <w:name w:val="Comment Text Char"/>
    <w:basedOn w:val="DefaultParagraphFont"/>
    <w:link w:val="CommentText"/>
    <w:uiPriority w:val="99"/>
    <w:rsid w:val="00516347"/>
    <w:rPr>
      <w:sz w:val="20"/>
      <w:szCs w:val="20"/>
    </w:rPr>
  </w:style>
  <w:style w:type="paragraph" w:styleId="CommentSubject">
    <w:name w:val="annotation subject"/>
    <w:basedOn w:val="CommentText"/>
    <w:next w:val="CommentText"/>
    <w:link w:val="CommentSubjectChar"/>
    <w:uiPriority w:val="99"/>
    <w:semiHidden/>
    <w:unhideWhenUsed/>
    <w:rsid w:val="00516347"/>
    <w:rPr>
      <w:b/>
      <w:bCs/>
    </w:rPr>
  </w:style>
  <w:style w:type="character" w:customStyle="1" w:styleId="CommentSubjectChar">
    <w:name w:val="Comment Subject Char"/>
    <w:basedOn w:val="CommentTextChar"/>
    <w:link w:val="CommentSubject"/>
    <w:uiPriority w:val="99"/>
    <w:semiHidden/>
    <w:rsid w:val="00516347"/>
    <w:rPr>
      <w:b/>
      <w:bCs/>
      <w:sz w:val="20"/>
      <w:szCs w:val="20"/>
    </w:rPr>
  </w:style>
  <w:style w:type="paragraph" w:styleId="BalloonText">
    <w:name w:val="Balloon Text"/>
    <w:basedOn w:val="Normal"/>
    <w:link w:val="BalloonTextChar"/>
    <w:uiPriority w:val="99"/>
    <w:semiHidden/>
    <w:unhideWhenUsed/>
    <w:rsid w:val="00516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347"/>
    <w:rPr>
      <w:rFonts w:ascii="Segoe UI" w:hAnsi="Segoe UI" w:cs="Segoe UI"/>
      <w:sz w:val="18"/>
      <w:szCs w:val="18"/>
    </w:rPr>
  </w:style>
  <w:style w:type="character" w:styleId="Hyperlink">
    <w:name w:val="Hyperlink"/>
    <w:basedOn w:val="DefaultParagraphFont"/>
    <w:uiPriority w:val="99"/>
    <w:unhideWhenUsed/>
    <w:rsid w:val="002C070F"/>
    <w:rPr>
      <w:color w:val="0563C1"/>
      <w:u w:val="single"/>
    </w:rPr>
  </w:style>
  <w:style w:type="character" w:customStyle="1" w:styleId="GridTable1Light1">
    <w:name w:val="Grid Table 1 Light1"/>
    <w:basedOn w:val="DefaultParagraphFont"/>
    <w:rsid w:val="002C070F"/>
    <w:rPr>
      <w:b/>
      <w:bCs/>
      <w:smallCaps/>
      <w:spacing w:val="5"/>
    </w:rPr>
  </w:style>
  <w:style w:type="character" w:customStyle="1" w:styleId="Heading2Char">
    <w:name w:val="Heading 2 Char"/>
    <w:basedOn w:val="DefaultParagraphFont"/>
    <w:link w:val="Heading2"/>
    <w:uiPriority w:val="9"/>
    <w:rsid w:val="003F1492"/>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H&amp;P List Paragraph Char,2 Char,Strip Char,Saraksta rindkopa1 Char,Normal bullet 2 Char,Bullet list Char"/>
    <w:link w:val="ListParagraph"/>
    <w:uiPriority w:val="34"/>
    <w:qFormat/>
    <w:locked/>
    <w:rsid w:val="00DD3BDB"/>
  </w:style>
  <w:style w:type="paragraph" w:styleId="EndnoteText">
    <w:name w:val="endnote text"/>
    <w:basedOn w:val="Normal"/>
    <w:link w:val="EndnoteTextChar"/>
    <w:uiPriority w:val="99"/>
    <w:semiHidden/>
    <w:unhideWhenUsed/>
    <w:rsid w:val="008C1D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1DCE"/>
    <w:rPr>
      <w:sz w:val="20"/>
      <w:szCs w:val="20"/>
    </w:rPr>
  </w:style>
  <w:style w:type="character" w:styleId="EndnoteReference">
    <w:name w:val="endnote reference"/>
    <w:basedOn w:val="DefaultParagraphFont"/>
    <w:uiPriority w:val="99"/>
    <w:semiHidden/>
    <w:unhideWhenUsed/>
    <w:rsid w:val="008C1DCE"/>
    <w:rPr>
      <w:vertAlign w:val="superscript"/>
    </w:rPr>
  </w:style>
  <w:style w:type="paragraph" w:styleId="Revision">
    <w:name w:val="Revision"/>
    <w:hidden/>
    <w:uiPriority w:val="99"/>
    <w:semiHidden/>
    <w:rsid w:val="00D5187C"/>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6286">
      <w:bodyDiv w:val="1"/>
      <w:marLeft w:val="0"/>
      <w:marRight w:val="0"/>
      <w:marTop w:val="0"/>
      <w:marBottom w:val="0"/>
      <w:divBdr>
        <w:top w:val="none" w:sz="0" w:space="0" w:color="auto"/>
        <w:left w:val="none" w:sz="0" w:space="0" w:color="auto"/>
        <w:bottom w:val="none" w:sz="0" w:space="0" w:color="auto"/>
        <w:right w:val="none" w:sz="0" w:space="0" w:color="auto"/>
      </w:divBdr>
    </w:div>
    <w:div w:id="752822631">
      <w:bodyDiv w:val="1"/>
      <w:marLeft w:val="0"/>
      <w:marRight w:val="0"/>
      <w:marTop w:val="0"/>
      <w:marBottom w:val="0"/>
      <w:divBdr>
        <w:top w:val="none" w:sz="0" w:space="0" w:color="auto"/>
        <w:left w:val="none" w:sz="0" w:space="0" w:color="auto"/>
        <w:bottom w:val="none" w:sz="0" w:space="0" w:color="auto"/>
        <w:right w:val="none" w:sz="0" w:space="0" w:color="auto"/>
      </w:divBdr>
    </w:div>
    <w:div w:id="808787821">
      <w:bodyDiv w:val="1"/>
      <w:marLeft w:val="0"/>
      <w:marRight w:val="0"/>
      <w:marTop w:val="0"/>
      <w:marBottom w:val="0"/>
      <w:divBdr>
        <w:top w:val="none" w:sz="0" w:space="0" w:color="auto"/>
        <w:left w:val="none" w:sz="0" w:space="0" w:color="auto"/>
        <w:bottom w:val="none" w:sz="0" w:space="0" w:color="auto"/>
        <w:right w:val="none" w:sz="0" w:space="0" w:color="auto"/>
      </w:divBdr>
    </w:div>
    <w:div w:id="942228015">
      <w:bodyDiv w:val="1"/>
      <w:marLeft w:val="0"/>
      <w:marRight w:val="0"/>
      <w:marTop w:val="0"/>
      <w:marBottom w:val="0"/>
      <w:divBdr>
        <w:top w:val="none" w:sz="0" w:space="0" w:color="auto"/>
        <w:left w:val="none" w:sz="0" w:space="0" w:color="auto"/>
        <w:bottom w:val="none" w:sz="0" w:space="0" w:color="auto"/>
        <w:right w:val="none" w:sz="0" w:space="0" w:color="auto"/>
      </w:divBdr>
      <w:divsChild>
        <w:div w:id="1690328864">
          <w:marLeft w:val="0"/>
          <w:marRight w:val="0"/>
          <w:marTop w:val="0"/>
          <w:marBottom w:val="0"/>
          <w:divBdr>
            <w:top w:val="none" w:sz="0" w:space="0" w:color="auto"/>
            <w:left w:val="none" w:sz="0" w:space="0" w:color="auto"/>
            <w:bottom w:val="none" w:sz="0" w:space="0" w:color="auto"/>
            <w:right w:val="none" w:sz="0" w:space="0" w:color="auto"/>
          </w:divBdr>
        </w:div>
        <w:div w:id="2046976956">
          <w:marLeft w:val="0"/>
          <w:marRight w:val="0"/>
          <w:marTop w:val="0"/>
          <w:marBottom w:val="0"/>
          <w:divBdr>
            <w:top w:val="none" w:sz="0" w:space="0" w:color="auto"/>
            <w:left w:val="none" w:sz="0" w:space="0" w:color="auto"/>
            <w:bottom w:val="none" w:sz="0" w:space="0" w:color="auto"/>
            <w:right w:val="none" w:sz="0" w:space="0" w:color="auto"/>
          </w:divBdr>
        </w:div>
      </w:divsChild>
    </w:div>
    <w:div w:id="1393845392">
      <w:bodyDiv w:val="1"/>
      <w:marLeft w:val="0"/>
      <w:marRight w:val="0"/>
      <w:marTop w:val="0"/>
      <w:marBottom w:val="0"/>
      <w:divBdr>
        <w:top w:val="none" w:sz="0" w:space="0" w:color="auto"/>
        <w:left w:val="none" w:sz="0" w:space="0" w:color="auto"/>
        <w:bottom w:val="none" w:sz="0" w:space="0" w:color="auto"/>
        <w:right w:val="none" w:sz="0" w:space="0" w:color="auto"/>
      </w:divBdr>
    </w:div>
    <w:div w:id="211624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
        <AccountId xsi:nil="true"/>
        <AccountType/>
      </UserInfo>
    </SharedWithUsers>
  </documentManagement>
</p:properties>
</file>

<file path=customXml/itemProps1.xml><?xml version="1.0" encoding="utf-8"?>
<ds:datastoreItem xmlns:ds="http://schemas.openxmlformats.org/officeDocument/2006/customXml" ds:itemID="{7D8BD97A-6260-45D6-9551-B347C6BC2564}">
  <ds:schemaRefs>
    <ds:schemaRef ds:uri="http://schemas.microsoft.com/sharepoint/v3/contenttype/forms"/>
  </ds:schemaRefs>
</ds:datastoreItem>
</file>

<file path=customXml/itemProps2.xml><?xml version="1.0" encoding="utf-8"?>
<ds:datastoreItem xmlns:ds="http://schemas.openxmlformats.org/officeDocument/2006/customXml" ds:itemID="{CB0CF30C-46BA-449B-9D38-51FC2CFF4212}">
  <ds:schemaRefs>
    <ds:schemaRef ds:uri="http://schemas.openxmlformats.org/officeDocument/2006/bibliography"/>
  </ds:schemaRefs>
</ds:datastoreItem>
</file>

<file path=customXml/itemProps3.xml><?xml version="1.0" encoding="utf-8"?>
<ds:datastoreItem xmlns:ds="http://schemas.openxmlformats.org/officeDocument/2006/customXml" ds:itemID="{AF6EEBAE-6A49-490B-8E03-496EE791877A}"/>
</file>

<file path=customXml/itemProps4.xml><?xml version="1.0" encoding="utf-8"?>
<ds:datastoreItem xmlns:ds="http://schemas.openxmlformats.org/officeDocument/2006/customXml" ds:itemID="{CA30DEA0-418E-4FA2-8715-BD70BAA26352}">
  <ds:schemaRef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42144e59-5907-413f-b624-803f3a022d9b"/>
    <ds:schemaRef ds:uri="http://purl.org/dc/elements/1.1/"/>
    <ds:schemaRef ds:uri="25a75a1d-8b78-49a6-8e4b-dbe94589a28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4858</Words>
  <Characters>2770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cp:lastModifiedBy>Diāna Meiere-Auziņa</cp:lastModifiedBy>
  <cp:revision>167</cp:revision>
  <cp:lastPrinted>2016-07-29T07:26:00Z</cp:lastPrinted>
  <dcterms:created xsi:type="dcterms:W3CDTF">2018-03-29T03:24:00Z</dcterms:created>
  <dcterms:modified xsi:type="dcterms:W3CDTF">2025-09-12T06:36:00Z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98800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