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7933" w14:textId="3BB4F9C1" w:rsidR="00574F94" w:rsidRPr="004D37CE" w:rsidRDefault="597E1AF7" w:rsidP="6CCC051E">
      <w:pPr>
        <w:spacing w:after="0" w:line="276" w:lineRule="auto"/>
        <w:jc w:val="right"/>
        <w:rPr>
          <w:rFonts w:cs="Aptos"/>
          <w:lang w:val="lv-LV"/>
        </w:rPr>
      </w:pPr>
      <w:r w:rsidRPr="004D37CE">
        <w:rPr>
          <w:rFonts w:cs="Aptos"/>
          <w:lang w:val="lv-LV"/>
        </w:rPr>
        <w:t>5. p</w:t>
      </w:r>
      <w:r w:rsidR="00060804" w:rsidRPr="004D37CE">
        <w:rPr>
          <w:rFonts w:cs="Aptos"/>
          <w:lang w:val="lv-LV"/>
        </w:rPr>
        <w:t>ielikums</w:t>
      </w:r>
    </w:p>
    <w:p w14:paraId="07C0B77F" w14:textId="77777777" w:rsidR="00FD00FC" w:rsidRPr="004D37CE" w:rsidRDefault="00FD00FC" w:rsidP="6CCC051E">
      <w:pPr>
        <w:spacing w:after="0" w:line="276" w:lineRule="auto"/>
        <w:jc w:val="right"/>
        <w:rPr>
          <w:rFonts w:cs="Aptos"/>
          <w:lang w:val="lv-LV"/>
        </w:rPr>
      </w:pPr>
    </w:p>
    <w:p w14:paraId="59D2CBD4" w14:textId="1C3F00A7" w:rsidR="00FD00FC" w:rsidRPr="004D37CE" w:rsidRDefault="00FD00FC" w:rsidP="6CCC051E">
      <w:pPr>
        <w:spacing w:after="0" w:line="276" w:lineRule="auto"/>
        <w:jc w:val="right"/>
        <w:rPr>
          <w:rFonts w:cs="Aptos"/>
          <w:lang w:val="lv-LV"/>
        </w:rPr>
      </w:pPr>
      <w:r w:rsidRPr="004D37CE">
        <w:rPr>
          <w:rFonts w:cs="Aptos"/>
          <w:lang w:val="lv-LV"/>
        </w:rPr>
        <w:t>Metodika apstiprināt</w:t>
      </w:r>
      <w:r w:rsidR="009A08FA" w:rsidRPr="004D37CE">
        <w:rPr>
          <w:rFonts w:cs="Aptos"/>
          <w:lang w:val="lv-LV"/>
        </w:rPr>
        <w:t>a</w:t>
      </w:r>
      <w:r w:rsidRPr="004D37CE">
        <w:rPr>
          <w:rFonts w:cs="Aptos"/>
          <w:lang w:val="lv-LV"/>
        </w:rPr>
        <w:t xml:space="preserve"> ar</w:t>
      </w:r>
    </w:p>
    <w:p w14:paraId="309F7E9B" w14:textId="4FF3DF85" w:rsidR="00574F94" w:rsidRPr="004D37CE" w:rsidRDefault="00060804" w:rsidP="6CCC051E">
      <w:pPr>
        <w:spacing w:after="0" w:line="276" w:lineRule="auto"/>
        <w:jc w:val="right"/>
        <w:rPr>
          <w:rFonts w:cs="Aptos"/>
          <w:lang w:val="lv-LV"/>
        </w:rPr>
      </w:pPr>
      <w:r w:rsidRPr="004D37CE">
        <w:rPr>
          <w:rFonts w:cs="Aptos"/>
          <w:lang w:val="lv-LV"/>
        </w:rPr>
        <w:t xml:space="preserve">Izglītības un zinātnes ministrijas </w:t>
      </w:r>
    </w:p>
    <w:p w14:paraId="2EE61747" w14:textId="5C6EE182" w:rsidR="006B337B" w:rsidRPr="004D37CE" w:rsidRDefault="00D2559C" w:rsidP="6CCC051E">
      <w:pPr>
        <w:suppressAutoHyphens w:val="0"/>
        <w:autoSpaceDN/>
        <w:spacing w:after="0" w:line="240" w:lineRule="auto"/>
        <w:jc w:val="right"/>
        <w:rPr>
          <w:rFonts w:cs="Aptos"/>
          <w:kern w:val="0"/>
          <w:lang w:val="lv-LV" w:eastAsia="lv-LV"/>
        </w:rPr>
      </w:pPr>
      <w:r w:rsidRPr="004D37CE">
        <w:rPr>
          <w:rFonts w:cs="Aptos"/>
          <w:kern w:val="0"/>
          <w:lang w:val="lv-LV" w:eastAsia="lv-LV"/>
        </w:rPr>
        <w:t>2025. gada 9. jūnija</w:t>
      </w:r>
    </w:p>
    <w:p w14:paraId="4C17CA8C" w14:textId="1180A55A" w:rsidR="006B337B" w:rsidRPr="004D37CE" w:rsidRDefault="00FD00FC" w:rsidP="6CCC051E">
      <w:pPr>
        <w:spacing w:line="240" w:lineRule="auto"/>
        <w:jc w:val="right"/>
        <w:rPr>
          <w:rFonts w:cs="Aptos"/>
          <w:b/>
          <w:bCs/>
          <w:lang w:val="lv-LV"/>
        </w:rPr>
      </w:pPr>
      <w:r w:rsidRPr="004D37CE">
        <w:rPr>
          <w:rFonts w:cs="Aptos"/>
          <w:kern w:val="0"/>
          <w:lang w:val="lv-LV" w:eastAsia="lv-LV"/>
        </w:rPr>
        <w:t xml:space="preserve">rīkojumu </w:t>
      </w:r>
      <w:r w:rsidR="00060804" w:rsidRPr="004D37CE">
        <w:rPr>
          <w:rFonts w:cs="Aptos"/>
          <w:kern w:val="0"/>
          <w:lang w:val="lv-LV" w:eastAsia="lv-LV"/>
        </w:rPr>
        <w:t>Nr.</w:t>
      </w:r>
      <w:r w:rsidR="00F54D7C" w:rsidRPr="004D37CE">
        <w:rPr>
          <w:rFonts w:cs="Aptos"/>
          <w:kern w:val="0"/>
          <w:lang w:val="lv-LV" w:eastAsia="lv-LV"/>
        </w:rPr>
        <w:t xml:space="preserve"> </w:t>
      </w:r>
      <w:r w:rsidR="00F54D7C" w:rsidRPr="004D37CE">
        <w:rPr>
          <w:rFonts w:cs="Aptos"/>
          <w:noProof/>
          <w:kern w:val="0"/>
          <w:lang w:val="lv-LV" w:eastAsia="lv-LV"/>
        </w:rPr>
        <w:t>1-2e/25/174</w:t>
      </w:r>
    </w:p>
    <w:p w14:paraId="489CEAED" w14:textId="77777777" w:rsidR="00574F94" w:rsidRPr="004D37CE" w:rsidRDefault="00574F94" w:rsidP="6CCC051E">
      <w:pPr>
        <w:spacing w:line="276" w:lineRule="auto"/>
        <w:jc w:val="center"/>
        <w:rPr>
          <w:rFonts w:cs="Aptos"/>
          <w:b/>
          <w:bCs/>
          <w:sz w:val="24"/>
          <w:szCs w:val="24"/>
          <w:lang w:val="lv-LV"/>
        </w:rPr>
      </w:pPr>
    </w:p>
    <w:p w14:paraId="46ED61A9" w14:textId="77777777" w:rsidR="00574F94" w:rsidRPr="004D37CE" w:rsidRDefault="00060804" w:rsidP="6CCC051E">
      <w:pPr>
        <w:spacing w:line="276" w:lineRule="auto"/>
        <w:jc w:val="center"/>
        <w:rPr>
          <w:rFonts w:cs="Aptos"/>
          <w:b/>
          <w:bCs/>
          <w:sz w:val="24"/>
          <w:szCs w:val="24"/>
          <w:lang w:val="lv-LV"/>
        </w:rPr>
      </w:pPr>
      <w:r w:rsidRPr="004D37CE">
        <w:rPr>
          <w:rFonts w:cs="Aptos"/>
          <w:b/>
          <w:bCs/>
          <w:sz w:val="24"/>
          <w:szCs w:val="24"/>
          <w:lang w:val="lv-LV"/>
        </w:rPr>
        <w:t xml:space="preserve">4.2.2.11. pasākuma “Studiju procesa </w:t>
      </w:r>
      <w:proofErr w:type="spellStart"/>
      <w:r w:rsidRPr="004D37CE">
        <w:rPr>
          <w:rFonts w:cs="Aptos"/>
          <w:b/>
          <w:bCs/>
          <w:sz w:val="24"/>
          <w:szCs w:val="24"/>
          <w:lang w:val="lv-LV"/>
        </w:rPr>
        <w:t>digitalizācija</w:t>
      </w:r>
      <w:proofErr w:type="spellEnd"/>
      <w:r w:rsidRPr="004D37CE">
        <w:rPr>
          <w:rFonts w:cs="Aptos"/>
          <w:b/>
          <w:bCs/>
          <w:sz w:val="24"/>
          <w:szCs w:val="24"/>
          <w:lang w:val="lv-LV"/>
        </w:rPr>
        <w:t xml:space="preserve">” pirmās projektu </w:t>
      </w:r>
      <w:bookmarkStart w:id="0" w:name="_Hlk199756192"/>
      <w:r w:rsidRPr="004D37CE">
        <w:rPr>
          <w:rFonts w:cs="Aptos"/>
          <w:b/>
          <w:bCs/>
          <w:sz w:val="24"/>
          <w:szCs w:val="24"/>
          <w:lang w:val="lv-LV"/>
        </w:rPr>
        <w:t>iesniegumu atlases kārtas sadarbības partneru atbilstības komercdarbības atbalstu izslēdzošiem kritērijiem vērtēšanas metodika</w:t>
      </w:r>
      <w:bookmarkEnd w:id="0"/>
    </w:p>
    <w:p w14:paraId="1BC868E3" w14:textId="77777777" w:rsidR="00574F94" w:rsidRPr="004D37CE" w:rsidRDefault="00574F94" w:rsidP="6CCC051E">
      <w:pPr>
        <w:spacing w:line="276" w:lineRule="auto"/>
        <w:jc w:val="center"/>
        <w:rPr>
          <w:rFonts w:cs="Aptos"/>
          <w:b/>
          <w:bCs/>
          <w:sz w:val="24"/>
          <w:szCs w:val="24"/>
          <w:lang w:val="lv-LV"/>
        </w:rPr>
      </w:pPr>
    </w:p>
    <w:p w14:paraId="726C93CB" w14:textId="77777777" w:rsidR="00574F94" w:rsidRPr="004D37CE" w:rsidRDefault="00060804" w:rsidP="6CCC051E">
      <w:pPr>
        <w:spacing w:line="276" w:lineRule="auto"/>
        <w:jc w:val="center"/>
        <w:rPr>
          <w:rFonts w:cs="Aptos"/>
          <w:b/>
          <w:bCs/>
          <w:sz w:val="24"/>
          <w:szCs w:val="24"/>
          <w:lang w:val="lv-LV"/>
        </w:rPr>
      </w:pPr>
      <w:r w:rsidRPr="004D37CE">
        <w:rPr>
          <w:rFonts w:cs="Aptos"/>
          <w:b/>
          <w:bCs/>
          <w:sz w:val="24"/>
          <w:szCs w:val="24"/>
          <w:lang w:val="lv-LV"/>
        </w:rPr>
        <w:t>I. Metodikas mērķis</w:t>
      </w:r>
    </w:p>
    <w:p w14:paraId="4A6ECFF3" w14:textId="77777777" w:rsidR="00574F94" w:rsidRPr="004D37CE" w:rsidRDefault="00060804" w:rsidP="6CCC051E">
      <w:pPr>
        <w:spacing w:after="120" w:line="276" w:lineRule="auto"/>
        <w:ind w:firstLine="720"/>
        <w:jc w:val="both"/>
        <w:rPr>
          <w:rFonts w:cs="Aptos"/>
          <w:sz w:val="24"/>
          <w:szCs w:val="24"/>
          <w:lang w:val="lv-LV"/>
        </w:rPr>
      </w:pPr>
      <w:r w:rsidRPr="004D37CE">
        <w:rPr>
          <w:rFonts w:cs="Aptos"/>
          <w:sz w:val="24"/>
          <w:szCs w:val="24"/>
          <w:lang w:val="lv-LV"/>
        </w:rPr>
        <w:t xml:space="preserve">1. Atbilstoši 2025. gada 27. maija Ministru kabineta noteikumu Nr. 315 “Eiropas Savienības kohēzijas politikas programmas 2021.–2027. gadam 4.2.2. specifiskā atbalsta mērķa </w:t>
      </w:r>
      <w:bookmarkStart w:id="1" w:name="_Hlk199756407"/>
      <w:r w:rsidRPr="004D37CE">
        <w:rPr>
          <w:rFonts w:cs="Aptos"/>
          <w:sz w:val="24"/>
          <w:szCs w:val="24"/>
          <w:lang w:val="lv-LV"/>
        </w:rPr>
        <w:t xml:space="preserve">“Uzlabot izglītības un mācību sistēmu kvalitāti, </w:t>
      </w:r>
      <w:proofErr w:type="spellStart"/>
      <w:r w:rsidRPr="004D37CE">
        <w:rPr>
          <w:rFonts w:cs="Aptos"/>
          <w:sz w:val="24"/>
          <w:szCs w:val="24"/>
          <w:lang w:val="lv-LV"/>
        </w:rPr>
        <w:t>iekļautību</w:t>
      </w:r>
      <w:proofErr w:type="spellEnd"/>
      <w:r w:rsidRPr="004D37CE">
        <w:rPr>
          <w:rFonts w:cs="Aptos"/>
          <w:sz w:val="24"/>
          <w:szCs w:val="24"/>
          <w:lang w:val="lv-LV"/>
        </w:rPr>
        <w:t xml:space="preserve">, efektivitāti un nozīmīgumu darba tirgū, tostarp ar neformālās un </w:t>
      </w:r>
      <w:proofErr w:type="spellStart"/>
      <w:r w:rsidRPr="004D37CE">
        <w:rPr>
          <w:rFonts w:cs="Aptos"/>
          <w:sz w:val="24"/>
          <w:szCs w:val="24"/>
          <w:lang w:val="lv-LV"/>
        </w:rPr>
        <w:t>ikdienējās</w:t>
      </w:r>
      <w:proofErr w:type="spellEnd"/>
      <w:r w:rsidRPr="004D37CE">
        <w:rPr>
          <w:rFonts w:cs="Aptos"/>
          <w:sz w:val="24"/>
          <w:szCs w:val="24"/>
          <w:lang w:val="lv-LV"/>
        </w:rPr>
        <w:t xml:space="preserve"> mācīšanās validēšanas palīdzību, lai atbalstītu </w:t>
      </w:r>
      <w:proofErr w:type="spellStart"/>
      <w:r w:rsidRPr="004D37CE">
        <w:rPr>
          <w:rFonts w:cs="Aptos"/>
          <w:sz w:val="24"/>
          <w:szCs w:val="24"/>
          <w:lang w:val="lv-LV"/>
        </w:rPr>
        <w:t>pamatkompetenču</w:t>
      </w:r>
      <w:proofErr w:type="spellEnd"/>
      <w:r w:rsidRPr="004D37CE">
        <w:rPr>
          <w:rFonts w:cs="Aptos"/>
          <w:sz w:val="24"/>
          <w:szCs w:val="24"/>
          <w:lang w:val="lv-LV"/>
        </w:rPr>
        <w:t xml:space="preserve">, tostarp uzņēmējdarbības un digitālo prasmju, apguvi, un sekmējot duālo mācību sistēmu un māceklības ieviešanu” 4.2.2.11. pasākuma “Studiju procesa </w:t>
      </w:r>
      <w:proofErr w:type="spellStart"/>
      <w:r w:rsidRPr="004D37CE">
        <w:rPr>
          <w:rFonts w:cs="Aptos"/>
          <w:sz w:val="24"/>
          <w:szCs w:val="24"/>
          <w:lang w:val="lv-LV"/>
        </w:rPr>
        <w:t>digitalizācija</w:t>
      </w:r>
      <w:proofErr w:type="spellEnd"/>
      <w:r w:rsidRPr="004D37CE">
        <w:rPr>
          <w:rFonts w:cs="Aptos"/>
          <w:sz w:val="24"/>
          <w:szCs w:val="24"/>
          <w:lang w:val="lv-LV"/>
        </w:rPr>
        <w:t xml:space="preserve">” pirmās un otrās projektu iesniegumu atlases kārtas īstenošanas noteikumi”  </w:t>
      </w:r>
      <w:bookmarkEnd w:id="1"/>
      <w:r w:rsidRPr="004D37CE">
        <w:rPr>
          <w:rFonts w:cs="Aptos"/>
          <w:sz w:val="24"/>
          <w:szCs w:val="24"/>
          <w:lang w:val="lv-LV"/>
        </w:rPr>
        <w:t xml:space="preserve">(turpmāk – MK noteikumi Nr. 315) 11. punktā noteiktajam 4.2.2.11. pasākuma pirmajā kārtā projekta iesniedzējs un finansējuma saņēmējs ir biedrība “Augstākās izglītības un zinātnes informācijas tehnoloģijas koplietošanas pakalpojumu centrs”, un atbilstoši MK noteikumu Nr. 315 14. punktam finansējuma saņēmējs īsteno projektu sadarbībā ar četrām zinātņu universitātēm: Latvijas Universitāte, Rīgas Tehniskā universitāte, Rīgas Stradiņa universitāte un Latvijas </w:t>
      </w:r>
      <w:proofErr w:type="spellStart"/>
      <w:r w:rsidRPr="004D37CE">
        <w:rPr>
          <w:rFonts w:cs="Aptos"/>
          <w:sz w:val="24"/>
          <w:szCs w:val="24"/>
          <w:lang w:val="lv-LV"/>
        </w:rPr>
        <w:t>Biozinātņu</w:t>
      </w:r>
      <w:proofErr w:type="spellEnd"/>
      <w:r w:rsidRPr="004D37CE">
        <w:rPr>
          <w:rFonts w:cs="Aptos"/>
          <w:sz w:val="24"/>
          <w:szCs w:val="24"/>
          <w:lang w:val="lv-LV"/>
        </w:rPr>
        <w:t xml:space="preserve"> un tehnoloģiju universitāte (turpmāk arī visas kopā – sadarbības partneri vai katra atsevišķi – sadarbības partneris). </w:t>
      </w:r>
    </w:p>
    <w:p w14:paraId="182C8B33" w14:textId="403328A6" w:rsidR="00574F94" w:rsidRPr="004D37CE" w:rsidRDefault="00060804" w:rsidP="6CCC051E">
      <w:pPr>
        <w:spacing w:before="120" w:after="120" w:line="276" w:lineRule="auto"/>
        <w:ind w:firstLine="720"/>
        <w:jc w:val="both"/>
        <w:rPr>
          <w:rFonts w:cs="Aptos"/>
          <w:sz w:val="24"/>
          <w:szCs w:val="24"/>
          <w:lang w:val="lv-LV"/>
        </w:rPr>
      </w:pPr>
      <w:r w:rsidRPr="004D37CE">
        <w:rPr>
          <w:rFonts w:cs="Aptos"/>
          <w:sz w:val="24"/>
          <w:szCs w:val="24"/>
          <w:lang w:val="lv-LV"/>
        </w:rPr>
        <w:t xml:space="preserve">2. Saskaņā  ar MK noteikumu Nr. 315 30. punktā noteikto 4.2.2.11. pasākuma “Studiju procesa </w:t>
      </w:r>
      <w:proofErr w:type="spellStart"/>
      <w:r w:rsidRPr="004D37CE">
        <w:rPr>
          <w:rFonts w:cs="Aptos"/>
          <w:sz w:val="24"/>
          <w:szCs w:val="24"/>
          <w:lang w:val="lv-LV"/>
        </w:rPr>
        <w:t>digitalizācija</w:t>
      </w:r>
      <w:proofErr w:type="spellEnd"/>
      <w:r w:rsidRPr="004D37CE">
        <w:rPr>
          <w:rFonts w:cs="Aptos"/>
          <w:sz w:val="24"/>
          <w:szCs w:val="24"/>
          <w:lang w:val="lv-LV"/>
        </w:rPr>
        <w:t xml:space="preserve">” (turpmāk – 4.2.2.11. pasākums) pirmajā projektu iesniegumu atlases kārtā (turpmāk – pirmā kārta) tiek īstenots projekts, kas nav saistīts ar saimnieciskās darbības veikšanu, un atbalsts sadarbības partneriem nekvalificējas kā komercdarbības atbalsts. </w:t>
      </w:r>
      <w:r w:rsidR="00BC1DEB" w:rsidRPr="004D37CE">
        <w:rPr>
          <w:rFonts w:cs="Aptos"/>
          <w:sz w:val="24"/>
          <w:szCs w:val="24"/>
          <w:lang w:val="lv-LV"/>
        </w:rPr>
        <w:t xml:space="preserve">MK noteikumu Nr. 315 68. punktā ir noteikti komercdarbības atbalsta izslēgšanas kritēriji, pēc kuriem tiek vērtēti sadarbības partneri. </w:t>
      </w:r>
      <w:r w:rsidRPr="004D37CE">
        <w:rPr>
          <w:rFonts w:cs="Aptos"/>
          <w:sz w:val="24"/>
          <w:szCs w:val="24"/>
          <w:lang w:val="lv-LV"/>
        </w:rPr>
        <w:t xml:space="preserve">Izglītības un zinātnes ministrija (turpmāk – IZM) ir izstrādājusi 4.2.2.11. pasākuma pirmās kārtas sadarbības partneru atbilstības komercdarbības atbalstu izslēdzošiem kritērijiem vērtēšanas metodiku (turpmāk – metodika) ar mērķi izvērtēt 4.2.2.11. pasākuma pirmās kārtas projekta atbilstību MK noteikumu Nr. 315 30. </w:t>
      </w:r>
      <w:r w:rsidR="006B337B" w:rsidRPr="004D37CE">
        <w:rPr>
          <w:rFonts w:cs="Aptos"/>
          <w:sz w:val="24"/>
          <w:szCs w:val="24"/>
          <w:lang w:val="lv-LV"/>
        </w:rPr>
        <w:t xml:space="preserve">un 68. </w:t>
      </w:r>
      <w:r w:rsidRPr="004D37CE">
        <w:rPr>
          <w:rFonts w:cs="Aptos"/>
          <w:sz w:val="24"/>
          <w:szCs w:val="24"/>
          <w:lang w:val="lv-LV"/>
        </w:rPr>
        <w:t xml:space="preserve">punktā noteiktajam, lai atbalsts 4.2.2.11. pasākuma pirmās </w:t>
      </w:r>
      <w:r w:rsidRPr="004D37CE">
        <w:rPr>
          <w:rFonts w:cs="Aptos"/>
          <w:sz w:val="24"/>
          <w:szCs w:val="24"/>
          <w:lang w:val="lv-LV"/>
        </w:rPr>
        <w:lastRenderedPageBreak/>
        <w:t>kārtas projekta sadarbības partneriem nekvalificētos kā komercdarbības atbalsts. Metodiku piemēro, izvērtējot projekta iesnieguma atbilstību 4.2.2.11. pasākuma pirmās kārtas projekta iesnieguma vērtēšanas kritērijam Nr. 2.3. “Projekta iesniegums atbilst MK noteikumos par SAM īstenošanu noteiktajam, lai tas nekvalificētos kā komercdarbības atbalsts”.</w:t>
      </w:r>
    </w:p>
    <w:p w14:paraId="7FE4E8E8" w14:textId="77777777" w:rsidR="00574F94" w:rsidRPr="00784A55" w:rsidRDefault="00060804" w:rsidP="6CCC051E">
      <w:pPr>
        <w:spacing w:before="120" w:after="120" w:line="276" w:lineRule="auto"/>
        <w:ind w:firstLine="720"/>
        <w:jc w:val="both"/>
        <w:rPr>
          <w:rFonts w:cs="Aptos"/>
          <w:lang w:val="lv-LV"/>
        </w:rPr>
      </w:pPr>
      <w:r w:rsidRPr="00DC0D3F">
        <w:rPr>
          <w:rFonts w:cs="Aptos"/>
          <w:sz w:val="24"/>
          <w:szCs w:val="24"/>
          <w:lang w:val="lv-LV"/>
        </w:rPr>
        <w:t>3. Metodika ir izstrādāta un piemērojama tikai 4.2.2.11. pasākuma pirmās kārtas projekta sadarbības partneru atbilstības komercdarbības atbalstu izslēdzošiem kritērijiem vērtēšanai.</w:t>
      </w:r>
    </w:p>
    <w:p w14:paraId="0BC81421" w14:textId="77777777" w:rsidR="00574F94" w:rsidRPr="00DC0D3F" w:rsidRDefault="00060804" w:rsidP="6CCC051E">
      <w:pPr>
        <w:spacing w:before="240" w:after="240" w:line="276" w:lineRule="auto"/>
        <w:jc w:val="center"/>
        <w:rPr>
          <w:rFonts w:cs="Aptos"/>
          <w:sz w:val="24"/>
          <w:szCs w:val="24"/>
          <w:lang w:val="lv-LV"/>
        </w:rPr>
      </w:pPr>
      <w:r w:rsidRPr="00DC0D3F">
        <w:rPr>
          <w:rFonts w:cs="Aptos"/>
          <w:b/>
          <w:bCs/>
          <w:sz w:val="24"/>
          <w:szCs w:val="24"/>
          <w:lang w:val="lv-LV"/>
        </w:rPr>
        <w:t>II.</w:t>
      </w:r>
      <w:r w:rsidRPr="00DC0D3F">
        <w:rPr>
          <w:rFonts w:cs="Aptos"/>
          <w:sz w:val="24"/>
          <w:szCs w:val="24"/>
          <w:lang w:val="lv-LV"/>
        </w:rPr>
        <w:t xml:space="preserve"> </w:t>
      </w:r>
      <w:r w:rsidRPr="00DC0D3F">
        <w:rPr>
          <w:rFonts w:cs="Aptos"/>
          <w:b/>
          <w:bCs/>
          <w:sz w:val="24"/>
          <w:szCs w:val="24"/>
          <w:lang w:val="lv-LV"/>
        </w:rPr>
        <w:t>Komercdarbības atbalstu izslēdzošie kritēriji</w:t>
      </w:r>
    </w:p>
    <w:p w14:paraId="15B8F59B" w14:textId="77777777" w:rsidR="00574F94" w:rsidRPr="00DC0D3F" w:rsidRDefault="00060804" w:rsidP="6CCC051E">
      <w:pPr>
        <w:spacing w:after="0" w:line="276" w:lineRule="auto"/>
        <w:jc w:val="both"/>
        <w:rPr>
          <w:rFonts w:cs="Aptos"/>
          <w:sz w:val="24"/>
          <w:szCs w:val="24"/>
          <w:lang w:val="lv-LV"/>
        </w:rPr>
      </w:pPr>
      <w:r>
        <w:rPr>
          <w:rFonts w:ascii="Times New Roman" w:hAnsi="Times New Roman"/>
          <w:sz w:val="24"/>
          <w:szCs w:val="24"/>
          <w:lang w:val="lv-LV"/>
        </w:rPr>
        <w:tab/>
      </w:r>
      <w:r w:rsidRPr="00DC0D3F">
        <w:rPr>
          <w:rFonts w:cs="Aptos"/>
          <w:sz w:val="24"/>
          <w:szCs w:val="24"/>
          <w:lang w:val="lv-LV"/>
        </w:rPr>
        <w:t xml:space="preserve">4. MK noteikumu Nr. 315 68. punkts paredz, ka 4.2.2.11. pasākuma pirmās kārtas projekts saimnieciskās darbības veikšanai nav kvalificējams kā komercdarbības atbalsts, ja </w:t>
      </w:r>
      <w:r w:rsidRPr="00DC0D3F">
        <w:rPr>
          <w:rFonts w:cs="Aptos"/>
          <w:sz w:val="24"/>
          <w:szCs w:val="24"/>
          <w:u w:val="single"/>
          <w:lang w:val="lv-LV"/>
        </w:rPr>
        <w:t>sadarbības partnerim</w:t>
      </w:r>
      <w:r w:rsidRPr="00DC0D3F">
        <w:rPr>
          <w:rFonts w:cs="Aptos"/>
          <w:sz w:val="24"/>
          <w:szCs w:val="24"/>
          <w:lang w:val="lv-LV"/>
        </w:rPr>
        <w:t xml:space="preserve"> nav ietekmes uz Eiropas Savienības iekšējo tirgu, tas ir, ja </w:t>
      </w:r>
      <w:r w:rsidRPr="00DC0D3F">
        <w:rPr>
          <w:rFonts w:cs="Aptos"/>
          <w:b/>
          <w:bCs/>
          <w:sz w:val="24"/>
          <w:szCs w:val="24"/>
          <w:lang w:val="lv-LV"/>
        </w:rPr>
        <w:t>tas atbilst vismaz vienam</w:t>
      </w:r>
      <w:r w:rsidRPr="00DC0D3F">
        <w:rPr>
          <w:rFonts w:cs="Aptos"/>
          <w:sz w:val="24"/>
          <w:szCs w:val="24"/>
          <w:lang w:val="lv-LV"/>
        </w:rPr>
        <w:t xml:space="preserve"> no šādiem </w:t>
      </w:r>
      <w:r w:rsidRPr="00DC0D3F">
        <w:rPr>
          <w:rFonts w:cs="Aptos"/>
          <w:b/>
          <w:bCs/>
          <w:sz w:val="24"/>
          <w:szCs w:val="24"/>
          <w:lang w:val="lv-LV"/>
        </w:rPr>
        <w:t>komercdarbības atbalstu izslēdzošiem kritērijiem</w:t>
      </w:r>
      <w:r w:rsidRPr="00DC0D3F">
        <w:rPr>
          <w:rFonts w:cs="Aptos"/>
          <w:sz w:val="24"/>
          <w:szCs w:val="24"/>
          <w:lang w:val="lv-LV"/>
        </w:rPr>
        <w:t xml:space="preserve">:     </w:t>
      </w:r>
    </w:p>
    <w:p w14:paraId="73B2F6F3" w14:textId="77777777" w:rsidR="00574F94" w:rsidRPr="00DC0D3F" w:rsidRDefault="00060804" w:rsidP="6CCC051E">
      <w:pPr>
        <w:spacing w:after="0" w:line="276" w:lineRule="auto"/>
        <w:ind w:firstLine="720"/>
        <w:jc w:val="both"/>
        <w:rPr>
          <w:rFonts w:cs="Aptos"/>
          <w:sz w:val="24"/>
          <w:szCs w:val="24"/>
          <w:lang w:val="lv-LV"/>
        </w:rPr>
      </w:pPr>
      <w:r w:rsidRPr="00DC0D3F">
        <w:rPr>
          <w:rFonts w:cs="Aptos"/>
          <w:sz w:val="24"/>
          <w:szCs w:val="24"/>
          <w:lang w:val="lv-LV"/>
        </w:rPr>
        <w:t xml:space="preserve">4.1. </w:t>
      </w:r>
      <w:bookmarkStart w:id="2" w:name="_Hlk197440421"/>
      <w:r w:rsidRPr="00DC0D3F">
        <w:rPr>
          <w:rFonts w:cs="Aptos"/>
          <w:sz w:val="24"/>
          <w:szCs w:val="24"/>
          <w:lang w:val="lv-LV"/>
        </w:rPr>
        <w:t>pasaules universitāšu reitingos attiecīgā augstskola</w:t>
      </w:r>
      <w:bookmarkStart w:id="3" w:name="_Hlk189051470"/>
      <w:r w:rsidRPr="00DC0D3F">
        <w:rPr>
          <w:rFonts w:cs="Aptos"/>
          <w:sz w:val="24"/>
          <w:szCs w:val="24"/>
          <w:lang w:val="lv-LV"/>
        </w:rPr>
        <w:t xml:space="preserve"> nav iekļauta 500 labāko augstskolu vidū</w:t>
      </w:r>
      <w:bookmarkEnd w:id="2"/>
      <w:bookmarkEnd w:id="3"/>
      <w:r w:rsidRPr="00DC0D3F">
        <w:rPr>
          <w:rFonts w:cs="Aptos"/>
          <w:sz w:val="24"/>
          <w:szCs w:val="24"/>
          <w:lang w:val="lv-LV"/>
        </w:rPr>
        <w:t xml:space="preserve"> (turpmāk – pirmais kritērijs); </w:t>
      </w:r>
    </w:p>
    <w:p w14:paraId="33B8B899" w14:textId="77777777" w:rsidR="00574F94" w:rsidRPr="00DC0D3F" w:rsidRDefault="00060804" w:rsidP="6CCC051E">
      <w:pPr>
        <w:spacing w:after="0" w:line="276" w:lineRule="auto"/>
        <w:ind w:firstLine="720"/>
        <w:jc w:val="both"/>
        <w:rPr>
          <w:rFonts w:cs="Aptos"/>
          <w:sz w:val="24"/>
          <w:szCs w:val="24"/>
          <w:lang w:val="lv-LV"/>
        </w:rPr>
      </w:pPr>
      <w:r w:rsidRPr="00DC0D3F">
        <w:rPr>
          <w:rFonts w:cs="Aptos"/>
          <w:sz w:val="24"/>
          <w:szCs w:val="24"/>
          <w:lang w:val="lv-LV"/>
        </w:rPr>
        <w:t xml:space="preserve">4.2. </w:t>
      </w:r>
      <w:bookmarkStart w:id="4" w:name="_Hlk189051378"/>
      <w:r w:rsidRPr="00DC0D3F">
        <w:rPr>
          <w:rFonts w:cs="Aptos"/>
          <w:sz w:val="24"/>
          <w:szCs w:val="24"/>
          <w:lang w:val="lv-LV"/>
        </w:rPr>
        <w:t>85 procenti un vairāk no visiem studējošajiem ir Latvijas iedzīvotāji</w:t>
      </w:r>
      <w:bookmarkEnd w:id="4"/>
      <w:r w:rsidRPr="00DC0D3F">
        <w:rPr>
          <w:rFonts w:cs="Aptos"/>
          <w:sz w:val="24"/>
          <w:szCs w:val="24"/>
          <w:lang w:val="lv-LV"/>
        </w:rPr>
        <w:t xml:space="preserve"> (turpmāk – otrais kritērijs);</w:t>
      </w:r>
    </w:p>
    <w:p w14:paraId="508E83D9" w14:textId="77777777" w:rsidR="00574F94" w:rsidRPr="00DC0D3F" w:rsidRDefault="00060804" w:rsidP="6CCC051E">
      <w:pPr>
        <w:spacing w:after="120" w:line="276" w:lineRule="auto"/>
        <w:ind w:firstLine="720"/>
        <w:jc w:val="both"/>
        <w:rPr>
          <w:rFonts w:cs="Aptos"/>
          <w:sz w:val="24"/>
          <w:szCs w:val="24"/>
          <w:lang w:val="lv-LV"/>
        </w:rPr>
      </w:pPr>
      <w:r w:rsidRPr="00DC0D3F">
        <w:rPr>
          <w:rFonts w:cs="Aptos"/>
          <w:sz w:val="24"/>
          <w:szCs w:val="24"/>
          <w:lang w:val="lv-LV"/>
        </w:rPr>
        <w:t xml:space="preserve">4.3. </w:t>
      </w:r>
      <w:bookmarkStart w:id="5" w:name="_Hlk187750922"/>
      <w:r w:rsidRPr="00DC0D3F">
        <w:rPr>
          <w:rFonts w:cs="Aptos"/>
          <w:sz w:val="24"/>
          <w:szCs w:val="24"/>
          <w:lang w:val="lv-LV"/>
        </w:rPr>
        <w:t>vairāk nekā 50 procentiem studējošo studiju valoda ir latviešu valod</w:t>
      </w:r>
      <w:bookmarkEnd w:id="5"/>
      <w:r w:rsidRPr="00DC0D3F">
        <w:rPr>
          <w:rFonts w:cs="Aptos"/>
          <w:sz w:val="24"/>
          <w:szCs w:val="24"/>
          <w:lang w:val="lv-LV"/>
        </w:rPr>
        <w:t>a (turpmāk – trešais kritērijs).</w:t>
      </w:r>
    </w:p>
    <w:p w14:paraId="0664F381" w14:textId="77777777" w:rsidR="00574F94" w:rsidRPr="00784A55" w:rsidRDefault="00060804" w:rsidP="6CCC051E">
      <w:pPr>
        <w:spacing w:after="120" w:line="276" w:lineRule="auto"/>
        <w:ind w:firstLine="360"/>
        <w:jc w:val="both"/>
        <w:rPr>
          <w:rFonts w:cs="Aptos"/>
          <w:lang w:val="lv-LV"/>
        </w:rPr>
      </w:pPr>
      <w:r w:rsidRPr="00DC0D3F">
        <w:rPr>
          <w:rFonts w:cs="Aptos"/>
          <w:sz w:val="24"/>
          <w:szCs w:val="24"/>
          <w:lang w:val="lv-LV"/>
        </w:rPr>
        <w:t>5.</w:t>
      </w:r>
      <w:r w:rsidRPr="00DC0D3F">
        <w:rPr>
          <w:rFonts w:cs="Aptos"/>
          <w:b/>
          <w:bCs/>
          <w:sz w:val="24"/>
          <w:szCs w:val="24"/>
          <w:lang w:val="lv-LV"/>
        </w:rPr>
        <w:t xml:space="preserve"> Pirmais komercdarbības atbalstu izslēdzošais kritērijs</w:t>
      </w:r>
      <w:r w:rsidRPr="00DC0D3F">
        <w:rPr>
          <w:rFonts w:cs="Aptos"/>
          <w:sz w:val="24"/>
          <w:szCs w:val="24"/>
          <w:lang w:val="lv-LV"/>
        </w:rPr>
        <w:t xml:space="preserve"> pamato Latvijas augstskolu vietējo mērogu un tas tiek vērtēts pēc šobrīd trīs ietekmīgākajiem universitāšu reitingiem: </w:t>
      </w:r>
    </w:p>
    <w:p w14:paraId="69DE3CE8" w14:textId="77777777" w:rsidR="00574F94" w:rsidRPr="00DC0D3F" w:rsidRDefault="00060804" w:rsidP="6CCC051E">
      <w:pPr>
        <w:spacing w:after="0" w:line="276" w:lineRule="auto"/>
        <w:ind w:left="360"/>
        <w:contextualSpacing/>
        <w:jc w:val="both"/>
        <w:rPr>
          <w:rFonts w:cs="Aptos"/>
          <w:sz w:val="24"/>
          <w:szCs w:val="24"/>
          <w:lang w:val="lv-LV"/>
        </w:rPr>
      </w:pPr>
      <w:r w:rsidRPr="00DC0D3F">
        <w:rPr>
          <w:rFonts w:cs="Aptos"/>
          <w:sz w:val="24"/>
          <w:szCs w:val="24"/>
          <w:lang w:val="lv-LV"/>
        </w:rPr>
        <w:t xml:space="preserve">5.1.“QS </w:t>
      </w:r>
      <w:proofErr w:type="spellStart"/>
      <w:r w:rsidRPr="00DC0D3F">
        <w:rPr>
          <w:rFonts w:cs="Aptos"/>
          <w:sz w:val="24"/>
          <w:szCs w:val="24"/>
          <w:lang w:val="lv-LV"/>
        </w:rPr>
        <w:t>World</w:t>
      </w:r>
      <w:proofErr w:type="spellEnd"/>
      <w:r w:rsidRPr="00DC0D3F">
        <w:rPr>
          <w:rFonts w:cs="Aptos"/>
          <w:sz w:val="24"/>
          <w:szCs w:val="24"/>
          <w:lang w:val="lv-LV"/>
        </w:rPr>
        <w:t xml:space="preserve"> </w:t>
      </w:r>
      <w:proofErr w:type="spellStart"/>
      <w:r w:rsidRPr="00DC0D3F">
        <w:rPr>
          <w:rFonts w:cs="Aptos"/>
          <w:sz w:val="24"/>
          <w:szCs w:val="24"/>
          <w:lang w:val="lv-LV"/>
        </w:rPr>
        <w:t>University</w:t>
      </w:r>
      <w:proofErr w:type="spellEnd"/>
      <w:r w:rsidRPr="00DC0D3F">
        <w:rPr>
          <w:rFonts w:cs="Aptos"/>
          <w:sz w:val="24"/>
          <w:szCs w:val="24"/>
          <w:lang w:val="lv-LV"/>
        </w:rPr>
        <w:t xml:space="preserve"> </w:t>
      </w:r>
      <w:proofErr w:type="spellStart"/>
      <w:r w:rsidRPr="00DC0D3F">
        <w:rPr>
          <w:rFonts w:cs="Aptos"/>
          <w:sz w:val="24"/>
          <w:szCs w:val="24"/>
          <w:lang w:val="lv-LV"/>
        </w:rPr>
        <w:t>Rankings</w:t>
      </w:r>
      <w:proofErr w:type="spellEnd"/>
      <w:r w:rsidRPr="00DC0D3F">
        <w:rPr>
          <w:rFonts w:cs="Aptos"/>
          <w:sz w:val="24"/>
          <w:szCs w:val="24"/>
          <w:lang w:val="lv-LV"/>
        </w:rPr>
        <w:t>”</w:t>
      </w:r>
      <w:r w:rsidRPr="00DC0D3F">
        <w:rPr>
          <w:rFonts w:cs="Aptos"/>
          <w:sz w:val="24"/>
          <w:szCs w:val="24"/>
          <w:vertAlign w:val="superscript"/>
          <w:lang w:val="lv-LV"/>
        </w:rPr>
        <w:footnoteReference w:id="1"/>
      </w:r>
      <w:r w:rsidRPr="00DC0D3F">
        <w:rPr>
          <w:rFonts w:cs="Aptos"/>
          <w:sz w:val="24"/>
          <w:szCs w:val="24"/>
          <w:lang w:val="lv-LV"/>
        </w:rPr>
        <w:t xml:space="preserve">; </w:t>
      </w:r>
    </w:p>
    <w:p w14:paraId="0DD36E18" w14:textId="77777777" w:rsidR="00574F94" w:rsidRPr="00DC0D3F" w:rsidRDefault="00060804" w:rsidP="6CCC051E">
      <w:pPr>
        <w:spacing w:line="276" w:lineRule="auto"/>
        <w:ind w:left="360"/>
        <w:contextualSpacing/>
        <w:jc w:val="both"/>
        <w:rPr>
          <w:rFonts w:cs="Aptos"/>
          <w:sz w:val="24"/>
          <w:szCs w:val="24"/>
          <w:lang w:val="lv-LV"/>
        </w:rPr>
      </w:pPr>
      <w:r w:rsidRPr="00DC0D3F">
        <w:rPr>
          <w:rFonts w:cs="Aptos"/>
          <w:sz w:val="24"/>
          <w:szCs w:val="24"/>
          <w:lang w:val="lv-LV"/>
        </w:rPr>
        <w:t xml:space="preserve">5.2.“Times </w:t>
      </w:r>
      <w:proofErr w:type="spellStart"/>
      <w:r w:rsidRPr="00DC0D3F">
        <w:rPr>
          <w:rFonts w:cs="Aptos"/>
          <w:sz w:val="24"/>
          <w:szCs w:val="24"/>
          <w:lang w:val="lv-LV"/>
        </w:rPr>
        <w:t>Higher</w:t>
      </w:r>
      <w:proofErr w:type="spellEnd"/>
      <w:r w:rsidRPr="00DC0D3F">
        <w:rPr>
          <w:rFonts w:cs="Aptos"/>
          <w:sz w:val="24"/>
          <w:szCs w:val="24"/>
          <w:lang w:val="lv-LV"/>
        </w:rPr>
        <w:t xml:space="preserve"> </w:t>
      </w:r>
      <w:proofErr w:type="spellStart"/>
      <w:r w:rsidRPr="00DC0D3F">
        <w:rPr>
          <w:rFonts w:cs="Aptos"/>
          <w:sz w:val="24"/>
          <w:szCs w:val="24"/>
          <w:lang w:val="lv-LV"/>
        </w:rPr>
        <w:t>Education</w:t>
      </w:r>
      <w:proofErr w:type="spellEnd"/>
      <w:r w:rsidRPr="00DC0D3F">
        <w:rPr>
          <w:rFonts w:cs="Aptos"/>
          <w:sz w:val="24"/>
          <w:szCs w:val="24"/>
          <w:lang w:val="lv-LV"/>
        </w:rPr>
        <w:t xml:space="preserve"> (THE) </w:t>
      </w:r>
      <w:proofErr w:type="spellStart"/>
      <w:r w:rsidRPr="00DC0D3F">
        <w:rPr>
          <w:rFonts w:cs="Aptos"/>
          <w:sz w:val="24"/>
          <w:szCs w:val="24"/>
          <w:lang w:val="lv-LV"/>
        </w:rPr>
        <w:t>World</w:t>
      </w:r>
      <w:proofErr w:type="spellEnd"/>
      <w:r w:rsidRPr="00DC0D3F">
        <w:rPr>
          <w:rFonts w:cs="Aptos"/>
          <w:sz w:val="24"/>
          <w:szCs w:val="24"/>
          <w:lang w:val="lv-LV"/>
        </w:rPr>
        <w:t xml:space="preserve"> </w:t>
      </w:r>
      <w:proofErr w:type="spellStart"/>
      <w:r w:rsidRPr="00DC0D3F">
        <w:rPr>
          <w:rFonts w:cs="Aptos"/>
          <w:sz w:val="24"/>
          <w:szCs w:val="24"/>
          <w:lang w:val="lv-LV"/>
        </w:rPr>
        <w:t>University</w:t>
      </w:r>
      <w:proofErr w:type="spellEnd"/>
      <w:r w:rsidRPr="00DC0D3F">
        <w:rPr>
          <w:rFonts w:cs="Aptos"/>
          <w:sz w:val="24"/>
          <w:szCs w:val="24"/>
          <w:lang w:val="lv-LV"/>
        </w:rPr>
        <w:t xml:space="preserve"> </w:t>
      </w:r>
      <w:proofErr w:type="spellStart"/>
      <w:r w:rsidRPr="00DC0D3F">
        <w:rPr>
          <w:rFonts w:cs="Aptos"/>
          <w:sz w:val="24"/>
          <w:szCs w:val="24"/>
          <w:lang w:val="lv-LV"/>
        </w:rPr>
        <w:t>Rankings</w:t>
      </w:r>
      <w:proofErr w:type="spellEnd"/>
      <w:r w:rsidRPr="00DC0D3F">
        <w:rPr>
          <w:rFonts w:cs="Aptos"/>
          <w:sz w:val="24"/>
          <w:szCs w:val="24"/>
          <w:lang w:val="lv-LV"/>
        </w:rPr>
        <w:t>”</w:t>
      </w:r>
      <w:r w:rsidRPr="00784A55">
        <w:rPr>
          <w:rFonts w:cs="Aptos"/>
          <w:vertAlign w:val="superscript"/>
          <w:lang w:val="lv-LV"/>
        </w:rPr>
        <w:footnoteReference w:id="2"/>
      </w:r>
      <w:r w:rsidRPr="00DC0D3F">
        <w:rPr>
          <w:rFonts w:cs="Aptos"/>
          <w:sz w:val="24"/>
          <w:szCs w:val="24"/>
          <w:lang w:val="lv-LV"/>
        </w:rPr>
        <w:t>;</w:t>
      </w:r>
    </w:p>
    <w:p w14:paraId="03335215" w14:textId="1C858135" w:rsidR="00574F94" w:rsidRPr="00DC0D3F" w:rsidRDefault="00060804" w:rsidP="6CCC051E">
      <w:pPr>
        <w:spacing w:line="276" w:lineRule="auto"/>
        <w:ind w:left="360"/>
        <w:contextualSpacing/>
        <w:jc w:val="both"/>
        <w:rPr>
          <w:rFonts w:cs="Aptos"/>
          <w:sz w:val="24"/>
          <w:szCs w:val="24"/>
        </w:rPr>
      </w:pPr>
      <w:r w:rsidRPr="00DC0D3F">
        <w:rPr>
          <w:rFonts w:cs="Aptos"/>
          <w:sz w:val="24"/>
          <w:szCs w:val="24"/>
        </w:rPr>
        <w:t xml:space="preserve">5.3. </w:t>
      </w:r>
      <w:proofErr w:type="spellStart"/>
      <w:r w:rsidRPr="00DC0D3F">
        <w:rPr>
          <w:rFonts w:cs="Aptos"/>
          <w:sz w:val="24"/>
          <w:szCs w:val="24"/>
        </w:rPr>
        <w:t>Šanhajas</w:t>
      </w:r>
      <w:proofErr w:type="spellEnd"/>
      <w:r w:rsidRPr="00DC0D3F">
        <w:rPr>
          <w:rFonts w:cs="Aptos"/>
          <w:sz w:val="24"/>
          <w:szCs w:val="24"/>
        </w:rPr>
        <w:t xml:space="preserve"> </w:t>
      </w:r>
      <w:bookmarkStart w:id="6" w:name="_Hlk187749564"/>
      <w:proofErr w:type="spellStart"/>
      <w:r w:rsidRPr="00DC0D3F">
        <w:rPr>
          <w:rFonts w:cs="Aptos"/>
          <w:sz w:val="24"/>
          <w:szCs w:val="24"/>
        </w:rPr>
        <w:t>reitings</w:t>
      </w:r>
      <w:proofErr w:type="spellEnd"/>
      <w:r w:rsidRPr="00DC0D3F">
        <w:rPr>
          <w:rFonts w:cs="Aptos"/>
          <w:sz w:val="24"/>
          <w:szCs w:val="24"/>
        </w:rPr>
        <w:t xml:space="preserve"> “Academic Ranking of World Universities” </w:t>
      </w:r>
      <w:bookmarkEnd w:id="6"/>
      <w:r w:rsidRPr="00DC0D3F">
        <w:rPr>
          <w:rFonts w:cs="Aptos"/>
          <w:sz w:val="24"/>
          <w:szCs w:val="24"/>
        </w:rPr>
        <w:t>(ARWU)</w:t>
      </w:r>
      <w:r w:rsidRPr="00DC0D3F">
        <w:rPr>
          <w:rFonts w:cs="Aptos"/>
          <w:sz w:val="24"/>
          <w:szCs w:val="24"/>
          <w:vertAlign w:val="superscript"/>
        </w:rPr>
        <w:footnoteReference w:id="3"/>
      </w:r>
      <w:r w:rsidRPr="00DC0D3F">
        <w:rPr>
          <w:rFonts w:cs="Aptos"/>
          <w:sz w:val="24"/>
          <w:szCs w:val="24"/>
        </w:rPr>
        <w:t xml:space="preserve">. </w:t>
      </w:r>
    </w:p>
    <w:p w14:paraId="609020F4" w14:textId="77777777" w:rsidR="00574F94" w:rsidRPr="00784A55" w:rsidRDefault="00060804" w:rsidP="6CCC051E">
      <w:pPr>
        <w:spacing w:after="120" w:line="276" w:lineRule="auto"/>
        <w:jc w:val="both"/>
        <w:rPr>
          <w:rFonts w:cs="Aptos"/>
          <w:lang w:val="lv-LV"/>
        </w:rPr>
      </w:pPr>
      <w:r w:rsidRPr="00DC0D3F">
        <w:rPr>
          <w:rFonts w:cs="Aptos"/>
          <w:sz w:val="24"/>
          <w:szCs w:val="24"/>
          <w:lang w:val="lv-LV"/>
        </w:rPr>
        <w:t>Ja augstskola nav ierindojusies nevienā minēto universitāšu reitingu TOP 500, tad šādai augstskolai un tās sniegtajiem pakalpojumiem nav ietekmes uz konkurenci un tirdzniecību Eiropas Savienības iekšējā tirgū.</w:t>
      </w:r>
    </w:p>
    <w:p w14:paraId="144D1892" w14:textId="77777777" w:rsidR="00574F94" w:rsidRPr="00784A55" w:rsidRDefault="00060804" w:rsidP="6CCC051E">
      <w:pPr>
        <w:spacing w:after="120" w:line="276" w:lineRule="auto"/>
        <w:ind w:firstLine="360"/>
        <w:jc w:val="both"/>
        <w:rPr>
          <w:rFonts w:cs="Aptos"/>
          <w:lang w:val="lv-LV"/>
        </w:rPr>
      </w:pPr>
      <w:r w:rsidRPr="00DC0D3F">
        <w:rPr>
          <w:rFonts w:cs="Aptos"/>
          <w:sz w:val="24"/>
          <w:szCs w:val="24"/>
          <w:lang w:val="lv-LV"/>
        </w:rPr>
        <w:t>6.</w:t>
      </w:r>
      <w:r w:rsidRPr="00DC0D3F">
        <w:rPr>
          <w:rFonts w:cs="Aptos"/>
          <w:b/>
          <w:bCs/>
          <w:sz w:val="24"/>
          <w:szCs w:val="24"/>
          <w:lang w:val="lv-LV"/>
        </w:rPr>
        <w:t xml:space="preserve"> Otrais komercdarbības atbalstu izslēdzošais kritērijs</w:t>
      </w:r>
      <w:r w:rsidRPr="00DC0D3F">
        <w:rPr>
          <w:rFonts w:cs="Aptos"/>
          <w:sz w:val="24"/>
          <w:szCs w:val="24"/>
          <w:lang w:val="lv-LV"/>
        </w:rPr>
        <w:t xml:space="preserve"> tiek vērtēts atbilstoši Valsts izglītības informācijas sistēmas (turpmāk – VIIS) datiem. Ja atbilstoši VIIS datiem sadarbības partnera augstskolā 85 procenti un vairāk no visiem studējošajiem ir Latvijas iedzīvotāji</w:t>
      </w:r>
      <w:r w:rsidRPr="00DC0D3F">
        <w:rPr>
          <w:rStyle w:val="FootnoteReference"/>
          <w:rFonts w:cs="Aptos"/>
          <w:sz w:val="24"/>
          <w:szCs w:val="24"/>
          <w:lang w:val="lv-LV"/>
        </w:rPr>
        <w:footnoteReference w:id="4"/>
      </w:r>
      <w:r w:rsidRPr="00DC0D3F">
        <w:rPr>
          <w:rFonts w:cs="Aptos"/>
          <w:sz w:val="24"/>
          <w:szCs w:val="24"/>
          <w:lang w:val="lv-LV"/>
        </w:rPr>
        <w:t xml:space="preserve">, tad </w:t>
      </w:r>
      <w:r w:rsidRPr="00DC0D3F">
        <w:rPr>
          <w:rFonts w:cs="Aptos"/>
          <w:sz w:val="24"/>
          <w:szCs w:val="24"/>
          <w:lang w:val="lv-LV"/>
        </w:rPr>
        <w:lastRenderedPageBreak/>
        <w:t>šādai augstskolai un tās sniegtajiem izglītības pakalpojumiem nav ietekmes uz konkurenci un tirdzniecību Eiropas Savienības iekšējā tirgū.</w:t>
      </w:r>
    </w:p>
    <w:p w14:paraId="6CB44A0A" w14:textId="77777777" w:rsidR="00574F94" w:rsidRPr="00DC0D3F" w:rsidRDefault="00060804" w:rsidP="6CCC051E">
      <w:pPr>
        <w:spacing w:after="120" w:line="276" w:lineRule="auto"/>
        <w:ind w:firstLine="360"/>
        <w:jc w:val="both"/>
        <w:rPr>
          <w:rFonts w:cs="Aptos"/>
          <w:sz w:val="24"/>
          <w:szCs w:val="24"/>
          <w:lang w:val="lv-LV"/>
        </w:rPr>
      </w:pPr>
      <w:r w:rsidRPr="00DC0D3F">
        <w:rPr>
          <w:rFonts w:cs="Aptos"/>
          <w:sz w:val="24"/>
          <w:szCs w:val="24"/>
          <w:lang w:val="lv-LV"/>
        </w:rPr>
        <w:t>7.</w:t>
      </w:r>
      <w:r w:rsidRPr="00DC0D3F">
        <w:rPr>
          <w:rFonts w:cs="Aptos"/>
          <w:b/>
          <w:bCs/>
          <w:sz w:val="24"/>
          <w:szCs w:val="24"/>
          <w:lang w:val="lv-LV"/>
        </w:rPr>
        <w:t xml:space="preserve"> Trešais komercdarbības atbalstu izslēdzošais kritērijs </w:t>
      </w:r>
      <w:r w:rsidRPr="00DC0D3F">
        <w:rPr>
          <w:rFonts w:cs="Aptos"/>
          <w:sz w:val="24"/>
          <w:szCs w:val="24"/>
          <w:lang w:val="lv-LV"/>
        </w:rPr>
        <w:t xml:space="preserve">tiek vērtēts atbilstoši VIIS datiem. Ja sadarbības partnera augstskolā vairāk nekā 50 procentiem studējošo studiju valoda ir latviešu valoda, tad šādai augstskolai un tās sniegtajiem izglītības pakalpojumiem nav ietekmes uz konkurenci un tirdzniecību Eiropas Savienības iekšējā tirgū.  </w:t>
      </w:r>
    </w:p>
    <w:p w14:paraId="5B8959E4" w14:textId="77777777" w:rsidR="00574F94" w:rsidRPr="00DC0D3F" w:rsidRDefault="00060804" w:rsidP="6CCC051E">
      <w:pPr>
        <w:spacing w:before="240" w:after="240" w:line="276" w:lineRule="auto"/>
        <w:ind w:firstLine="360"/>
        <w:jc w:val="both"/>
        <w:rPr>
          <w:rFonts w:cs="Aptos"/>
          <w:sz w:val="24"/>
          <w:szCs w:val="24"/>
          <w:shd w:val="clear" w:color="auto" w:fill="FFFF00"/>
          <w:lang w:val="lv-LV"/>
        </w:rPr>
      </w:pPr>
      <w:r w:rsidRPr="00DC0D3F">
        <w:rPr>
          <w:rFonts w:cs="Aptos"/>
          <w:sz w:val="24"/>
          <w:szCs w:val="24"/>
          <w:lang w:val="lv-LV"/>
        </w:rPr>
        <w:t xml:space="preserve">8. Projekta ietvaros sniegtais atbalsts nav kvalificējams kā komercdarbības atbalsts, </w:t>
      </w:r>
      <w:r w:rsidRPr="00DC0D3F">
        <w:rPr>
          <w:rFonts w:cs="Aptos"/>
          <w:sz w:val="24"/>
          <w:szCs w:val="24"/>
          <w:u w:val="single"/>
          <w:lang w:val="lv-LV"/>
        </w:rPr>
        <w:t>ja nevienai no augstskolām (sadarbības partneriem) nav ietekmes</w:t>
      </w:r>
      <w:r w:rsidRPr="00DC0D3F">
        <w:rPr>
          <w:rFonts w:cs="Aptos"/>
          <w:sz w:val="24"/>
          <w:szCs w:val="24"/>
          <w:lang w:val="lv-LV"/>
        </w:rPr>
        <w:t xml:space="preserve"> uz konkurenci un tirdzniecību Eiropas Savienības iekšējā tirgū.</w:t>
      </w:r>
    </w:p>
    <w:p w14:paraId="2572635C" w14:textId="77777777" w:rsidR="00574F94" w:rsidRPr="00DC0D3F" w:rsidRDefault="00060804" w:rsidP="6CCC051E">
      <w:pPr>
        <w:spacing w:before="240" w:after="240" w:line="276" w:lineRule="auto"/>
        <w:jc w:val="center"/>
        <w:rPr>
          <w:rFonts w:cs="Aptos"/>
          <w:b/>
          <w:bCs/>
          <w:sz w:val="24"/>
          <w:szCs w:val="24"/>
          <w:lang w:val="lv-LV"/>
        </w:rPr>
      </w:pPr>
      <w:r w:rsidRPr="00DC0D3F">
        <w:rPr>
          <w:rFonts w:cs="Aptos"/>
          <w:b/>
          <w:bCs/>
          <w:sz w:val="24"/>
          <w:szCs w:val="24"/>
          <w:lang w:val="lv-LV"/>
        </w:rPr>
        <w:t>III. Komercdarbības atbalstu izslēdzošo kritēriju izvērtēšana</w:t>
      </w:r>
    </w:p>
    <w:p w14:paraId="1C4D6B80" w14:textId="5AB65405" w:rsidR="00574F94" w:rsidRPr="00DC0D3F" w:rsidRDefault="00060804" w:rsidP="6CCC051E">
      <w:pPr>
        <w:spacing w:before="240" w:after="120" w:line="276" w:lineRule="auto"/>
        <w:ind w:firstLine="720"/>
        <w:jc w:val="both"/>
        <w:rPr>
          <w:rFonts w:cs="Aptos"/>
          <w:b/>
          <w:bCs/>
          <w:sz w:val="24"/>
          <w:szCs w:val="24"/>
          <w:lang w:val="lv-LV"/>
        </w:rPr>
      </w:pPr>
      <w:r w:rsidRPr="00DC0D3F">
        <w:rPr>
          <w:rFonts w:cs="Aptos"/>
          <w:sz w:val="24"/>
          <w:szCs w:val="24"/>
          <w:lang w:val="lv-LV"/>
        </w:rPr>
        <w:t>9. Metodikas ietvaros noteikti komercdarbības atbalstu izslēdzošo kritēriju</w:t>
      </w:r>
      <w:r w:rsidRPr="00DC0D3F">
        <w:rPr>
          <w:rFonts w:cs="Aptos"/>
          <w:b/>
          <w:bCs/>
          <w:sz w:val="24"/>
          <w:szCs w:val="24"/>
          <w:lang w:val="lv-LV"/>
        </w:rPr>
        <w:t xml:space="preserve"> </w:t>
      </w:r>
      <w:r w:rsidRPr="00DC0D3F">
        <w:rPr>
          <w:rFonts w:cs="Aptos"/>
          <w:sz w:val="24"/>
          <w:szCs w:val="24"/>
          <w:lang w:val="lv-LV"/>
        </w:rPr>
        <w:t>izvērtēšanas posmi, lai noteiktu komercdarbības atbalstu izslēdzošo</w:t>
      </w:r>
      <w:r w:rsidRPr="00DC0D3F">
        <w:rPr>
          <w:rFonts w:cs="Aptos"/>
          <w:b/>
          <w:bCs/>
          <w:sz w:val="24"/>
          <w:szCs w:val="24"/>
          <w:lang w:val="lv-LV"/>
        </w:rPr>
        <w:t xml:space="preserve"> </w:t>
      </w:r>
      <w:r w:rsidRPr="00DC0D3F">
        <w:rPr>
          <w:rFonts w:cs="Aptos"/>
          <w:sz w:val="24"/>
          <w:szCs w:val="24"/>
          <w:lang w:val="lv-LV"/>
        </w:rPr>
        <w:t>kritēriju secīgu piemērošanu. Katras konkrētās augstskolas (sadarbības partnera) atbilstību komercdarbības atbalstu izslēdzošajiem kritērijiem var sākt izvērtēt ar jebkuru komercdarbības atbalstu izslēdzošo</w:t>
      </w:r>
      <w:r w:rsidRPr="00DC0D3F">
        <w:rPr>
          <w:rFonts w:cs="Aptos"/>
          <w:b/>
          <w:bCs/>
          <w:sz w:val="24"/>
          <w:szCs w:val="24"/>
          <w:lang w:val="lv-LV"/>
        </w:rPr>
        <w:t xml:space="preserve"> </w:t>
      </w:r>
      <w:r w:rsidRPr="00DC0D3F">
        <w:rPr>
          <w:rFonts w:cs="Aptos"/>
          <w:sz w:val="24"/>
          <w:szCs w:val="24"/>
          <w:lang w:val="lv-LV"/>
        </w:rPr>
        <w:t>kritēriju, vienlaikus to ieteicams sākt ar pirmo komercdarbības atbalstu izslēdzošo</w:t>
      </w:r>
      <w:r w:rsidRPr="00DC0D3F">
        <w:rPr>
          <w:rFonts w:cs="Aptos"/>
          <w:b/>
          <w:bCs/>
          <w:sz w:val="24"/>
          <w:szCs w:val="24"/>
          <w:lang w:val="lv-LV"/>
        </w:rPr>
        <w:t xml:space="preserve"> </w:t>
      </w:r>
      <w:r w:rsidRPr="00DC0D3F">
        <w:rPr>
          <w:rFonts w:cs="Aptos"/>
          <w:sz w:val="24"/>
          <w:szCs w:val="24"/>
          <w:lang w:val="lv-LV"/>
        </w:rPr>
        <w:t>kritēriju.</w:t>
      </w:r>
    </w:p>
    <w:p w14:paraId="6121D368" w14:textId="77777777" w:rsidR="00574F94" w:rsidRPr="00DC0D3F" w:rsidRDefault="00060804" w:rsidP="6CCC051E">
      <w:pPr>
        <w:spacing w:after="120" w:line="276" w:lineRule="auto"/>
        <w:ind w:firstLine="720"/>
        <w:jc w:val="both"/>
        <w:rPr>
          <w:rFonts w:cs="Aptos"/>
          <w:b/>
          <w:bCs/>
          <w:sz w:val="24"/>
          <w:szCs w:val="24"/>
          <w:lang w:val="lv-LV"/>
        </w:rPr>
      </w:pPr>
      <w:r w:rsidRPr="00DC0D3F">
        <w:rPr>
          <w:rFonts w:cs="Aptos"/>
          <w:sz w:val="24"/>
          <w:szCs w:val="24"/>
          <w:lang w:val="lv-LV"/>
        </w:rPr>
        <w:t>10.</w:t>
      </w:r>
      <w:r w:rsidRPr="00DC0D3F">
        <w:rPr>
          <w:rFonts w:cs="Aptos"/>
          <w:b/>
          <w:bCs/>
          <w:sz w:val="24"/>
          <w:szCs w:val="24"/>
          <w:lang w:val="lv-LV"/>
        </w:rPr>
        <w:t xml:space="preserve"> Pirmais komercdarbības atbalstu izslēdzošo kritēriju izvērtēšanas posms</w:t>
      </w:r>
      <w:r w:rsidRPr="00DC0D3F">
        <w:rPr>
          <w:rFonts w:cs="Aptos"/>
          <w:sz w:val="24"/>
          <w:szCs w:val="24"/>
          <w:lang w:val="lv-LV"/>
        </w:rPr>
        <w:t>:</w:t>
      </w:r>
    </w:p>
    <w:p w14:paraId="69B828AD" w14:textId="77777777" w:rsidR="00574F94" w:rsidRPr="00DC0D3F" w:rsidRDefault="00060804" w:rsidP="6CCC051E">
      <w:pPr>
        <w:spacing w:after="0" w:line="276" w:lineRule="auto"/>
        <w:ind w:firstLine="720"/>
        <w:jc w:val="both"/>
        <w:rPr>
          <w:rFonts w:cs="Aptos"/>
          <w:sz w:val="24"/>
          <w:szCs w:val="24"/>
          <w:lang w:val="lv-LV"/>
        </w:rPr>
      </w:pPr>
      <w:r w:rsidRPr="00DC0D3F">
        <w:rPr>
          <w:rFonts w:cs="Aptos"/>
          <w:sz w:val="24"/>
          <w:szCs w:val="24"/>
          <w:lang w:val="lv-LV"/>
        </w:rPr>
        <w:t>10.1.</w:t>
      </w:r>
      <w:r w:rsidRPr="00DC0D3F">
        <w:rPr>
          <w:rFonts w:cs="Aptos"/>
          <w:b/>
          <w:bCs/>
          <w:sz w:val="24"/>
          <w:szCs w:val="24"/>
          <w:lang w:val="lv-LV"/>
        </w:rPr>
        <w:t xml:space="preserve"> </w:t>
      </w:r>
      <w:r w:rsidRPr="00DC0D3F">
        <w:rPr>
          <w:rFonts w:cs="Aptos"/>
          <w:sz w:val="24"/>
          <w:szCs w:val="24"/>
          <w:lang w:val="lv-LV"/>
        </w:rPr>
        <w:t>Katras augstskolas</w:t>
      </w:r>
      <w:r w:rsidRPr="00DC0D3F">
        <w:rPr>
          <w:rFonts w:cs="Aptos"/>
          <w:b/>
          <w:bCs/>
          <w:sz w:val="24"/>
          <w:szCs w:val="24"/>
          <w:lang w:val="lv-LV"/>
        </w:rPr>
        <w:t xml:space="preserve"> izvērtēšanu </w:t>
      </w:r>
      <w:r w:rsidRPr="00DC0D3F">
        <w:rPr>
          <w:rFonts w:cs="Aptos"/>
          <w:b/>
          <w:bCs/>
          <w:sz w:val="24"/>
          <w:szCs w:val="24"/>
          <w:u w:val="single"/>
          <w:lang w:val="lv-LV"/>
        </w:rPr>
        <w:t>ieteicams</w:t>
      </w:r>
      <w:r w:rsidRPr="00DC0D3F">
        <w:rPr>
          <w:rFonts w:cs="Aptos"/>
          <w:b/>
          <w:bCs/>
          <w:sz w:val="24"/>
          <w:szCs w:val="24"/>
          <w:lang w:val="lv-LV"/>
        </w:rPr>
        <w:t xml:space="preserve"> sākt ar pirmo kritēriju</w:t>
      </w:r>
      <w:r w:rsidRPr="00DC0D3F">
        <w:rPr>
          <w:rStyle w:val="FootnoteReference"/>
          <w:rFonts w:cs="Aptos"/>
          <w:b/>
          <w:bCs/>
          <w:sz w:val="24"/>
          <w:szCs w:val="24"/>
          <w:lang w:val="lv-LV"/>
        </w:rPr>
        <w:footnoteReference w:id="5"/>
      </w:r>
      <w:r w:rsidRPr="00DC0D3F">
        <w:rPr>
          <w:rFonts w:cs="Aptos"/>
          <w:sz w:val="24"/>
          <w:szCs w:val="24"/>
          <w:lang w:val="lv-LV"/>
        </w:rPr>
        <w:t xml:space="preserve">, pārbaudot, vai </w:t>
      </w:r>
      <w:r w:rsidRPr="00DC0D3F">
        <w:rPr>
          <w:rFonts w:cs="Aptos"/>
          <w:sz w:val="24"/>
          <w:szCs w:val="24"/>
          <w:u w:val="single"/>
          <w:lang w:val="lv-LV"/>
        </w:rPr>
        <w:t>projekta vērtēšanas brīdī</w:t>
      </w:r>
      <w:r w:rsidRPr="00DC0D3F">
        <w:rPr>
          <w:rFonts w:cs="Aptos"/>
          <w:sz w:val="24"/>
          <w:szCs w:val="24"/>
          <w:lang w:val="lv-LV"/>
        </w:rPr>
        <w:t xml:space="preserve"> augstskola ierindojas kādā no reitingiem 500 labāko augstskolu sarakstā. Augstskolas reitings tiek vērtēts:</w:t>
      </w:r>
    </w:p>
    <w:p w14:paraId="58FD6444" w14:textId="77777777" w:rsidR="00574F94" w:rsidRPr="00784A55" w:rsidRDefault="00060804" w:rsidP="6CCC051E">
      <w:pPr>
        <w:pStyle w:val="ListParagraph"/>
        <w:numPr>
          <w:ilvl w:val="2"/>
          <w:numId w:val="1"/>
        </w:numPr>
        <w:spacing w:line="276" w:lineRule="auto"/>
        <w:jc w:val="both"/>
        <w:rPr>
          <w:rFonts w:cs="Aptos"/>
        </w:rPr>
      </w:pPr>
      <w:r w:rsidRPr="00DC0D3F">
        <w:rPr>
          <w:rFonts w:cs="Aptos"/>
          <w:sz w:val="24"/>
          <w:szCs w:val="24"/>
          <w:lang w:val="lv-LV"/>
        </w:rPr>
        <w:t xml:space="preserve">pasaules universitāšu reitingā “QS </w:t>
      </w:r>
      <w:proofErr w:type="spellStart"/>
      <w:r w:rsidRPr="00DC0D3F">
        <w:rPr>
          <w:rFonts w:cs="Aptos"/>
          <w:sz w:val="24"/>
          <w:szCs w:val="24"/>
          <w:lang w:val="lv-LV"/>
        </w:rPr>
        <w:t>World</w:t>
      </w:r>
      <w:proofErr w:type="spellEnd"/>
      <w:r w:rsidRPr="00DC0D3F">
        <w:rPr>
          <w:rFonts w:cs="Aptos"/>
          <w:sz w:val="24"/>
          <w:szCs w:val="24"/>
          <w:lang w:val="lv-LV"/>
        </w:rPr>
        <w:t xml:space="preserve"> </w:t>
      </w:r>
      <w:proofErr w:type="spellStart"/>
      <w:r w:rsidRPr="00DC0D3F">
        <w:rPr>
          <w:rFonts w:cs="Aptos"/>
          <w:sz w:val="24"/>
          <w:szCs w:val="24"/>
          <w:lang w:val="lv-LV"/>
        </w:rPr>
        <w:t>University</w:t>
      </w:r>
      <w:proofErr w:type="spellEnd"/>
      <w:r w:rsidRPr="00DC0D3F">
        <w:rPr>
          <w:rFonts w:cs="Aptos"/>
          <w:sz w:val="24"/>
          <w:szCs w:val="24"/>
          <w:lang w:val="lv-LV"/>
        </w:rPr>
        <w:t xml:space="preserve"> </w:t>
      </w:r>
      <w:proofErr w:type="spellStart"/>
      <w:r w:rsidRPr="00DC0D3F">
        <w:rPr>
          <w:rFonts w:cs="Aptos"/>
          <w:sz w:val="24"/>
          <w:szCs w:val="24"/>
          <w:lang w:val="lv-LV"/>
        </w:rPr>
        <w:t>Rankings</w:t>
      </w:r>
      <w:proofErr w:type="spellEnd"/>
      <w:r w:rsidRPr="00DC0D3F">
        <w:rPr>
          <w:rFonts w:cs="Aptos"/>
          <w:sz w:val="24"/>
          <w:szCs w:val="24"/>
          <w:lang w:val="lv-LV"/>
        </w:rPr>
        <w:t xml:space="preserve">”, kas pieejams: </w:t>
      </w:r>
      <w:hyperlink r:id="rId10">
        <w:r w:rsidR="00574F94" w:rsidRPr="00DC0D3F">
          <w:rPr>
            <w:rFonts w:cs="Aptos"/>
            <w:color w:val="467886"/>
            <w:u w:val="single"/>
          </w:rPr>
          <w:t>https://www.topuniversities.com/university-rankings</w:t>
        </w:r>
      </w:hyperlink>
      <w:r w:rsidRPr="00DC0D3F">
        <w:rPr>
          <w:rFonts w:cs="Aptos"/>
        </w:rPr>
        <w:t xml:space="preserve">; </w:t>
      </w:r>
    </w:p>
    <w:p w14:paraId="0BFC625E" w14:textId="77777777" w:rsidR="00574F94" w:rsidRPr="00DC0D3F" w:rsidRDefault="00060804" w:rsidP="6CCC051E">
      <w:pPr>
        <w:pStyle w:val="ListParagraph"/>
        <w:numPr>
          <w:ilvl w:val="2"/>
          <w:numId w:val="1"/>
        </w:numPr>
        <w:spacing w:line="276" w:lineRule="auto"/>
        <w:jc w:val="both"/>
        <w:rPr>
          <w:rFonts w:cs="Aptos"/>
        </w:rPr>
      </w:pPr>
      <w:r w:rsidRPr="00DC0D3F">
        <w:rPr>
          <w:rFonts w:cs="Aptos"/>
          <w:sz w:val="24"/>
          <w:szCs w:val="24"/>
          <w:lang w:val="lv-LV"/>
        </w:rPr>
        <w:t>pasaules universitāšu reitingā “</w:t>
      </w:r>
      <w:proofErr w:type="spellStart"/>
      <w:r w:rsidRPr="00DC0D3F">
        <w:rPr>
          <w:rFonts w:cs="Aptos"/>
          <w:sz w:val="24"/>
          <w:szCs w:val="24"/>
          <w:lang w:val="lv-LV"/>
        </w:rPr>
        <w:t>Times</w:t>
      </w:r>
      <w:proofErr w:type="spellEnd"/>
      <w:r w:rsidRPr="00DC0D3F">
        <w:rPr>
          <w:rFonts w:cs="Aptos"/>
          <w:sz w:val="24"/>
          <w:szCs w:val="24"/>
          <w:lang w:val="lv-LV"/>
        </w:rPr>
        <w:t xml:space="preserve"> </w:t>
      </w:r>
      <w:proofErr w:type="spellStart"/>
      <w:r w:rsidRPr="00DC0D3F">
        <w:rPr>
          <w:rFonts w:cs="Aptos"/>
          <w:sz w:val="24"/>
          <w:szCs w:val="24"/>
          <w:lang w:val="lv-LV"/>
        </w:rPr>
        <w:t>Higher</w:t>
      </w:r>
      <w:proofErr w:type="spellEnd"/>
      <w:r w:rsidRPr="00DC0D3F">
        <w:rPr>
          <w:rFonts w:cs="Aptos"/>
          <w:sz w:val="24"/>
          <w:szCs w:val="24"/>
          <w:lang w:val="lv-LV"/>
        </w:rPr>
        <w:t xml:space="preserve"> </w:t>
      </w:r>
      <w:proofErr w:type="spellStart"/>
      <w:r w:rsidRPr="00DC0D3F">
        <w:rPr>
          <w:rFonts w:cs="Aptos"/>
          <w:sz w:val="24"/>
          <w:szCs w:val="24"/>
          <w:lang w:val="lv-LV"/>
        </w:rPr>
        <w:t>Education</w:t>
      </w:r>
      <w:proofErr w:type="spellEnd"/>
      <w:r w:rsidRPr="00DC0D3F">
        <w:rPr>
          <w:rFonts w:cs="Aptos"/>
          <w:sz w:val="24"/>
          <w:szCs w:val="24"/>
          <w:lang w:val="lv-LV"/>
        </w:rPr>
        <w:t xml:space="preserve"> (THE) </w:t>
      </w:r>
      <w:proofErr w:type="spellStart"/>
      <w:r w:rsidRPr="00DC0D3F">
        <w:rPr>
          <w:rFonts w:cs="Aptos"/>
          <w:sz w:val="24"/>
          <w:szCs w:val="24"/>
          <w:lang w:val="lv-LV"/>
        </w:rPr>
        <w:t>World</w:t>
      </w:r>
      <w:proofErr w:type="spellEnd"/>
      <w:r w:rsidRPr="00DC0D3F">
        <w:rPr>
          <w:rFonts w:cs="Aptos"/>
          <w:sz w:val="24"/>
          <w:szCs w:val="24"/>
          <w:lang w:val="lv-LV"/>
        </w:rPr>
        <w:t xml:space="preserve"> </w:t>
      </w:r>
      <w:proofErr w:type="spellStart"/>
      <w:r w:rsidRPr="00DC0D3F">
        <w:rPr>
          <w:rFonts w:cs="Aptos"/>
          <w:sz w:val="24"/>
          <w:szCs w:val="24"/>
          <w:lang w:val="lv-LV"/>
        </w:rPr>
        <w:t>University</w:t>
      </w:r>
      <w:proofErr w:type="spellEnd"/>
      <w:r w:rsidRPr="00DC0D3F">
        <w:rPr>
          <w:rFonts w:cs="Aptos"/>
          <w:sz w:val="24"/>
          <w:szCs w:val="24"/>
          <w:lang w:val="lv-LV"/>
        </w:rPr>
        <w:t xml:space="preserve"> </w:t>
      </w:r>
      <w:proofErr w:type="spellStart"/>
      <w:r w:rsidRPr="00DC0D3F">
        <w:rPr>
          <w:rFonts w:cs="Aptos"/>
          <w:sz w:val="24"/>
          <w:szCs w:val="24"/>
          <w:lang w:val="lv-LV"/>
        </w:rPr>
        <w:t>Rankings</w:t>
      </w:r>
      <w:proofErr w:type="spellEnd"/>
      <w:r w:rsidRPr="00DC0D3F">
        <w:rPr>
          <w:rFonts w:cs="Aptos"/>
          <w:sz w:val="24"/>
          <w:szCs w:val="24"/>
          <w:lang w:val="lv-LV"/>
        </w:rPr>
        <w:t xml:space="preserve">”, kas pieejams: </w:t>
      </w:r>
      <w:hyperlink r:id="rId11">
        <w:r w:rsidR="00574F94" w:rsidRPr="00DC0D3F">
          <w:rPr>
            <w:rStyle w:val="Hyperlink"/>
            <w:rFonts w:cs="Aptos"/>
          </w:rPr>
          <w:t>https://www.timeshighereducation.com/world-university-rankings</w:t>
        </w:r>
      </w:hyperlink>
      <w:r w:rsidRPr="00DC0D3F">
        <w:rPr>
          <w:rFonts w:cs="Aptos"/>
        </w:rPr>
        <w:t>;</w:t>
      </w:r>
    </w:p>
    <w:p w14:paraId="6C566592" w14:textId="77777777" w:rsidR="00574F94" w:rsidRPr="00DC0D3F" w:rsidRDefault="00060804" w:rsidP="6CCC051E">
      <w:pPr>
        <w:pStyle w:val="ListParagraph"/>
        <w:numPr>
          <w:ilvl w:val="2"/>
          <w:numId w:val="1"/>
        </w:numPr>
        <w:spacing w:after="0" w:line="276" w:lineRule="auto"/>
        <w:jc w:val="both"/>
        <w:rPr>
          <w:rFonts w:cs="Aptos"/>
          <w:sz w:val="24"/>
          <w:szCs w:val="24"/>
          <w:lang w:val="lv-LV"/>
        </w:rPr>
      </w:pPr>
      <w:r w:rsidRPr="00DC0D3F">
        <w:rPr>
          <w:rFonts w:cs="Aptos"/>
          <w:sz w:val="24"/>
          <w:szCs w:val="24"/>
          <w:lang w:val="lv-LV"/>
        </w:rPr>
        <w:t>Šanhajas reitingā “</w:t>
      </w:r>
      <w:proofErr w:type="spellStart"/>
      <w:r w:rsidRPr="00DC0D3F">
        <w:rPr>
          <w:rFonts w:cs="Aptos"/>
          <w:sz w:val="24"/>
          <w:szCs w:val="24"/>
          <w:lang w:val="lv-LV"/>
        </w:rPr>
        <w:t>Academic</w:t>
      </w:r>
      <w:proofErr w:type="spellEnd"/>
      <w:r w:rsidRPr="00DC0D3F">
        <w:rPr>
          <w:rFonts w:cs="Aptos"/>
          <w:sz w:val="24"/>
          <w:szCs w:val="24"/>
          <w:lang w:val="lv-LV"/>
        </w:rPr>
        <w:t xml:space="preserve"> </w:t>
      </w:r>
      <w:proofErr w:type="spellStart"/>
      <w:r w:rsidRPr="00DC0D3F">
        <w:rPr>
          <w:rFonts w:cs="Aptos"/>
          <w:sz w:val="24"/>
          <w:szCs w:val="24"/>
          <w:lang w:val="lv-LV"/>
        </w:rPr>
        <w:t>Ranking</w:t>
      </w:r>
      <w:proofErr w:type="spellEnd"/>
      <w:r w:rsidRPr="00DC0D3F">
        <w:rPr>
          <w:rFonts w:cs="Aptos"/>
          <w:sz w:val="24"/>
          <w:szCs w:val="24"/>
          <w:lang w:val="lv-LV"/>
        </w:rPr>
        <w:t xml:space="preserve"> </w:t>
      </w:r>
      <w:proofErr w:type="spellStart"/>
      <w:r w:rsidRPr="00DC0D3F">
        <w:rPr>
          <w:rFonts w:cs="Aptos"/>
          <w:sz w:val="24"/>
          <w:szCs w:val="24"/>
          <w:lang w:val="lv-LV"/>
        </w:rPr>
        <w:t>of</w:t>
      </w:r>
      <w:proofErr w:type="spellEnd"/>
      <w:r w:rsidRPr="00DC0D3F">
        <w:rPr>
          <w:rFonts w:cs="Aptos"/>
          <w:sz w:val="24"/>
          <w:szCs w:val="24"/>
          <w:lang w:val="lv-LV"/>
        </w:rPr>
        <w:t xml:space="preserve"> </w:t>
      </w:r>
      <w:proofErr w:type="spellStart"/>
      <w:r w:rsidRPr="00DC0D3F">
        <w:rPr>
          <w:rFonts w:cs="Aptos"/>
          <w:sz w:val="24"/>
          <w:szCs w:val="24"/>
          <w:lang w:val="lv-LV"/>
        </w:rPr>
        <w:t>World</w:t>
      </w:r>
      <w:proofErr w:type="spellEnd"/>
      <w:r w:rsidRPr="00DC0D3F">
        <w:rPr>
          <w:rFonts w:cs="Aptos"/>
          <w:sz w:val="24"/>
          <w:szCs w:val="24"/>
          <w:lang w:val="lv-LV"/>
        </w:rPr>
        <w:t xml:space="preserve"> </w:t>
      </w:r>
      <w:proofErr w:type="spellStart"/>
      <w:r w:rsidRPr="00DC0D3F">
        <w:rPr>
          <w:rFonts w:cs="Aptos"/>
          <w:sz w:val="24"/>
          <w:szCs w:val="24"/>
          <w:lang w:val="lv-LV"/>
        </w:rPr>
        <w:t>Universities</w:t>
      </w:r>
      <w:proofErr w:type="spellEnd"/>
      <w:r w:rsidRPr="00DC0D3F">
        <w:rPr>
          <w:rFonts w:cs="Aptos"/>
          <w:sz w:val="24"/>
          <w:szCs w:val="24"/>
          <w:lang w:val="lv-LV"/>
        </w:rPr>
        <w:t xml:space="preserve">” (ARWU), kas pieejams: </w:t>
      </w:r>
      <w:hyperlink r:id="rId12">
        <w:r w:rsidR="00574F94" w:rsidRPr="00DC0D3F">
          <w:rPr>
            <w:rStyle w:val="Hyperlink"/>
            <w:rFonts w:cs="Aptos"/>
          </w:rPr>
          <w:t>http://www.shanghairanking.com/</w:t>
        </w:r>
      </w:hyperlink>
      <w:r w:rsidRPr="00DC0D3F">
        <w:rPr>
          <w:rStyle w:val="Hyperlink"/>
          <w:rFonts w:cs="Aptos"/>
        </w:rPr>
        <w:t>;</w:t>
      </w:r>
    </w:p>
    <w:p w14:paraId="49837F6F" w14:textId="77777777" w:rsidR="00574F94" w:rsidRPr="00784A55" w:rsidRDefault="00060804" w:rsidP="6CCC051E">
      <w:pPr>
        <w:spacing w:after="120" w:line="276" w:lineRule="auto"/>
        <w:ind w:firstLine="720"/>
        <w:jc w:val="both"/>
        <w:rPr>
          <w:rFonts w:cs="Aptos"/>
          <w:lang w:val="lv-LV"/>
        </w:rPr>
      </w:pPr>
      <w:r w:rsidRPr="00DC0D3F">
        <w:rPr>
          <w:rFonts w:cs="Aptos"/>
          <w:sz w:val="24"/>
          <w:szCs w:val="24"/>
          <w:lang w:val="lv-LV"/>
        </w:rPr>
        <w:t>10.2. Ja pēc izvērtēšanas secināms, ka neviena no augstskolām neierindojas neviena minētā reitinga 500 labāko augstskolu vidū</w:t>
      </w:r>
      <w:r w:rsidRPr="00DC0D3F">
        <w:rPr>
          <w:rStyle w:val="FootnoteReference"/>
          <w:rFonts w:cs="Aptos"/>
          <w:sz w:val="24"/>
          <w:szCs w:val="24"/>
          <w:lang w:val="lv-LV"/>
        </w:rPr>
        <w:footnoteReference w:id="6"/>
      </w:r>
      <w:r w:rsidRPr="00DC0D3F">
        <w:rPr>
          <w:rFonts w:cs="Aptos"/>
          <w:sz w:val="24"/>
          <w:szCs w:val="24"/>
          <w:lang w:val="lv-LV"/>
        </w:rPr>
        <w:t xml:space="preserve">, </w:t>
      </w:r>
      <w:r w:rsidRPr="00DC0D3F">
        <w:rPr>
          <w:rFonts w:cs="Aptos"/>
          <w:b/>
          <w:bCs/>
          <w:sz w:val="24"/>
          <w:szCs w:val="24"/>
          <w:lang w:val="lv-LV"/>
        </w:rPr>
        <w:t>tad tālāku izvērtēšanu neveic</w:t>
      </w:r>
      <w:r w:rsidRPr="00DC0D3F">
        <w:rPr>
          <w:rFonts w:cs="Aptos"/>
          <w:sz w:val="24"/>
          <w:szCs w:val="24"/>
          <w:lang w:val="lv-LV"/>
        </w:rPr>
        <w:t xml:space="preserve"> un 4.2.2.11. pasākuma pirmās kārtas ietvaros piešķirtais atbalsts nav kvalificējams kā komercdarbības atbalsts, jo tas neietekmē Eiropas Savienības iekšējo tirgu un pasākumam ir vietējs raksturs. </w:t>
      </w:r>
    </w:p>
    <w:p w14:paraId="54BCA6A8" w14:textId="77777777" w:rsidR="00574F94" w:rsidRPr="00DC0D3F" w:rsidRDefault="00060804" w:rsidP="6CCC051E">
      <w:pPr>
        <w:spacing w:after="120" w:line="276" w:lineRule="auto"/>
        <w:ind w:firstLine="720"/>
        <w:jc w:val="both"/>
        <w:rPr>
          <w:rFonts w:cs="Aptos"/>
          <w:b/>
          <w:bCs/>
          <w:sz w:val="24"/>
          <w:szCs w:val="24"/>
          <w:lang w:val="lv-LV"/>
        </w:rPr>
      </w:pPr>
      <w:r w:rsidRPr="00DC0D3F">
        <w:rPr>
          <w:rFonts w:cs="Aptos"/>
          <w:sz w:val="24"/>
          <w:szCs w:val="24"/>
          <w:lang w:val="lv-LV"/>
        </w:rPr>
        <w:lastRenderedPageBreak/>
        <w:t>11.</w:t>
      </w:r>
      <w:r w:rsidRPr="00DC0D3F">
        <w:rPr>
          <w:rFonts w:cs="Aptos"/>
          <w:b/>
          <w:bCs/>
          <w:sz w:val="24"/>
          <w:szCs w:val="24"/>
          <w:lang w:val="lv-LV"/>
        </w:rPr>
        <w:t xml:space="preserve"> Otrais komercdarbības atbalstu izslēdzošo kritēriju izvērtēšanas posms</w:t>
      </w:r>
      <w:r w:rsidRPr="00DC0D3F">
        <w:rPr>
          <w:rFonts w:cs="Aptos"/>
          <w:sz w:val="24"/>
          <w:szCs w:val="24"/>
          <w:lang w:val="lv-LV"/>
        </w:rPr>
        <w:t>:</w:t>
      </w:r>
    </w:p>
    <w:p w14:paraId="645252FF" w14:textId="77777777" w:rsidR="00574F94" w:rsidRPr="00784A55" w:rsidRDefault="00060804" w:rsidP="6CCC051E">
      <w:pPr>
        <w:spacing w:after="0" w:line="276" w:lineRule="auto"/>
        <w:ind w:firstLine="720"/>
        <w:jc w:val="both"/>
        <w:rPr>
          <w:rFonts w:cs="Aptos"/>
          <w:lang w:val="lv-LV"/>
        </w:rPr>
      </w:pPr>
      <w:r w:rsidRPr="00DC0D3F">
        <w:rPr>
          <w:rFonts w:cs="Aptos"/>
          <w:sz w:val="24"/>
          <w:szCs w:val="24"/>
          <w:lang w:val="lv-LV"/>
        </w:rPr>
        <w:t xml:space="preserve">11.1. Ja kādai no augstskolām </w:t>
      </w:r>
      <w:r w:rsidRPr="00DC0D3F">
        <w:rPr>
          <w:rFonts w:cs="Aptos"/>
          <w:sz w:val="24"/>
          <w:szCs w:val="24"/>
          <w:u w:val="single"/>
          <w:lang w:val="lv-LV"/>
        </w:rPr>
        <w:t>pirmais kritērijs</w:t>
      </w:r>
      <w:r w:rsidRPr="00DC0D3F">
        <w:rPr>
          <w:rFonts w:cs="Aptos"/>
          <w:b/>
          <w:bCs/>
          <w:sz w:val="24"/>
          <w:szCs w:val="24"/>
          <w:lang w:val="lv-LV"/>
        </w:rPr>
        <w:t xml:space="preserve"> </w:t>
      </w:r>
      <w:r w:rsidRPr="00DC0D3F">
        <w:rPr>
          <w:rFonts w:cs="Aptos"/>
          <w:sz w:val="24"/>
          <w:szCs w:val="24"/>
          <w:u w:val="single"/>
          <w:lang w:val="lv-LV"/>
        </w:rPr>
        <w:t>neizpildās</w:t>
      </w:r>
      <w:r w:rsidRPr="00DC0D3F">
        <w:rPr>
          <w:rFonts w:cs="Aptos"/>
          <w:sz w:val="24"/>
          <w:szCs w:val="24"/>
          <w:lang w:val="lv-LV"/>
        </w:rPr>
        <w:t xml:space="preserve">, jo tā ir iekļauta 500 labāko augstskolu vidū, tad attiecībā uz šo augstskolu </w:t>
      </w:r>
      <w:r w:rsidRPr="00DC0D3F">
        <w:rPr>
          <w:rFonts w:cs="Aptos"/>
          <w:b/>
          <w:bCs/>
          <w:sz w:val="24"/>
          <w:szCs w:val="24"/>
          <w:lang w:val="lv-LV"/>
        </w:rPr>
        <w:t>tiek vērtēts otrais kritērijs</w:t>
      </w:r>
      <w:r w:rsidRPr="00DC0D3F">
        <w:rPr>
          <w:rFonts w:cs="Aptos"/>
          <w:sz w:val="24"/>
          <w:szCs w:val="24"/>
          <w:lang w:val="lv-LV"/>
        </w:rPr>
        <w:t>.</w:t>
      </w:r>
    </w:p>
    <w:p w14:paraId="4546E3EB" w14:textId="77777777" w:rsidR="00574F94" w:rsidRPr="00784A55" w:rsidRDefault="00060804" w:rsidP="6CCC051E">
      <w:pPr>
        <w:spacing w:after="0" w:line="276" w:lineRule="auto"/>
        <w:ind w:firstLine="720"/>
        <w:jc w:val="both"/>
        <w:rPr>
          <w:rFonts w:cs="Aptos"/>
          <w:lang w:val="lv-LV"/>
        </w:rPr>
      </w:pPr>
      <w:bookmarkStart w:id="7" w:name="_Hlk188360794"/>
      <w:r w:rsidRPr="00DC0D3F">
        <w:rPr>
          <w:rFonts w:cs="Aptos"/>
          <w:sz w:val="24"/>
          <w:szCs w:val="24"/>
          <w:lang w:val="lv-LV"/>
        </w:rPr>
        <w:t xml:space="preserve">11.2. Datus par studējošajiem sadalījumā pēc valstiskās piederības (Latvijas iedzīvotāji un ārvalstnieki) izvērtē atbilstoši informācijai, kas pieejama </w:t>
      </w:r>
      <w:r w:rsidRPr="00DC0D3F">
        <w:rPr>
          <w:rFonts w:cs="Aptos"/>
          <w:sz w:val="24"/>
          <w:szCs w:val="24"/>
          <w:u w:val="single"/>
          <w:lang w:val="lv-LV"/>
        </w:rPr>
        <w:t>VIIS uz 2024. gada 1. oktobri</w:t>
      </w:r>
      <w:r w:rsidRPr="00DC0D3F">
        <w:rPr>
          <w:rFonts w:cs="Aptos"/>
          <w:sz w:val="24"/>
          <w:szCs w:val="24"/>
          <w:lang w:val="lv-LV"/>
        </w:rPr>
        <w:t xml:space="preserve">. Centrālā finanšu un līgumu aģentūra (turpmāk – CFLA) iesniedz pieprasījumu IZM par attiecīgo datu saņemšanu. </w:t>
      </w:r>
    </w:p>
    <w:bookmarkEnd w:id="7"/>
    <w:p w14:paraId="4BA27BB2" w14:textId="77777777" w:rsidR="00574F94" w:rsidRPr="00784A55" w:rsidRDefault="00060804" w:rsidP="6CCC051E">
      <w:pPr>
        <w:spacing w:after="120" w:line="276" w:lineRule="auto"/>
        <w:ind w:firstLine="720"/>
        <w:jc w:val="both"/>
        <w:rPr>
          <w:rFonts w:cs="Aptos"/>
          <w:lang w:val="lv-LV"/>
        </w:rPr>
      </w:pPr>
      <w:r w:rsidRPr="00DC0D3F">
        <w:rPr>
          <w:rFonts w:cs="Aptos"/>
          <w:sz w:val="24"/>
          <w:szCs w:val="24"/>
          <w:lang w:val="lv-LV"/>
        </w:rPr>
        <w:t xml:space="preserve">11.3. Ja pēc izvērtēšanas secināms, ka konkrētajai augstskolai </w:t>
      </w:r>
      <w:r w:rsidRPr="00DC0D3F">
        <w:rPr>
          <w:rFonts w:cs="Aptos"/>
          <w:b/>
          <w:bCs/>
          <w:sz w:val="24"/>
          <w:szCs w:val="24"/>
          <w:u w:val="single"/>
          <w:lang w:val="lv-LV"/>
        </w:rPr>
        <w:t>otrais kritērijs</w:t>
      </w:r>
      <w:r w:rsidRPr="00DC0D3F">
        <w:rPr>
          <w:rFonts w:cs="Aptos"/>
          <w:sz w:val="24"/>
          <w:szCs w:val="24"/>
          <w:u w:val="single"/>
          <w:lang w:val="lv-LV"/>
        </w:rPr>
        <w:t xml:space="preserve"> </w:t>
      </w:r>
      <w:r w:rsidRPr="00DC0D3F">
        <w:rPr>
          <w:rFonts w:cs="Aptos"/>
          <w:b/>
          <w:bCs/>
          <w:sz w:val="24"/>
          <w:szCs w:val="24"/>
          <w:u w:val="single"/>
          <w:lang w:val="lv-LV"/>
        </w:rPr>
        <w:t>izpildās</w:t>
      </w:r>
      <w:r w:rsidRPr="00DC0D3F">
        <w:rPr>
          <w:rFonts w:cs="Aptos"/>
          <w:b/>
          <w:bCs/>
          <w:sz w:val="24"/>
          <w:szCs w:val="24"/>
          <w:lang w:val="lv-LV"/>
        </w:rPr>
        <w:t xml:space="preserve">, tad tālāko izvērtēšanu neveic </w:t>
      </w:r>
      <w:r w:rsidRPr="00DC0D3F">
        <w:rPr>
          <w:rFonts w:cs="Aptos"/>
          <w:sz w:val="24"/>
          <w:szCs w:val="24"/>
          <w:lang w:val="lv-LV"/>
        </w:rPr>
        <w:t xml:space="preserve">un 4.2.2.11. pasākuma pirmās kārtas ietvaros piešķirtais atbalsts nav kvalificējams kā komercdarbības atbalsts, jo tas neietekmē Eiropas Savienības iekšējo tirgu un pasākumam ir vietējs raksturs. </w:t>
      </w:r>
    </w:p>
    <w:p w14:paraId="337046E3" w14:textId="77777777" w:rsidR="00574F94" w:rsidRPr="00DC0D3F" w:rsidRDefault="00060804" w:rsidP="6CCC051E">
      <w:pPr>
        <w:spacing w:after="120" w:line="276" w:lineRule="auto"/>
        <w:ind w:firstLine="720"/>
        <w:rPr>
          <w:rFonts w:cs="Aptos"/>
          <w:b/>
          <w:bCs/>
          <w:sz w:val="24"/>
          <w:szCs w:val="24"/>
          <w:lang w:val="lv-LV"/>
        </w:rPr>
      </w:pPr>
      <w:r w:rsidRPr="00DC0D3F">
        <w:rPr>
          <w:rFonts w:cs="Aptos"/>
          <w:sz w:val="24"/>
          <w:szCs w:val="24"/>
          <w:lang w:val="lv-LV"/>
        </w:rPr>
        <w:t>12.</w:t>
      </w:r>
      <w:r w:rsidRPr="00DC0D3F">
        <w:rPr>
          <w:rFonts w:cs="Aptos"/>
          <w:b/>
          <w:bCs/>
          <w:sz w:val="24"/>
          <w:szCs w:val="24"/>
          <w:lang w:val="lv-LV"/>
        </w:rPr>
        <w:t xml:space="preserve"> Trešais komercdarbības atbalstu izslēdzošo kritēriju izvērtēšanas posms:</w:t>
      </w:r>
    </w:p>
    <w:p w14:paraId="755C4987" w14:textId="77777777" w:rsidR="00574F94" w:rsidRPr="00784A55" w:rsidRDefault="00060804" w:rsidP="6CCC051E">
      <w:pPr>
        <w:spacing w:after="0" w:line="276" w:lineRule="auto"/>
        <w:ind w:firstLine="720"/>
        <w:jc w:val="both"/>
        <w:rPr>
          <w:rFonts w:cs="Aptos"/>
          <w:lang w:val="lv-LV"/>
        </w:rPr>
      </w:pPr>
      <w:r w:rsidRPr="00DC0D3F">
        <w:rPr>
          <w:rFonts w:cs="Aptos"/>
          <w:sz w:val="24"/>
          <w:szCs w:val="24"/>
          <w:lang w:val="lv-LV"/>
        </w:rPr>
        <w:t xml:space="preserve">12.1. Ja konkrētai augstskolai </w:t>
      </w:r>
      <w:r w:rsidRPr="00DC0D3F">
        <w:rPr>
          <w:rFonts w:cs="Aptos"/>
          <w:sz w:val="24"/>
          <w:szCs w:val="24"/>
          <w:u w:val="single"/>
          <w:lang w:val="lv-LV"/>
        </w:rPr>
        <w:t>otrais kritērijs</w:t>
      </w:r>
      <w:r w:rsidRPr="00DC0D3F">
        <w:rPr>
          <w:rFonts w:cs="Aptos"/>
          <w:b/>
          <w:bCs/>
          <w:sz w:val="24"/>
          <w:szCs w:val="24"/>
          <w:u w:val="single"/>
          <w:lang w:val="lv-LV"/>
        </w:rPr>
        <w:t xml:space="preserve"> </w:t>
      </w:r>
      <w:r w:rsidRPr="00DC0D3F">
        <w:rPr>
          <w:rFonts w:cs="Aptos"/>
          <w:sz w:val="24"/>
          <w:szCs w:val="24"/>
          <w:u w:val="single"/>
          <w:lang w:val="lv-LV"/>
        </w:rPr>
        <w:t>neizpildās</w:t>
      </w:r>
      <w:r w:rsidRPr="00DC0D3F">
        <w:rPr>
          <w:rFonts w:cs="Aptos"/>
          <w:sz w:val="24"/>
          <w:szCs w:val="24"/>
          <w:lang w:val="lv-LV"/>
        </w:rPr>
        <w:t xml:space="preserve">, proti, Latvijas iedzīvotāji no visiem studējošajiem ir mazāk nekā 85 procenti, tad attiecībā uz šo augstskolu tiek vērtēts trešais kritērijs.  </w:t>
      </w:r>
    </w:p>
    <w:p w14:paraId="707DC2CA" w14:textId="77777777" w:rsidR="00574F94" w:rsidRPr="00784A55" w:rsidRDefault="00060804" w:rsidP="6CCC051E">
      <w:pPr>
        <w:spacing w:after="0" w:line="276" w:lineRule="auto"/>
        <w:ind w:firstLine="720"/>
        <w:jc w:val="both"/>
        <w:rPr>
          <w:rFonts w:cs="Aptos"/>
          <w:lang w:val="lv-LV"/>
        </w:rPr>
      </w:pPr>
      <w:r w:rsidRPr="00DC0D3F">
        <w:rPr>
          <w:rFonts w:cs="Aptos"/>
          <w:sz w:val="24"/>
          <w:szCs w:val="24"/>
          <w:lang w:val="lv-LV"/>
        </w:rPr>
        <w:t xml:space="preserve">12.2. Datus par studiju valodu izvērtē atbilstoši informācijai, kas pieejama </w:t>
      </w:r>
      <w:r w:rsidRPr="00DC0D3F">
        <w:rPr>
          <w:rFonts w:cs="Aptos"/>
          <w:sz w:val="24"/>
          <w:szCs w:val="24"/>
          <w:u w:val="single"/>
          <w:lang w:val="lv-LV"/>
        </w:rPr>
        <w:t>VIIS uz 2024. gada 1. oktobri</w:t>
      </w:r>
      <w:r w:rsidRPr="00DC0D3F">
        <w:rPr>
          <w:rFonts w:cs="Aptos"/>
          <w:sz w:val="24"/>
          <w:szCs w:val="24"/>
          <w:lang w:val="lv-LV"/>
        </w:rPr>
        <w:t xml:space="preserve">. CFLA iesniedz pieprasījumu IZM par attiecīgo datu saņemšanu. </w:t>
      </w:r>
    </w:p>
    <w:p w14:paraId="23A6BE3D" w14:textId="2C9D468B" w:rsidR="00574F94" w:rsidRPr="00DC0D3F" w:rsidRDefault="00060804" w:rsidP="6CCC051E">
      <w:pPr>
        <w:spacing w:after="0" w:line="276" w:lineRule="auto"/>
        <w:ind w:firstLine="720"/>
        <w:jc w:val="both"/>
        <w:rPr>
          <w:rFonts w:cs="Aptos"/>
          <w:sz w:val="24"/>
          <w:szCs w:val="24"/>
          <w:lang w:val="lv-LV"/>
        </w:rPr>
      </w:pPr>
      <w:r w:rsidRPr="00DC0D3F">
        <w:rPr>
          <w:rFonts w:cs="Aptos"/>
          <w:sz w:val="24"/>
          <w:szCs w:val="24"/>
          <w:lang w:val="lv-LV"/>
        </w:rPr>
        <w:t xml:space="preserve">12.3. Ja pēc izvērtēšanas secināms, ka konkrētai augstskolai </w:t>
      </w:r>
      <w:r w:rsidRPr="00DC0D3F">
        <w:rPr>
          <w:rFonts w:cs="Aptos"/>
          <w:b/>
          <w:bCs/>
          <w:sz w:val="24"/>
          <w:szCs w:val="24"/>
          <w:u w:val="single"/>
          <w:lang w:val="lv-LV"/>
        </w:rPr>
        <w:t>trešais kritērijs izpildās</w:t>
      </w:r>
      <w:r w:rsidRPr="00DC0D3F">
        <w:rPr>
          <w:rFonts w:cs="Aptos"/>
          <w:sz w:val="24"/>
          <w:szCs w:val="24"/>
          <w:lang w:val="lv-LV"/>
        </w:rPr>
        <w:t xml:space="preserve">, tad 4.2.2.11. pasākuma pirmās kārtas ietvaros piešķirtais atbalsts </w:t>
      </w:r>
      <w:r w:rsidRPr="00DC0D3F">
        <w:rPr>
          <w:rFonts w:cs="Aptos"/>
          <w:b/>
          <w:bCs/>
          <w:sz w:val="24"/>
          <w:szCs w:val="24"/>
          <w:lang w:val="lv-LV"/>
        </w:rPr>
        <w:t>nav kvalificējams</w:t>
      </w:r>
      <w:r w:rsidR="00E7499B" w:rsidRPr="00DC0D3F">
        <w:rPr>
          <w:rFonts w:cs="Aptos"/>
          <w:b/>
          <w:bCs/>
          <w:sz w:val="24"/>
          <w:szCs w:val="24"/>
          <w:lang w:val="lv-LV"/>
        </w:rPr>
        <w:t xml:space="preserve"> </w:t>
      </w:r>
      <w:r w:rsidRPr="00DC0D3F">
        <w:rPr>
          <w:rFonts w:cs="Aptos"/>
          <w:b/>
          <w:bCs/>
          <w:sz w:val="24"/>
          <w:szCs w:val="24"/>
          <w:lang w:val="lv-LV"/>
        </w:rPr>
        <w:t>kā komercdarbības atbalsts</w:t>
      </w:r>
      <w:r w:rsidRPr="00DC0D3F">
        <w:rPr>
          <w:rFonts w:cs="Aptos"/>
          <w:sz w:val="24"/>
          <w:szCs w:val="24"/>
          <w:lang w:val="lv-LV"/>
        </w:rPr>
        <w:t xml:space="preserve">, jo tas neietekmē Eiropas Savienības iekšējo tirgu un pasākumam ir vietējs raksturs. </w:t>
      </w:r>
    </w:p>
    <w:p w14:paraId="4EDCF191" w14:textId="77777777" w:rsidR="00574F94" w:rsidRPr="00DC0D3F" w:rsidRDefault="00060804" w:rsidP="6CCC051E">
      <w:pPr>
        <w:spacing w:after="120" w:line="276" w:lineRule="auto"/>
        <w:ind w:firstLine="720"/>
        <w:jc w:val="both"/>
        <w:rPr>
          <w:rFonts w:cs="Aptos"/>
          <w:b/>
          <w:bCs/>
          <w:sz w:val="24"/>
          <w:szCs w:val="24"/>
          <w:lang w:val="lv-LV"/>
        </w:rPr>
      </w:pPr>
      <w:r w:rsidRPr="00DC0D3F">
        <w:rPr>
          <w:rFonts w:cs="Aptos"/>
          <w:sz w:val="24"/>
          <w:szCs w:val="24"/>
          <w:lang w:val="lv-LV"/>
        </w:rPr>
        <w:t xml:space="preserve">12.4. Ja konkrētai augstskolai </w:t>
      </w:r>
      <w:r w:rsidRPr="00DC0D3F">
        <w:rPr>
          <w:rFonts w:cs="Aptos"/>
          <w:sz w:val="24"/>
          <w:szCs w:val="24"/>
          <w:u w:val="single"/>
          <w:lang w:val="lv-LV"/>
        </w:rPr>
        <w:t>neizpildās</w:t>
      </w:r>
      <w:r w:rsidRPr="00DC0D3F">
        <w:rPr>
          <w:rFonts w:cs="Aptos"/>
          <w:sz w:val="24"/>
          <w:szCs w:val="24"/>
          <w:lang w:val="lv-LV"/>
        </w:rPr>
        <w:t xml:space="preserve"> arī trešais kritērijs, tas nozīmē, ka tai ir ietekme uz Eiropas Savienības iekšējo tirgu, un tas nozīmē, ka</w:t>
      </w:r>
      <w:r w:rsidRPr="00784A55">
        <w:rPr>
          <w:rFonts w:cs="Aptos"/>
          <w:lang w:val="lv-LV"/>
        </w:rPr>
        <w:t xml:space="preserve"> </w:t>
      </w:r>
      <w:r w:rsidRPr="00DC0D3F">
        <w:rPr>
          <w:rFonts w:cs="Aptos"/>
          <w:sz w:val="24"/>
          <w:szCs w:val="24"/>
          <w:lang w:val="lv-LV"/>
        </w:rPr>
        <w:t xml:space="preserve">atbalsts 4.2.2.11. pasākuma pirmās kārtas ietvaros ir kvalificējams kā komercdarbības atbalsts. Šādā gadījumā </w:t>
      </w:r>
      <w:r w:rsidRPr="00DC0D3F">
        <w:rPr>
          <w:rFonts w:cs="Aptos"/>
          <w:b/>
          <w:bCs/>
          <w:sz w:val="24"/>
          <w:szCs w:val="24"/>
          <w:lang w:val="lv-LV"/>
        </w:rPr>
        <w:t xml:space="preserve">projekta iesniegums netiek apstiprināts.   </w:t>
      </w:r>
    </w:p>
    <w:p w14:paraId="0D2C257D" w14:textId="77777777" w:rsidR="00574F94" w:rsidRPr="00DC0D3F" w:rsidRDefault="00060804" w:rsidP="6CCC051E">
      <w:pPr>
        <w:spacing w:after="120" w:line="276" w:lineRule="auto"/>
        <w:ind w:firstLine="720"/>
        <w:jc w:val="both"/>
        <w:rPr>
          <w:rFonts w:cs="Aptos"/>
          <w:sz w:val="24"/>
          <w:szCs w:val="24"/>
          <w:lang w:val="lv-LV"/>
        </w:rPr>
      </w:pPr>
      <w:r w:rsidRPr="00DC0D3F">
        <w:rPr>
          <w:rFonts w:cs="Aptos"/>
          <w:sz w:val="24"/>
          <w:szCs w:val="24"/>
          <w:lang w:val="lv-LV"/>
        </w:rPr>
        <w:t xml:space="preserve">13. Ja </w:t>
      </w:r>
      <w:r w:rsidRPr="00DC0D3F">
        <w:rPr>
          <w:rFonts w:cs="Aptos"/>
          <w:b/>
          <w:bCs/>
          <w:sz w:val="24"/>
          <w:szCs w:val="24"/>
          <w:lang w:val="lv-LV"/>
        </w:rPr>
        <w:t>visām sadarbības partneru augstskolām</w:t>
      </w:r>
      <w:r w:rsidRPr="00DC0D3F">
        <w:rPr>
          <w:rFonts w:cs="Aptos"/>
          <w:sz w:val="24"/>
          <w:szCs w:val="24"/>
          <w:lang w:val="lv-LV"/>
        </w:rPr>
        <w:t xml:space="preserve"> </w:t>
      </w:r>
      <w:r w:rsidRPr="00DC0D3F">
        <w:rPr>
          <w:rFonts w:cs="Aptos"/>
          <w:b/>
          <w:bCs/>
          <w:sz w:val="24"/>
          <w:szCs w:val="24"/>
          <w:lang w:val="lv-LV"/>
        </w:rPr>
        <w:t>izpildās kaut viens</w:t>
      </w:r>
      <w:r w:rsidRPr="00DC0D3F">
        <w:rPr>
          <w:rFonts w:cs="Aptos"/>
          <w:sz w:val="24"/>
          <w:szCs w:val="24"/>
          <w:lang w:val="lv-LV"/>
        </w:rPr>
        <w:t xml:space="preserve"> no komercdarbības atbalstu izslēdzošiem kritērijiem (pārējos komercdarbības atbalstu izslēdzošos kritērijus nevērtē), tad augstskolu sniegtajiem izglītības pakalpojumiem ir vietējs raksturs, šādi pakalpojumi neietekmē tirdzniecību un neizkropļo konkurenci Eiropas Savienības iekšējā tirgū, un 4.2.2.11. pasākuma pirmās kārtas projektam nav ietekmes uz konkurenci un tirdzniecību Eiropas Savienības iekšējā tirgū. Tā rezultātā projekta vērtēšanas brīdī tiek konstatēts, ka šādam projektam </w:t>
      </w:r>
      <w:r w:rsidRPr="00DC0D3F">
        <w:rPr>
          <w:rFonts w:cs="Aptos"/>
          <w:b/>
          <w:bCs/>
          <w:sz w:val="24"/>
          <w:szCs w:val="24"/>
          <w:lang w:val="lv-LV"/>
        </w:rPr>
        <w:t>var tikt piešķirts atbalsts</w:t>
      </w:r>
      <w:r w:rsidRPr="00DC0D3F">
        <w:rPr>
          <w:rFonts w:cs="Aptos"/>
          <w:sz w:val="24"/>
          <w:szCs w:val="24"/>
          <w:lang w:val="lv-LV"/>
        </w:rPr>
        <w:t>, ja projekta iesniegums atbilst arī visiem pārējiem vērtēšanas kritērijiem.</w:t>
      </w:r>
    </w:p>
    <w:p w14:paraId="71A6EFC5" w14:textId="78DAF0FF" w:rsidR="00574F94" w:rsidRPr="00DC0D3F" w:rsidRDefault="00060804" w:rsidP="6CCC051E">
      <w:pPr>
        <w:spacing w:after="120" w:line="276" w:lineRule="auto"/>
        <w:ind w:firstLine="720"/>
        <w:jc w:val="both"/>
        <w:rPr>
          <w:rFonts w:cs="Aptos"/>
          <w:sz w:val="24"/>
          <w:szCs w:val="24"/>
          <w:lang w:val="lv-LV"/>
        </w:rPr>
      </w:pPr>
      <w:r w:rsidRPr="00DC0D3F">
        <w:rPr>
          <w:rFonts w:cs="Aptos"/>
          <w:sz w:val="24"/>
          <w:szCs w:val="24"/>
          <w:lang w:val="lv-LV"/>
        </w:rPr>
        <w:t xml:space="preserve">14. Ja </w:t>
      </w:r>
      <w:r w:rsidRPr="00DC0D3F">
        <w:rPr>
          <w:rFonts w:cs="Aptos"/>
          <w:b/>
          <w:bCs/>
          <w:sz w:val="24"/>
          <w:szCs w:val="24"/>
          <w:lang w:val="lv-LV"/>
        </w:rPr>
        <w:t>vismaz vienai no sadarbības partneru augstskolām neizpildās neviens</w:t>
      </w:r>
      <w:r w:rsidRPr="00DC0D3F">
        <w:rPr>
          <w:rFonts w:cs="Aptos"/>
          <w:sz w:val="24"/>
          <w:szCs w:val="24"/>
          <w:lang w:val="lv-LV"/>
        </w:rPr>
        <w:t xml:space="preserve"> no komercdarbības atbalstu izslēdzošiem kritērijiem, tad uzskatāms, ka Latvijas augstskolas sniegtajiem pakalpojumiem ir ietekme uz Eiropas Savienības iekšējo tirgu, kā rezultātā </w:t>
      </w:r>
      <w:r w:rsidRPr="00DC0D3F">
        <w:rPr>
          <w:rFonts w:cs="Aptos"/>
          <w:sz w:val="24"/>
          <w:szCs w:val="24"/>
          <w:lang w:val="lv-LV"/>
        </w:rPr>
        <w:lastRenderedPageBreak/>
        <w:t xml:space="preserve">atbalsts 4.2.2.11. pasākuma pirmās kārtas ietvaros ir kvalificējams kā komercdarbības atbalsts un </w:t>
      </w:r>
      <w:r w:rsidRPr="00DC0D3F">
        <w:rPr>
          <w:rFonts w:cs="Aptos"/>
          <w:b/>
          <w:bCs/>
          <w:sz w:val="24"/>
          <w:szCs w:val="24"/>
          <w:lang w:val="lv-LV"/>
        </w:rPr>
        <w:t>projekta iesniegums netiek apstiprināts</w:t>
      </w:r>
      <w:r w:rsidRPr="00DC0D3F">
        <w:rPr>
          <w:rFonts w:cs="Aptos"/>
          <w:sz w:val="24"/>
          <w:szCs w:val="24"/>
          <w:lang w:val="lv-LV"/>
        </w:rPr>
        <w:t>.</w:t>
      </w:r>
    </w:p>
    <w:p w14:paraId="18384282" w14:textId="76866440" w:rsidR="00F54D7C" w:rsidRPr="00784A55" w:rsidRDefault="00060804" w:rsidP="00E76DFC">
      <w:pPr>
        <w:rPr>
          <w:rFonts w:cs="Aptos"/>
          <w:lang w:val="lv-LV"/>
        </w:rPr>
      </w:pPr>
      <w:r w:rsidRPr="00DC0D3F">
        <w:rPr>
          <w:rFonts w:cs="Aptos"/>
          <w:sz w:val="24"/>
          <w:szCs w:val="24"/>
          <w:lang w:val="lv-LV"/>
        </w:rPr>
        <w:t>15. Sadarbības partneru atbilstību komercdarbības atbalstu izslēdzošajiem kritērijiem pēc projekta iesnieguma apstiprināšanas CFLA nepārvērtē.</w:t>
      </w:r>
    </w:p>
    <w:sectPr w:rsidR="00F54D7C" w:rsidRPr="00784A55" w:rsidSect="00E2304A">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9739" w14:textId="77777777" w:rsidR="008037A5" w:rsidRDefault="008037A5">
      <w:pPr>
        <w:spacing w:after="0" w:line="240" w:lineRule="auto"/>
      </w:pPr>
      <w:r>
        <w:separator/>
      </w:r>
    </w:p>
  </w:endnote>
  <w:endnote w:type="continuationSeparator" w:id="0">
    <w:p w14:paraId="63C6D7E1" w14:textId="77777777" w:rsidR="008037A5" w:rsidRDefault="0080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359444"/>
      <w:docPartObj>
        <w:docPartGallery w:val="Page Numbers (Bottom of Page)"/>
        <w:docPartUnique/>
      </w:docPartObj>
    </w:sdtPr>
    <w:sdtEndPr>
      <w:rPr>
        <w:noProof/>
      </w:rPr>
    </w:sdtEndPr>
    <w:sdtContent>
      <w:p w14:paraId="2AEAC782" w14:textId="77777777" w:rsidR="00971B3B" w:rsidRDefault="0006080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BF4870B" w14:textId="77777777" w:rsidR="00971B3B" w:rsidRDefault="00971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F503" w14:textId="77777777" w:rsidR="008037A5" w:rsidRDefault="008037A5" w:rsidP="00574F94">
      <w:pPr>
        <w:spacing w:after="0" w:line="240" w:lineRule="auto"/>
      </w:pPr>
      <w:r>
        <w:separator/>
      </w:r>
    </w:p>
  </w:footnote>
  <w:footnote w:type="continuationSeparator" w:id="0">
    <w:p w14:paraId="323E2E8E" w14:textId="77777777" w:rsidR="008037A5" w:rsidRDefault="008037A5" w:rsidP="00574F94">
      <w:pPr>
        <w:spacing w:after="0" w:line="240" w:lineRule="auto"/>
      </w:pPr>
      <w:r>
        <w:continuationSeparator/>
      </w:r>
    </w:p>
  </w:footnote>
  <w:footnote w:id="1">
    <w:p w14:paraId="10D19E14" w14:textId="77777777" w:rsidR="00574F94" w:rsidRPr="00DC0D3F" w:rsidRDefault="00060804" w:rsidP="00574F94">
      <w:pPr>
        <w:pStyle w:val="FootnoteText"/>
      </w:pPr>
      <w:r w:rsidRPr="00DC0D3F">
        <w:rPr>
          <w:rStyle w:val="FootnoteReference"/>
        </w:rPr>
        <w:footnoteRef/>
      </w:r>
      <w:r w:rsidRPr="00DC0D3F">
        <w:t xml:space="preserve"> https://www.topuniversities.com/university-rankings</w:t>
      </w:r>
    </w:p>
  </w:footnote>
  <w:footnote w:id="2">
    <w:p w14:paraId="54AA1DC3" w14:textId="77777777" w:rsidR="00574F94" w:rsidRPr="00DC0D3F" w:rsidRDefault="00060804" w:rsidP="00574F94">
      <w:pPr>
        <w:pStyle w:val="FootnoteText"/>
      </w:pPr>
      <w:r w:rsidRPr="00DC0D3F">
        <w:rPr>
          <w:rStyle w:val="FootnoteReference"/>
        </w:rPr>
        <w:footnoteRef/>
      </w:r>
      <w:r w:rsidRPr="00DC0D3F">
        <w:t xml:space="preserve"> https://www.timeshighereducation.com/world-university-rankings</w:t>
      </w:r>
    </w:p>
  </w:footnote>
  <w:footnote w:id="3">
    <w:p w14:paraId="1D449A08" w14:textId="77777777" w:rsidR="00574F94" w:rsidRPr="00DC0D3F" w:rsidRDefault="00060804" w:rsidP="00574F94">
      <w:pPr>
        <w:pStyle w:val="FootnoteText"/>
      </w:pPr>
      <w:r w:rsidRPr="00DC0D3F">
        <w:rPr>
          <w:rStyle w:val="FootnoteReference"/>
        </w:rPr>
        <w:footnoteRef/>
      </w:r>
      <w:r w:rsidRPr="00DC0D3F">
        <w:t xml:space="preserve"> http://www.shanghairanking.com/</w:t>
      </w:r>
    </w:p>
  </w:footnote>
  <w:footnote w:id="4">
    <w:p w14:paraId="6BD5F6BA" w14:textId="2B091CE9" w:rsidR="00574F94" w:rsidRPr="00DC0D3F" w:rsidRDefault="00060804" w:rsidP="00574F94">
      <w:pPr>
        <w:pStyle w:val="FootnoteText"/>
        <w:rPr>
          <w:lang w:val="lv-LV"/>
        </w:rPr>
      </w:pPr>
      <w:r w:rsidRPr="00DC0D3F">
        <w:rPr>
          <w:rStyle w:val="FootnoteReference"/>
        </w:rPr>
        <w:footnoteRef/>
      </w:r>
      <w:r w:rsidRPr="00DC0D3F">
        <w:t xml:space="preserve"> </w:t>
      </w:r>
      <w:r w:rsidRPr="00DC0D3F">
        <w:rPr>
          <w:lang w:val="lv-LV"/>
        </w:rPr>
        <w:t>Latvijas iedzīvotājs ir persona, kuras pases izdevējvalsts ir Latvij</w:t>
      </w:r>
      <w:r w:rsidR="00A95CBB" w:rsidRPr="00DC0D3F">
        <w:rPr>
          <w:lang w:val="lv-LV"/>
        </w:rPr>
        <w:t>a</w:t>
      </w:r>
      <w:r w:rsidRPr="00DC0D3F">
        <w:rPr>
          <w:lang w:val="lv-LV"/>
        </w:rPr>
        <w:t xml:space="preserve"> (pilsoņa vai </w:t>
      </w:r>
      <w:proofErr w:type="spellStart"/>
      <w:r w:rsidRPr="00DC0D3F">
        <w:rPr>
          <w:lang w:val="lv-LV"/>
        </w:rPr>
        <w:t>nepilsoņa</w:t>
      </w:r>
      <w:proofErr w:type="spellEnd"/>
      <w:r w:rsidRPr="00DC0D3F">
        <w:rPr>
          <w:lang w:val="lv-LV"/>
        </w:rPr>
        <w:t xml:space="preserve"> pase).</w:t>
      </w:r>
    </w:p>
  </w:footnote>
  <w:footnote w:id="5">
    <w:p w14:paraId="0A6724E6" w14:textId="77777777" w:rsidR="00574F94" w:rsidRPr="00DC0D3F" w:rsidRDefault="00060804" w:rsidP="00574F94">
      <w:pPr>
        <w:pStyle w:val="FootnoteText"/>
        <w:jc w:val="both"/>
        <w:rPr>
          <w:lang w:val="lv-LV"/>
        </w:rPr>
      </w:pPr>
      <w:r w:rsidRPr="00DC0D3F">
        <w:rPr>
          <w:rStyle w:val="FootnoteReference"/>
          <w:lang w:val="lv-LV"/>
        </w:rPr>
        <w:footnoteRef/>
      </w:r>
      <w:r w:rsidRPr="00DC0D3F">
        <w:rPr>
          <w:lang w:val="lv-LV"/>
        </w:rPr>
        <w:t xml:space="preserve"> </w:t>
      </w:r>
      <w:r w:rsidRPr="00DC0D3F">
        <w:rPr>
          <w:lang w:val="lv-LV"/>
        </w:rPr>
        <w:t>Lai mazinātu administratīvo slogu, vērtēšanu ieteicams sākt ar kritēriju “augstskola neierindojas pasaules universitāšu reitinga 500 labāko universitāšu sarakstā”.</w:t>
      </w:r>
    </w:p>
  </w:footnote>
  <w:footnote w:id="6">
    <w:p w14:paraId="31FF519D" w14:textId="77777777" w:rsidR="00574F94" w:rsidRPr="00DC0D3F" w:rsidRDefault="00060804" w:rsidP="00574F94">
      <w:pPr>
        <w:pStyle w:val="FootnoteText"/>
        <w:jc w:val="both"/>
        <w:rPr>
          <w:lang w:val="lv-LV"/>
        </w:rPr>
      </w:pPr>
      <w:r w:rsidRPr="00DC0D3F">
        <w:rPr>
          <w:rStyle w:val="FootnoteReference"/>
          <w:lang w:val="lv-LV"/>
        </w:rPr>
        <w:footnoteRef/>
      </w:r>
      <w:r w:rsidRPr="00DC0D3F">
        <w:rPr>
          <w:lang w:val="lv-LV"/>
        </w:rPr>
        <w:t xml:space="preserve"> </w:t>
      </w:r>
      <w:r w:rsidRPr="00DC0D3F">
        <w:rPr>
          <w:lang w:val="lv-LV"/>
        </w:rPr>
        <w:t>Ja augstskola nav iekļauta nevienā labāko universitāšu sarakstā, uzskatāms, ka augstskola neierindojas nevienā labāko universitāšu sarakstā.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BEB"/>
    <w:multiLevelType w:val="multilevel"/>
    <w:tmpl w:val="889AE098"/>
    <w:lvl w:ilvl="0">
      <w:start w:val="10"/>
      <w:numFmt w:val="decimal"/>
      <w:lvlText w:val="%1."/>
      <w:lvlJc w:val="left"/>
      <w:pPr>
        <w:ind w:left="660" w:hanging="660"/>
      </w:pPr>
      <w:rPr>
        <w:rFonts w:ascii="Times New Roman" w:hAnsi="Times New Roman" w:hint="default"/>
        <w:sz w:val="24"/>
      </w:rPr>
    </w:lvl>
    <w:lvl w:ilvl="1">
      <w:start w:val="1"/>
      <w:numFmt w:val="decimal"/>
      <w:lvlText w:val="%1.%2."/>
      <w:lvlJc w:val="left"/>
      <w:pPr>
        <w:ind w:left="1120" w:hanging="720"/>
      </w:pPr>
      <w:rPr>
        <w:rFonts w:ascii="Times New Roman" w:hAnsi="Times New Roman" w:hint="default"/>
        <w:sz w:val="24"/>
      </w:rPr>
    </w:lvl>
    <w:lvl w:ilvl="2">
      <w:start w:val="1"/>
      <w:numFmt w:val="decimal"/>
      <w:lvlText w:val="%1.%2.%3."/>
      <w:lvlJc w:val="left"/>
      <w:pPr>
        <w:ind w:left="1520" w:hanging="720"/>
      </w:pPr>
      <w:rPr>
        <w:rFonts w:ascii="Times New Roman" w:hAnsi="Times New Roman" w:hint="default"/>
        <w:sz w:val="24"/>
      </w:rPr>
    </w:lvl>
    <w:lvl w:ilvl="3">
      <w:start w:val="1"/>
      <w:numFmt w:val="decimal"/>
      <w:lvlText w:val="%1.%2.%3.%4."/>
      <w:lvlJc w:val="left"/>
      <w:pPr>
        <w:ind w:left="2280" w:hanging="1080"/>
      </w:pPr>
      <w:rPr>
        <w:rFonts w:ascii="Times New Roman" w:hAnsi="Times New Roman" w:hint="default"/>
        <w:sz w:val="24"/>
      </w:rPr>
    </w:lvl>
    <w:lvl w:ilvl="4">
      <w:start w:val="1"/>
      <w:numFmt w:val="decimal"/>
      <w:lvlText w:val="%1.%2.%3.%4.%5."/>
      <w:lvlJc w:val="left"/>
      <w:pPr>
        <w:ind w:left="2680" w:hanging="1080"/>
      </w:pPr>
      <w:rPr>
        <w:rFonts w:ascii="Times New Roman" w:hAnsi="Times New Roman" w:hint="default"/>
        <w:sz w:val="24"/>
      </w:rPr>
    </w:lvl>
    <w:lvl w:ilvl="5">
      <w:start w:val="1"/>
      <w:numFmt w:val="decimal"/>
      <w:lvlText w:val="%1.%2.%3.%4.%5.%6."/>
      <w:lvlJc w:val="left"/>
      <w:pPr>
        <w:ind w:left="3440" w:hanging="1440"/>
      </w:pPr>
      <w:rPr>
        <w:rFonts w:ascii="Times New Roman" w:hAnsi="Times New Roman" w:hint="default"/>
        <w:sz w:val="24"/>
      </w:rPr>
    </w:lvl>
    <w:lvl w:ilvl="6">
      <w:start w:val="1"/>
      <w:numFmt w:val="decimal"/>
      <w:lvlText w:val="%1.%2.%3.%4.%5.%6.%7."/>
      <w:lvlJc w:val="left"/>
      <w:pPr>
        <w:ind w:left="3840" w:hanging="1440"/>
      </w:pPr>
      <w:rPr>
        <w:rFonts w:ascii="Times New Roman" w:hAnsi="Times New Roman" w:hint="default"/>
        <w:sz w:val="24"/>
      </w:rPr>
    </w:lvl>
    <w:lvl w:ilvl="7">
      <w:start w:val="1"/>
      <w:numFmt w:val="decimal"/>
      <w:lvlText w:val="%1.%2.%3.%4.%5.%6.%7.%8."/>
      <w:lvlJc w:val="left"/>
      <w:pPr>
        <w:ind w:left="4600" w:hanging="1800"/>
      </w:pPr>
      <w:rPr>
        <w:rFonts w:ascii="Times New Roman" w:hAnsi="Times New Roman" w:hint="default"/>
        <w:sz w:val="24"/>
      </w:rPr>
    </w:lvl>
    <w:lvl w:ilvl="8">
      <w:start w:val="1"/>
      <w:numFmt w:val="decimal"/>
      <w:lvlText w:val="%1.%2.%3.%4.%5.%6.%7.%8.%9."/>
      <w:lvlJc w:val="left"/>
      <w:pPr>
        <w:ind w:left="5000" w:hanging="1800"/>
      </w:pPr>
      <w:rPr>
        <w:rFonts w:ascii="Times New Roman" w:hAnsi="Times New Roman" w:hint="default"/>
        <w:sz w:val="24"/>
      </w:rPr>
    </w:lvl>
  </w:abstractNum>
  <w:num w:numId="1" w16cid:durableId="88729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B4"/>
    <w:rsid w:val="00025DFE"/>
    <w:rsid w:val="00060804"/>
    <w:rsid w:val="00081C10"/>
    <w:rsid w:val="00083E26"/>
    <w:rsid w:val="00084AB4"/>
    <w:rsid w:val="000A28B4"/>
    <w:rsid w:val="000E08E7"/>
    <w:rsid w:val="000E1DF5"/>
    <w:rsid w:val="000E4E31"/>
    <w:rsid w:val="000E7B01"/>
    <w:rsid w:val="0016757D"/>
    <w:rsid w:val="00180AD2"/>
    <w:rsid w:val="001B21CF"/>
    <w:rsid w:val="00272BF8"/>
    <w:rsid w:val="002F53F4"/>
    <w:rsid w:val="00312462"/>
    <w:rsid w:val="00314012"/>
    <w:rsid w:val="003634A9"/>
    <w:rsid w:val="00392C04"/>
    <w:rsid w:val="00402557"/>
    <w:rsid w:val="00412471"/>
    <w:rsid w:val="00433197"/>
    <w:rsid w:val="00437012"/>
    <w:rsid w:val="00482E2D"/>
    <w:rsid w:val="004D37CE"/>
    <w:rsid w:val="00501955"/>
    <w:rsid w:val="00514865"/>
    <w:rsid w:val="00526CD0"/>
    <w:rsid w:val="005328D4"/>
    <w:rsid w:val="00541708"/>
    <w:rsid w:val="00574F94"/>
    <w:rsid w:val="00575C59"/>
    <w:rsid w:val="005C1F1F"/>
    <w:rsid w:val="006353E4"/>
    <w:rsid w:val="006B1460"/>
    <w:rsid w:val="006B337B"/>
    <w:rsid w:val="006D503A"/>
    <w:rsid w:val="006E1F75"/>
    <w:rsid w:val="00720E22"/>
    <w:rsid w:val="00784A55"/>
    <w:rsid w:val="007C360A"/>
    <w:rsid w:val="008037A5"/>
    <w:rsid w:val="0080771A"/>
    <w:rsid w:val="008A6087"/>
    <w:rsid w:val="009148FD"/>
    <w:rsid w:val="00955BBC"/>
    <w:rsid w:val="00971B3B"/>
    <w:rsid w:val="009869A8"/>
    <w:rsid w:val="00986DD1"/>
    <w:rsid w:val="009A08FA"/>
    <w:rsid w:val="00A231EC"/>
    <w:rsid w:val="00A42EB7"/>
    <w:rsid w:val="00A95CBB"/>
    <w:rsid w:val="00B0461F"/>
    <w:rsid w:val="00B4102B"/>
    <w:rsid w:val="00B45DB7"/>
    <w:rsid w:val="00B702EE"/>
    <w:rsid w:val="00BB1F29"/>
    <w:rsid w:val="00BB70BF"/>
    <w:rsid w:val="00BC1DEB"/>
    <w:rsid w:val="00BF02B6"/>
    <w:rsid w:val="00C97710"/>
    <w:rsid w:val="00CA689C"/>
    <w:rsid w:val="00CC6E2D"/>
    <w:rsid w:val="00D029BC"/>
    <w:rsid w:val="00D176BE"/>
    <w:rsid w:val="00D2559C"/>
    <w:rsid w:val="00D875AB"/>
    <w:rsid w:val="00DC0D3F"/>
    <w:rsid w:val="00E020AF"/>
    <w:rsid w:val="00E05188"/>
    <w:rsid w:val="00E2304A"/>
    <w:rsid w:val="00E27DDC"/>
    <w:rsid w:val="00E7499B"/>
    <w:rsid w:val="00E76DFC"/>
    <w:rsid w:val="00F54D7C"/>
    <w:rsid w:val="00F9613D"/>
    <w:rsid w:val="00FC32B4"/>
    <w:rsid w:val="00FD00FC"/>
    <w:rsid w:val="04D4DA36"/>
    <w:rsid w:val="1BD1E693"/>
    <w:rsid w:val="34EFCD7F"/>
    <w:rsid w:val="440D6752"/>
    <w:rsid w:val="44318605"/>
    <w:rsid w:val="597E1AF7"/>
    <w:rsid w:val="64A11853"/>
    <w:rsid w:val="6CCC0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755C"/>
  <w15:chartTrackingRefBased/>
  <w15:docId w15:val="{46BBF565-4DAF-43EB-A582-B0948FAF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94"/>
    <w:pPr>
      <w:suppressAutoHyphens/>
      <w:autoSpaceDN w:val="0"/>
      <w:spacing w:line="249" w:lineRule="auto"/>
    </w:pPr>
    <w:rPr>
      <w:rFonts w:ascii="Aptos" w:eastAsia="Aptos" w:hAnsi="Aptos" w:cs="Times New Roman"/>
      <w:kern w:val="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94"/>
    <w:pPr>
      <w:ind w:left="720"/>
      <w:contextualSpacing/>
    </w:pPr>
  </w:style>
  <w:style w:type="paragraph" w:styleId="FootnoteText">
    <w:name w:val="footnote text"/>
    <w:basedOn w:val="Normal"/>
    <w:link w:val="FootnoteTextChar"/>
    <w:rsid w:val="00574F94"/>
    <w:pPr>
      <w:spacing w:after="0" w:line="240" w:lineRule="auto"/>
    </w:pPr>
    <w:rPr>
      <w:sz w:val="20"/>
      <w:szCs w:val="20"/>
    </w:rPr>
  </w:style>
  <w:style w:type="character" w:customStyle="1" w:styleId="FootnoteTextChar">
    <w:name w:val="Footnote Text Char"/>
    <w:basedOn w:val="DefaultParagraphFont"/>
    <w:link w:val="FootnoteText"/>
    <w:rsid w:val="00574F94"/>
    <w:rPr>
      <w:rFonts w:ascii="Aptos" w:eastAsia="Aptos" w:hAnsi="Aptos" w:cs="Times New Roman"/>
      <w:kern w:val="3"/>
      <w:sz w:val="20"/>
      <w:szCs w:val="20"/>
      <w14:ligatures w14:val="none"/>
    </w:rPr>
  </w:style>
  <w:style w:type="character" w:styleId="FootnoteReference">
    <w:name w:val="footnote reference"/>
    <w:basedOn w:val="DefaultParagraphFont"/>
    <w:rsid w:val="00574F94"/>
    <w:rPr>
      <w:position w:val="0"/>
      <w:vertAlign w:val="superscript"/>
    </w:rPr>
  </w:style>
  <w:style w:type="character" w:styleId="Hyperlink">
    <w:name w:val="Hyperlink"/>
    <w:basedOn w:val="DefaultParagraphFont"/>
    <w:rsid w:val="00574F94"/>
    <w:rPr>
      <w:color w:val="467886"/>
      <w:u w:val="single"/>
    </w:rPr>
  </w:style>
  <w:style w:type="paragraph" w:styleId="Footer">
    <w:name w:val="footer"/>
    <w:basedOn w:val="Normal"/>
    <w:link w:val="FooterChar"/>
    <w:uiPriority w:val="99"/>
    <w:unhideWhenUsed/>
    <w:rsid w:val="00574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94"/>
    <w:rPr>
      <w:rFonts w:ascii="Aptos" w:eastAsia="Aptos" w:hAnsi="Aptos" w:cs="Times New Roman"/>
      <w:kern w:val="3"/>
      <w14:ligatures w14:val="none"/>
    </w:rPr>
  </w:style>
  <w:style w:type="paragraph" w:styleId="Revision">
    <w:name w:val="Revision"/>
    <w:hidden/>
    <w:uiPriority w:val="99"/>
    <w:semiHidden/>
    <w:rsid w:val="00FD00FC"/>
    <w:pPr>
      <w:spacing w:after="0" w:line="240" w:lineRule="auto"/>
    </w:pPr>
    <w:rPr>
      <w:rFonts w:ascii="Aptos" w:eastAsia="Aptos" w:hAnsi="Aptos" w:cs="Times New Roman"/>
      <w:kern w:val="3"/>
      <w14:ligatures w14:val="none"/>
    </w:rPr>
  </w:style>
  <w:style w:type="paragraph" w:styleId="Header">
    <w:name w:val="header"/>
    <w:basedOn w:val="Normal"/>
    <w:link w:val="HeaderChar"/>
    <w:uiPriority w:val="99"/>
    <w:semiHidden/>
    <w:unhideWhenUsed/>
    <w:rsid w:val="00784A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4A55"/>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anghairank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meshighereducation.com/world-university-ranking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universities.com/university-rank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F6DAF-2D55-4CF0-8285-E588BE89090D}">
  <ds:schemaRefs>
    <ds:schemaRef ds:uri="http://schemas.microsoft.com/sharepoint/v3/contenttype/forms"/>
  </ds:schemaRefs>
</ds:datastoreItem>
</file>

<file path=customXml/itemProps2.xml><?xml version="1.0" encoding="utf-8"?>
<ds:datastoreItem xmlns:ds="http://schemas.openxmlformats.org/officeDocument/2006/customXml" ds:itemID="{C04AC305-322A-477B-B5A6-8980EA488B0B}">
  <ds:schemaRefs>
    <ds:schemaRef ds:uri="42144e59-5907-413f-b624-803f3a022d9b"/>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25a75a1d-8b78-49a6-8e4b-dbe94589a28d"/>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7CD7C0B-6D12-4CEB-97DD-CEA71712B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6428</Words>
  <Characters>3665</Characters>
  <Application>Microsoft Office Word</Application>
  <DocSecurity>0</DocSecurity>
  <Lines>30</Lines>
  <Paragraphs>20</Paragraphs>
  <ScaleCrop>false</ScaleCrop>
  <Company>IZM</Company>
  <LinksUpToDate>false</LinksUpToDate>
  <CharactersWithSpaces>10073</CharactersWithSpaces>
  <SharedDoc>false</SharedDoc>
  <HLinks>
    <vt:vector size="18" baseType="variant">
      <vt:variant>
        <vt:i4>2293874</vt:i4>
      </vt:variant>
      <vt:variant>
        <vt:i4>6</vt:i4>
      </vt:variant>
      <vt:variant>
        <vt:i4>0</vt:i4>
      </vt:variant>
      <vt:variant>
        <vt:i4>5</vt:i4>
      </vt:variant>
      <vt:variant>
        <vt:lpwstr>http://www.shanghairanking.com/</vt:lpwstr>
      </vt:variant>
      <vt:variant>
        <vt:lpwstr/>
      </vt:variant>
      <vt:variant>
        <vt:i4>7536749</vt:i4>
      </vt:variant>
      <vt:variant>
        <vt:i4>3</vt:i4>
      </vt:variant>
      <vt:variant>
        <vt:i4>0</vt:i4>
      </vt:variant>
      <vt:variant>
        <vt:i4>5</vt:i4>
      </vt:variant>
      <vt:variant>
        <vt:lpwstr>https://www.timeshighereducation.com/world-university-rankings</vt:lpwstr>
      </vt:variant>
      <vt:variant>
        <vt:lpwstr/>
      </vt:variant>
      <vt:variant>
        <vt:i4>3801188</vt:i4>
      </vt:variant>
      <vt:variant>
        <vt:i4>0</vt:i4>
      </vt:variant>
      <vt:variant>
        <vt:i4>0</vt:i4>
      </vt:variant>
      <vt:variant>
        <vt:i4>5</vt:i4>
      </vt:variant>
      <vt:variant>
        <vt:lpwstr>https://www.topuniversities.com/university-rankings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Vēsma Abizāre-Vagre</dc:creator>
  <cp:lastModifiedBy>Linda Mežale</cp:lastModifiedBy>
  <cp:revision>14</cp:revision>
  <dcterms:created xsi:type="dcterms:W3CDTF">2025-06-11T12:40:00Z</dcterms:created>
  <dcterms:modified xsi:type="dcterms:W3CDTF">2025-06-19T08:47:00Z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