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668F" w:rsidP="2A68F441" w:rsidRDefault="002C3470" w14:paraId="1B5AF0B8" w14:textId="46BF29F3" w14:noSpellErr="1">
      <w:pPr>
        <w:spacing w:after="0"/>
        <w:jc w:val="right"/>
        <w:rPr>
          <w:rFonts w:ascii="Aptos" w:hAnsi="Aptos" w:eastAsia="Aptos" w:cs="Aptos"/>
          <w:sz w:val="24"/>
          <w:szCs w:val="24"/>
        </w:rPr>
      </w:pPr>
      <w:r w:rsidRPr="2A68F441" w:rsidR="002C3470">
        <w:rPr>
          <w:rFonts w:ascii="Aptos" w:hAnsi="Aptos" w:eastAsia="Aptos" w:cs="Aptos"/>
          <w:sz w:val="24"/>
          <w:szCs w:val="24"/>
        </w:rPr>
        <w:t>9</w:t>
      </w:r>
      <w:r w:rsidRPr="2A68F441" w:rsidR="0093668F">
        <w:rPr>
          <w:rFonts w:ascii="Aptos" w:hAnsi="Aptos" w:eastAsia="Aptos" w:cs="Aptos"/>
          <w:sz w:val="24"/>
          <w:szCs w:val="24"/>
        </w:rPr>
        <w:t>.pielikums</w:t>
      </w:r>
    </w:p>
    <w:p w:rsidR="005914B0" w:rsidP="2A68F441" w:rsidRDefault="0093668F" w14:paraId="0AD19485" w14:textId="77777777" w14:noSpellErr="1">
      <w:pPr>
        <w:jc w:val="right"/>
        <w:rPr>
          <w:rFonts w:ascii="Aptos" w:hAnsi="Aptos" w:eastAsia="Aptos" w:cs="Aptos"/>
          <w:sz w:val="24"/>
          <w:szCs w:val="24"/>
        </w:rPr>
      </w:pPr>
      <w:r w:rsidRPr="2A68F441" w:rsidR="0093668F">
        <w:rPr>
          <w:rFonts w:ascii="Aptos" w:hAnsi="Aptos" w:eastAsia="Aptos" w:cs="Aptos"/>
          <w:sz w:val="24"/>
          <w:szCs w:val="24"/>
        </w:rPr>
        <w:t>projekta iesniegumam</w:t>
      </w:r>
    </w:p>
    <w:p w:rsidR="009E7057" w:rsidP="2A68F441" w:rsidRDefault="009E7057" w14:paraId="253B6558" w14:textId="43F3B1F7" w14:noSpellErr="1">
      <w:pPr>
        <w:jc w:val="center"/>
        <w:rPr>
          <w:rFonts w:ascii="Aptos" w:hAnsi="Aptos" w:eastAsia="Aptos" w:cs="Aptos"/>
          <w:sz w:val="24"/>
          <w:szCs w:val="24"/>
        </w:rPr>
      </w:pPr>
      <w:r w:rsidRPr="2A68F441" w:rsidR="009E7057">
        <w:rPr>
          <w:rFonts w:ascii="Aptos" w:hAnsi="Aptos" w:eastAsia="Aptos" w:cs="Aptos"/>
          <w:sz w:val="24"/>
          <w:szCs w:val="24"/>
        </w:rPr>
        <w:t xml:space="preserve">APLIECINĀJUMS PAR </w:t>
      </w:r>
      <w:r w:rsidRPr="2A68F441" w:rsidR="005C4965">
        <w:rPr>
          <w:rFonts w:ascii="Aptos" w:hAnsi="Aptos" w:eastAsia="Aptos" w:cs="Aptos"/>
          <w:sz w:val="24"/>
          <w:szCs w:val="24"/>
        </w:rPr>
        <w:t xml:space="preserve">KOMERCDARBĪBAS </w:t>
      </w:r>
      <w:r w:rsidRPr="2A68F441" w:rsidR="009E7057">
        <w:rPr>
          <w:rFonts w:ascii="Aptos" w:hAnsi="Aptos" w:eastAsia="Aptos" w:cs="Aptos"/>
          <w:sz w:val="24"/>
          <w:szCs w:val="24"/>
        </w:rPr>
        <w:t>ATBALSTA NOSACĪJUMU IEVĒROŠANU</w:t>
      </w:r>
    </w:p>
    <w:p w:rsidR="00E91E3D" w:rsidP="2A68F441" w:rsidRDefault="009F1DC5" w14:paraId="72ABAF31" w14:textId="5A4C2D19">
      <w:pPr>
        <w:spacing w:after="0" w:line="240" w:lineRule="auto"/>
        <w:jc w:val="center"/>
        <w:rPr>
          <w:rFonts w:ascii="Aptos" w:hAnsi="Aptos" w:eastAsia="Aptos" w:cs="Aptos"/>
          <w:sz w:val="24"/>
          <w:szCs w:val="24"/>
        </w:rPr>
      </w:pPr>
      <w:r w:rsidRPr="2A68F441" w:rsidR="009F1DC5">
        <w:rPr>
          <w:rFonts w:ascii="Aptos" w:hAnsi="Aptos" w:eastAsia="Aptos" w:cs="Aptos"/>
        </w:rPr>
        <w:t>Eiropas</w:t>
      </w:r>
      <w:r w:rsidRPr="2A68F441" w:rsidR="009F1DC5">
        <w:rPr>
          <w:rFonts w:ascii="Aptos" w:hAnsi="Aptos" w:eastAsia="Aptos" w:cs="Aptos"/>
        </w:rPr>
        <w:t xml:space="preserve"> </w:t>
      </w:r>
      <w:hyperlink r:id="R3ee4993f87ed4ffe">
        <w:r w:rsidRPr="2A68F441" w:rsidR="00E91E3D">
          <w:rPr>
            <w:rFonts w:ascii="Aptos" w:hAnsi="Aptos" w:eastAsia="Aptos" w:cs="Aptos"/>
            <w:sz w:val="24"/>
            <w:szCs w:val="24"/>
          </w:rPr>
          <w:t>Komisijas</w:t>
        </w:r>
      </w:hyperlink>
      <w:r w:rsidRPr="2A68F441" w:rsidR="00E91E3D">
        <w:rPr>
          <w:rFonts w:ascii="Aptos" w:hAnsi="Aptos" w:eastAsia="Aptos" w:cs="Aptos"/>
          <w:sz w:val="24"/>
          <w:szCs w:val="24"/>
        </w:rPr>
        <w:t xml:space="preserve"> </w:t>
      </w:r>
      <w:r w:rsidRPr="2A68F441" w:rsidR="000A6510">
        <w:rPr>
          <w:rFonts w:ascii="Aptos" w:hAnsi="Aptos" w:eastAsia="Aptos" w:cs="Aptos"/>
          <w:sz w:val="24"/>
          <w:szCs w:val="24"/>
          <w:lang w:eastAsia="lv-LV"/>
        </w:rPr>
        <w:t xml:space="preserve">2014.gada 17.jūnija Regula </w:t>
      </w:r>
      <w:r w:rsidRPr="2A68F441" w:rsidR="00E91E3D">
        <w:rPr>
          <w:rFonts w:ascii="Aptos" w:hAnsi="Aptos" w:eastAsia="Aptos" w:cs="Aptos"/>
          <w:sz w:val="24"/>
          <w:szCs w:val="24"/>
          <w:lang w:eastAsia="lv-LV"/>
        </w:rPr>
        <w:t xml:space="preserve">(ES) </w:t>
      </w:r>
      <w:r w:rsidRPr="2A68F441" w:rsidR="00E91E3D">
        <w:rPr>
          <w:rFonts w:ascii="Aptos" w:hAnsi="Aptos" w:eastAsia="Aptos" w:cs="Aptos"/>
          <w:sz w:val="24"/>
          <w:szCs w:val="24"/>
          <w:u w:val="single"/>
          <w:lang w:eastAsia="lv-LV"/>
        </w:rPr>
        <w:t>Nr.651/2014</w:t>
      </w:r>
      <w:r w:rsidRPr="2A68F441" w:rsidR="00E91E3D">
        <w:rPr>
          <w:rFonts w:ascii="Aptos" w:hAnsi="Aptos" w:eastAsia="Aptos" w:cs="Aptos"/>
          <w:sz w:val="24"/>
          <w:szCs w:val="24"/>
          <w:lang w:eastAsia="lv-LV"/>
        </w:rPr>
        <w:t>, ar ko noteiktas atbalsta kategorijas atzīst par saderīgām ar iekšējo tirgu, piemērojot Līguma 107.un 108.pantu</w:t>
      </w:r>
      <w:r w:rsidRPr="2A68F441" w:rsidR="009E1712">
        <w:rPr>
          <w:rFonts w:ascii="Aptos" w:hAnsi="Aptos" w:eastAsia="Aptos" w:cs="Aptos"/>
          <w:sz w:val="24"/>
          <w:szCs w:val="24"/>
          <w:lang w:eastAsia="lv-LV"/>
        </w:rPr>
        <w:t xml:space="preserve"> (turpmāk – Regula Nr.651/2014)</w:t>
      </w:r>
      <w:r w:rsidRPr="2A68F441" w:rsidR="00E91E3D">
        <w:rPr>
          <w:rFonts w:ascii="Aptos" w:hAnsi="Aptos" w:eastAsia="Aptos" w:cs="Aptos"/>
          <w:sz w:val="24"/>
          <w:szCs w:val="24"/>
        </w:rPr>
        <w:t xml:space="preserve"> </w:t>
      </w:r>
      <w:r w:rsidRPr="2A68F441" w:rsidR="00280935">
        <w:rPr>
          <w:rFonts w:ascii="Aptos" w:hAnsi="Aptos" w:eastAsia="Aptos" w:cs="Aptos"/>
          <w:sz w:val="24"/>
          <w:szCs w:val="24"/>
        </w:rPr>
        <w:t xml:space="preserve">un </w:t>
      </w:r>
      <w:r w:rsidRPr="2A68F441" w:rsidR="001F6061">
        <w:rPr>
          <w:rFonts w:ascii="Aptos" w:hAnsi="Aptos" w:eastAsia="Aptos" w:cs="Aptos"/>
          <w:sz w:val="24"/>
          <w:szCs w:val="24"/>
        </w:rPr>
        <w:t>Eiropas Komisijas 20</w:t>
      </w:r>
      <w:r w:rsidRPr="2A68F441" w:rsidR="4A39C122">
        <w:rPr>
          <w:rFonts w:ascii="Aptos" w:hAnsi="Aptos" w:eastAsia="Aptos" w:cs="Aptos"/>
          <w:sz w:val="24"/>
          <w:szCs w:val="24"/>
        </w:rPr>
        <w:t>2</w:t>
      </w:r>
      <w:r w:rsidRPr="2A68F441" w:rsidR="001F6061">
        <w:rPr>
          <w:rFonts w:ascii="Aptos" w:hAnsi="Aptos" w:eastAsia="Aptos" w:cs="Aptos"/>
          <w:sz w:val="24"/>
          <w:szCs w:val="24"/>
        </w:rPr>
        <w:t>3.gada 1</w:t>
      </w:r>
      <w:r w:rsidRPr="2A68F441" w:rsidR="7F19821E">
        <w:rPr>
          <w:rFonts w:ascii="Aptos" w:hAnsi="Aptos" w:eastAsia="Aptos" w:cs="Aptos"/>
          <w:sz w:val="24"/>
          <w:szCs w:val="24"/>
        </w:rPr>
        <w:t>3</w:t>
      </w:r>
      <w:r w:rsidRPr="2A68F441" w:rsidR="001F6061">
        <w:rPr>
          <w:rFonts w:ascii="Aptos" w:hAnsi="Aptos" w:eastAsia="Aptos" w:cs="Aptos"/>
          <w:sz w:val="24"/>
          <w:szCs w:val="24"/>
        </w:rPr>
        <w:t xml:space="preserve">.decembra Regula (ES) Nr. </w:t>
      </w:r>
      <w:r w:rsidRPr="2A68F441" w:rsidR="0E529512">
        <w:rPr>
          <w:rFonts w:ascii="Aptos" w:hAnsi="Aptos" w:eastAsia="Aptos" w:cs="Aptos"/>
          <w:color w:val="0070C0"/>
          <w:sz w:val="24"/>
          <w:szCs w:val="24"/>
        </w:rPr>
        <w:t>2</w:t>
      </w:r>
      <w:r w:rsidRPr="2A68F441" w:rsidR="0E529512">
        <w:rPr>
          <w:rFonts w:ascii="Aptos" w:hAnsi="Aptos" w:eastAsia="Aptos" w:cs="Aptos"/>
          <w:color w:val="0070C0"/>
          <w:sz w:val="24"/>
          <w:szCs w:val="24"/>
        </w:rPr>
        <w:t xml:space="preserve">023/2831 </w:t>
      </w:r>
      <w:r w:rsidRPr="2A68F441" w:rsidR="001F6061">
        <w:rPr>
          <w:rFonts w:ascii="Aptos" w:hAnsi="Aptos" w:eastAsia="Aptos" w:cs="Aptos"/>
          <w:sz w:val="24"/>
          <w:szCs w:val="24"/>
        </w:rPr>
        <w:t xml:space="preserve">par Līguma par ES darbību 107. un 108.panta piemērošanu </w:t>
      </w:r>
      <w:r w:rsidRPr="2A68F441" w:rsidR="001F6061">
        <w:rPr>
          <w:rFonts w:ascii="Aptos" w:hAnsi="Aptos" w:eastAsia="Aptos" w:cs="Aptos"/>
          <w:i w:val="1"/>
          <w:iCs w:val="1"/>
          <w:sz w:val="24"/>
          <w:szCs w:val="24"/>
        </w:rPr>
        <w:t>de</w:t>
      </w:r>
      <w:r w:rsidRPr="2A68F441" w:rsidR="001F6061">
        <w:rPr>
          <w:rFonts w:ascii="Aptos" w:hAnsi="Aptos" w:eastAsia="Aptos" w:cs="Aptos"/>
          <w:i w:val="1"/>
          <w:iCs w:val="1"/>
          <w:sz w:val="24"/>
          <w:szCs w:val="24"/>
        </w:rPr>
        <w:t xml:space="preserve"> </w:t>
      </w:r>
      <w:r w:rsidRPr="2A68F441" w:rsidR="001F6061">
        <w:rPr>
          <w:rFonts w:ascii="Aptos" w:hAnsi="Aptos" w:eastAsia="Aptos" w:cs="Aptos"/>
          <w:i w:val="1"/>
          <w:iCs w:val="1"/>
          <w:sz w:val="24"/>
          <w:szCs w:val="24"/>
        </w:rPr>
        <w:t>minimis</w:t>
      </w:r>
      <w:r w:rsidRPr="2A68F441" w:rsidR="001F6061">
        <w:rPr>
          <w:rFonts w:ascii="Aptos" w:hAnsi="Aptos" w:eastAsia="Aptos" w:cs="Aptos"/>
          <w:sz w:val="24"/>
          <w:szCs w:val="24"/>
        </w:rPr>
        <w:t xml:space="preserve"> atbalstam</w:t>
      </w:r>
      <w:r w:rsidRPr="2A68F441" w:rsidR="009E1712">
        <w:rPr>
          <w:rFonts w:ascii="Aptos" w:hAnsi="Aptos" w:eastAsia="Aptos" w:cs="Aptos"/>
          <w:sz w:val="24"/>
          <w:szCs w:val="24"/>
        </w:rPr>
        <w:t xml:space="preserve"> (turpmāk – Regula Nr.</w:t>
      </w:r>
      <w:r w:rsidRPr="2A68F441" w:rsidR="45691CDA">
        <w:rPr>
          <w:rFonts w:ascii="Aptos" w:hAnsi="Aptos" w:eastAsia="Aptos" w:cs="Aptos"/>
          <w:color w:val="0070C0"/>
          <w:sz w:val="24"/>
          <w:szCs w:val="24"/>
        </w:rPr>
        <w:t xml:space="preserve"> 2</w:t>
      </w:r>
      <w:r w:rsidRPr="2A68F441" w:rsidR="45691CDA">
        <w:rPr>
          <w:rFonts w:ascii="Aptos" w:hAnsi="Aptos" w:eastAsia="Aptos" w:cs="Aptos"/>
          <w:color w:val="0070C0"/>
          <w:sz w:val="24"/>
          <w:szCs w:val="24"/>
        </w:rPr>
        <w:t>023/2831</w:t>
      </w:r>
      <w:r w:rsidRPr="2A68F441" w:rsidR="009E1712">
        <w:rPr>
          <w:rFonts w:ascii="Aptos" w:hAnsi="Aptos" w:eastAsia="Aptos" w:cs="Aptos"/>
          <w:sz w:val="24"/>
          <w:szCs w:val="24"/>
        </w:rPr>
        <w:t>)</w:t>
      </w:r>
    </w:p>
    <w:p w:rsidR="00E91E3D" w:rsidP="2A68F441" w:rsidRDefault="00E91E3D" w14:paraId="3F6CDCEB" w14:textId="77777777" w14:noSpellErr="1">
      <w:pPr>
        <w:spacing w:after="0" w:line="240" w:lineRule="auto"/>
        <w:jc w:val="center"/>
        <w:rPr>
          <w:rFonts w:ascii="Aptos" w:hAnsi="Aptos" w:eastAsia="Aptos" w:cs="Aptos"/>
          <w:sz w:val="24"/>
          <w:szCs w:val="24"/>
        </w:rPr>
      </w:pPr>
    </w:p>
    <w:p w:rsidR="00891FFC" w:rsidP="2A68F441" w:rsidRDefault="00891FFC" w14:paraId="32D0672B" w14:textId="69F6F44A" w14:noSpellErr="1">
      <w:pPr>
        <w:spacing w:after="0" w:line="240" w:lineRule="auto"/>
        <w:jc w:val="both"/>
        <w:rPr>
          <w:rFonts w:ascii="Aptos" w:hAnsi="Aptos" w:eastAsia="Aptos" w:cs="Aptos"/>
          <w:sz w:val="24"/>
          <w:szCs w:val="24"/>
        </w:rPr>
      </w:pPr>
    </w:p>
    <w:p w:rsidR="00995608" w:rsidP="2A68F441" w:rsidRDefault="00280935" w14:paraId="589BB86B" w14:textId="41F4088B" w14:noSpellErr="1">
      <w:pPr>
        <w:spacing w:after="0" w:line="240" w:lineRule="auto"/>
        <w:jc w:val="both"/>
        <w:rPr>
          <w:rFonts w:ascii="Aptos" w:hAnsi="Aptos" w:eastAsia="Aptos" w:cs="Aptos"/>
          <w:sz w:val="24"/>
          <w:szCs w:val="24"/>
        </w:rPr>
      </w:pPr>
      <w:r w:rsidRPr="2A68F441" w:rsidR="00280935">
        <w:rPr>
          <w:rFonts w:ascii="Aptos" w:hAnsi="Aptos" w:eastAsia="Aptos" w:cs="Aptos"/>
          <w:sz w:val="24"/>
          <w:szCs w:val="24"/>
        </w:rPr>
        <w:t>P</w:t>
      </w:r>
      <w:r w:rsidRPr="2A68F441" w:rsidR="00726C31">
        <w:rPr>
          <w:rFonts w:ascii="Aptos" w:hAnsi="Aptos" w:eastAsia="Aptos" w:cs="Aptos"/>
          <w:sz w:val="24"/>
          <w:szCs w:val="24"/>
        </w:rPr>
        <w:t xml:space="preserve">rojekta sadarbības partneris </w:t>
      </w:r>
      <w:r w:rsidRPr="2A68F441" w:rsidR="00995608">
        <w:rPr>
          <w:rFonts w:ascii="Aptos" w:hAnsi="Aptos" w:eastAsia="Aptos" w:cs="Aptos"/>
          <w:sz w:val="24"/>
          <w:szCs w:val="24"/>
        </w:rPr>
        <w:t>______________________________________</w:t>
      </w:r>
      <w:r w:rsidRPr="2A68F441" w:rsidR="00152118">
        <w:rPr>
          <w:rFonts w:ascii="Aptos" w:hAnsi="Aptos" w:eastAsia="Aptos" w:cs="Aptos"/>
          <w:sz w:val="24"/>
          <w:szCs w:val="24"/>
        </w:rPr>
        <w:t>________________</w:t>
      </w:r>
    </w:p>
    <w:p w:rsidR="00995608" w:rsidP="2A68F441" w:rsidRDefault="00995608" w14:paraId="68FED5D5" w14:textId="77777777" w14:noSpellErr="1">
      <w:pPr>
        <w:spacing w:after="0" w:line="240" w:lineRule="auto"/>
        <w:jc w:val="both"/>
        <w:rPr>
          <w:rFonts w:ascii="Aptos" w:hAnsi="Aptos" w:eastAsia="Aptos" w:cs="Aptos"/>
          <w:sz w:val="24"/>
          <w:szCs w:val="24"/>
          <w:vertAlign w:val="superscript"/>
        </w:rPr>
      </w:pPr>
      <w:r w:rsidRPr="2A68F441" w:rsidR="00995608">
        <w:rPr>
          <w:rFonts w:ascii="Aptos" w:hAnsi="Aptos" w:eastAsia="Aptos" w:cs="Aptos"/>
          <w:sz w:val="24"/>
          <w:szCs w:val="24"/>
          <w:vertAlign w:val="superscript"/>
        </w:rPr>
        <w:t xml:space="preserve"> </w:t>
      </w:r>
      <w:r w:rsidRPr="2A68F441" w:rsidR="00995608">
        <w:rPr>
          <w:rFonts w:ascii="Aptos" w:hAnsi="Aptos" w:eastAsia="Aptos" w:cs="Aptos"/>
          <w:sz w:val="24"/>
          <w:szCs w:val="24"/>
          <w:vertAlign w:val="superscript"/>
        </w:rPr>
        <w:t xml:space="preserve">                                                    </w:t>
      </w:r>
      <w:r>
        <w:tab/>
      </w:r>
      <w:r>
        <w:tab/>
      </w:r>
      <w:r>
        <w:tab/>
      </w:r>
      <w:r>
        <w:tab/>
      </w:r>
      <w:r>
        <w:tab/>
      </w:r>
      <w:r w:rsidRPr="2A68F441" w:rsidR="00995608">
        <w:rPr>
          <w:rFonts w:ascii="Aptos" w:hAnsi="Aptos" w:eastAsia="Aptos" w:cs="Aptos"/>
          <w:sz w:val="24"/>
          <w:szCs w:val="24"/>
          <w:vertAlign w:val="superscript"/>
        </w:rPr>
        <w:t xml:space="preserve"> </w:t>
      </w:r>
      <w:r w:rsidRPr="2A68F441" w:rsidR="00995608">
        <w:rPr>
          <w:rFonts w:ascii="Aptos" w:hAnsi="Aptos" w:eastAsia="Aptos" w:cs="Aptos"/>
          <w:sz w:val="24"/>
          <w:szCs w:val="24"/>
          <w:vertAlign w:val="superscript"/>
        </w:rPr>
        <w:t>(nosaukums)</w:t>
      </w:r>
    </w:p>
    <w:p w:rsidR="00995608" w:rsidP="2A68F441" w:rsidRDefault="00E85815" w14:paraId="135E3AFA" w14:textId="77777777" w14:noSpellErr="1">
      <w:pPr>
        <w:spacing w:after="0" w:line="240" w:lineRule="auto"/>
        <w:jc w:val="both"/>
        <w:rPr>
          <w:rFonts w:ascii="Aptos" w:hAnsi="Aptos" w:eastAsia="Aptos" w:cs="Aptos"/>
          <w:sz w:val="24"/>
          <w:szCs w:val="24"/>
        </w:rPr>
      </w:pPr>
      <w:r w:rsidRPr="2A68F441" w:rsidR="00E85815">
        <w:rPr>
          <w:rFonts w:ascii="Aptos" w:hAnsi="Aptos" w:eastAsia="Aptos" w:cs="Aptos"/>
          <w:sz w:val="24"/>
          <w:szCs w:val="24"/>
        </w:rPr>
        <w:t>apliecina, ka</w:t>
      </w:r>
      <w:r w:rsidRPr="2A68F441" w:rsidR="007A243A">
        <w:rPr>
          <w:rFonts w:ascii="Aptos" w:hAnsi="Aptos" w:eastAsia="Aptos" w:cs="Aptos"/>
          <w:sz w:val="24"/>
          <w:szCs w:val="24"/>
        </w:rPr>
        <w:t xml:space="preserve"> </w:t>
      </w:r>
      <w:r w:rsidRPr="2A68F441" w:rsidR="00E85815">
        <w:rPr>
          <w:rFonts w:ascii="Aptos" w:hAnsi="Aptos" w:eastAsia="Aptos" w:cs="Aptos"/>
          <w:sz w:val="24"/>
          <w:szCs w:val="24"/>
        </w:rPr>
        <w:t xml:space="preserve">projekta iesniegumā </w:t>
      </w:r>
    </w:p>
    <w:p w:rsidR="00995608" w:rsidP="2A68F441" w:rsidRDefault="00995608" w14:paraId="21094032" w14:textId="77777777" w14:noSpellErr="1">
      <w:pPr>
        <w:spacing w:before="240" w:after="0" w:line="240" w:lineRule="auto"/>
        <w:jc w:val="both"/>
        <w:rPr>
          <w:rFonts w:ascii="Aptos" w:hAnsi="Aptos" w:eastAsia="Aptos" w:cs="Aptos"/>
          <w:sz w:val="24"/>
          <w:szCs w:val="24"/>
        </w:rPr>
      </w:pPr>
      <w:r w:rsidRPr="2A68F441" w:rsidR="00995608">
        <w:rPr>
          <w:rFonts w:ascii="Aptos" w:hAnsi="Aptos" w:eastAsia="Aptos" w:cs="Aptos"/>
          <w:sz w:val="24"/>
          <w:szCs w:val="24"/>
        </w:rPr>
        <w:t>______________________________________________</w:t>
      </w:r>
      <w:r w:rsidRPr="2A68F441" w:rsidR="00152118">
        <w:rPr>
          <w:rFonts w:ascii="Aptos" w:hAnsi="Aptos" w:eastAsia="Aptos" w:cs="Aptos"/>
          <w:sz w:val="24"/>
          <w:szCs w:val="24"/>
        </w:rPr>
        <w:t>_______________________________</w:t>
      </w:r>
    </w:p>
    <w:p w:rsidR="00995608" w:rsidP="2A68F441" w:rsidRDefault="00995608" w14:paraId="7AF07A8E" w14:textId="77777777" w14:noSpellErr="1">
      <w:pPr>
        <w:spacing w:after="0" w:line="240" w:lineRule="auto"/>
        <w:rPr>
          <w:rFonts w:ascii="Aptos" w:hAnsi="Aptos" w:eastAsia="Aptos" w:cs="Aptos"/>
          <w:sz w:val="24"/>
          <w:szCs w:val="24"/>
          <w:vertAlign w:val="superscript"/>
        </w:rPr>
      </w:pPr>
      <w:r w:rsidRPr="2A68F441" w:rsidR="00995608">
        <w:rPr>
          <w:rFonts w:ascii="Aptos" w:hAnsi="Aptos" w:eastAsia="Aptos" w:cs="Aptos"/>
          <w:sz w:val="24"/>
          <w:szCs w:val="24"/>
          <w:vertAlign w:val="superscript"/>
        </w:rPr>
        <w:t xml:space="preserve"> </w:t>
      </w:r>
      <w:r w:rsidRPr="2A68F441" w:rsidR="00995608">
        <w:rPr>
          <w:rFonts w:ascii="Aptos" w:hAnsi="Aptos" w:eastAsia="Aptos" w:cs="Aptos"/>
          <w:sz w:val="24"/>
          <w:szCs w:val="24"/>
          <w:vertAlign w:val="superscript"/>
        </w:rPr>
        <w:t xml:space="preserve">                                                    </w:t>
      </w:r>
      <w:r>
        <w:tab/>
      </w:r>
      <w:r>
        <w:tab/>
      </w:r>
      <w:r>
        <w:tab/>
      </w:r>
      <w:r>
        <w:tab/>
      </w:r>
      <w:r>
        <w:tab/>
      </w:r>
      <w:r w:rsidRPr="2A68F441" w:rsidR="00995608">
        <w:rPr>
          <w:rFonts w:ascii="Aptos" w:hAnsi="Aptos" w:eastAsia="Aptos" w:cs="Aptos"/>
          <w:sz w:val="24"/>
          <w:szCs w:val="24"/>
          <w:vertAlign w:val="superscript"/>
        </w:rPr>
        <w:t xml:space="preserve"> </w:t>
      </w:r>
      <w:r w:rsidRPr="2A68F441" w:rsidR="00995608">
        <w:rPr>
          <w:rFonts w:ascii="Aptos" w:hAnsi="Aptos" w:eastAsia="Aptos" w:cs="Aptos"/>
          <w:sz w:val="24"/>
          <w:szCs w:val="24"/>
          <w:vertAlign w:val="superscript"/>
        </w:rPr>
        <w:t>(nosaukums)</w:t>
      </w:r>
    </w:p>
    <w:p w:rsidR="00995608" w:rsidP="2A68F441" w:rsidRDefault="00995608" w14:paraId="769A82DB" w14:textId="77777777" w14:noSpellErr="1">
      <w:pPr>
        <w:spacing w:after="0" w:line="240" w:lineRule="auto"/>
        <w:jc w:val="both"/>
        <w:rPr>
          <w:rFonts w:ascii="Aptos" w:hAnsi="Aptos" w:eastAsia="Aptos" w:cs="Aptos"/>
          <w:sz w:val="24"/>
          <w:szCs w:val="24"/>
        </w:rPr>
      </w:pPr>
    </w:p>
    <w:p w:rsidR="50F272CB" w:rsidP="2A68F441" w:rsidRDefault="50F272CB" w14:paraId="7884B12F" w14:textId="324B644C">
      <w:pPr>
        <w:pStyle w:val="Normal"/>
        <w:spacing w:after="120" w:line="240" w:lineRule="auto"/>
        <w:ind w:left="0"/>
        <w:jc w:val="both"/>
        <w:rPr>
          <w:rFonts w:ascii="Aptos" w:hAnsi="Aptos" w:eastAsia="Aptos" w:cs="Aptos"/>
          <w:noProof w:val="0"/>
          <w:sz w:val="24"/>
          <w:szCs w:val="24"/>
          <w:lang w:val="lv-LV"/>
        </w:rPr>
      </w:pPr>
      <w:r w:rsidRPr="2A68F441" w:rsidR="50F272CB">
        <w:rPr>
          <w:rFonts w:ascii="Aptos" w:hAnsi="Aptos" w:eastAsia="Aptos" w:cs="Aptos"/>
          <w:noProof w:val="0"/>
          <w:sz w:val="24"/>
          <w:szCs w:val="24"/>
          <w:lang w:val="lv-LV"/>
        </w:rPr>
        <w:t xml:space="preserve">Apliecinu, ka ieguldījumi, kas plānoti Ministru kabineta 2025. gada 7. janvāra noteikumu Nr. 18 “Eiropas Savienības kohēzijas politikas programmas 2021.–2027. gadam 2.1.1. specifiskā atbalsta mērķa "Energoefektivitātes veicināšana un siltumnīcefekta gāzu emisiju samazināšana" 2.1.1.8. pasākuma "Energoefektivitāti veicinoši pasākumi kultūras infrastruktūrā” īstenošanas noteikumi (turpmāk - MK noteikumi) </w:t>
      </w:r>
      <w:r w:rsidRPr="2A68F441" w:rsidR="50F272CB">
        <w:rPr>
          <w:rFonts w:ascii="Aptos" w:hAnsi="Aptos" w:eastAsia="Aptos" w:cs="Aptos"/>
          <w:b w:val="1"/>
          <w:bCs w:val="1"/>
          <w:noProof w:val="0"/>
          <w:sz w:val="24"/>
          <w:szCs w:val="24"/>
          <w:lang w:val="lv-LV"/>
        </w:rPr>
        <w:t xml:space="preserve">48. punkta </w:t>
      </w:r>
      <w:r w:rsidRPr="2A68F441" w:rsidR="50F272CB">
        <w:rPr>
          <w:rFonts w:ascii="Aptos" w:hAnsi="Aptos" w:eastAsia="Aptos" w:cs="Aptos"/>
          <w:noProof w:val="0"/>
          <w:sz w:val="24"/>
          <w:szCs w:val="24"/>
          <w:lang w:val="lv-LV"/>
        </w:rPr>
        <w:t>ietvaros, atbilst Regulas Nr.651/2014 nosacījumiem, tajā skaitā šādiem nosacījumiem:</w:t>
      </w:r>
    </w:p>
    <w:p w:rsidR="50F272CB" w:rsidP="2A68F441" w:rsidRDefault="50F272CB" w14:paraId="5595B62D" w14:textId="19570547">
      <w:pPr>
        <w:pStyle w:val="ListParagraph"/>
        <w:numPr>
          <w:ilvl w:val="0"/>
          <w:numId w:val="2"/>
        </w:numPr>
        <w:spacing w:before="0" w:beforeAutospacing="off" w:after="0" w:afterAutospacing="off"/>
        <w:jc w:val="both"/>
        <w:rPr>
          <w:rFonts w:ascii="Aptos" w:hAnsi="Aptos" w:eastAsia="Aptos" w:cs="Aptos"/>
          <w:noProof w:val="0"/>
          <w:sz w:val="22"/>
          <w:szCs w:val="22"/>
          <w:lang w:val="lv-LV"/>
        </w:rPr>
      </w:pPr>
      <w:r w:rsidRPr="2A68F441" w:rsidR="50F272CB">
        <w:rPr>
          <w:rFonts w:ascii="Aptos" w:hAnsi="Aptos" w:eastAsia="Aptos" w:cs="Aptos"/>
          <w:noProof w:val="0"/>
          <w:sz w:val="24"/>
          <w:szCs w:val="24"/>
          <w:lang w:val="lv-LV"/>
        </w:rPr>
        <w:t xml:space="preserve">atbalstāmā darbība atbilst vienam vai vairākiem regulas Nr. </w:t>
      </w:r>
      <w:hyperlink r:id="Rb72394e9811e44ce">
        <w:r w:rsidRPr="2A68F441" w:rsidR="50F272CB">
          <w:rPr>
            <w:rStyle w:val="Hyperlink"/>
            <w:rFonts w:ascii="Aptos" w:hAnsi="Aptos" w:eastAsia="Aptos" w:cs="Aptos"/>
            <w:strike w:val="0"/>
            <w:dstrike w:val="0"/>
            <w:noProof w:val="0"/>
            <w:color w:val="0000FF"/>
            <w:sz w:val="24"/>
            <w:szCs w:val="24"/>
            <w:u w:val="single"/>
            <w:lang w:val="lv-LV"/>
          </w:rPr>
          <w:t>651/2014</w:t>
        </w:r>
      </w:hyperlink>
      <w:r w:rsidRPr="2A68F441" w:rsidR="50F272CB">
        <w:rPr>
          <w:rFonts w:ascii="Aptos" w:hAnsi="Aptos" w:eastAsia="Aptos" w:cs="Aptos"/>
          <w:noProof w:val="0"/>
          <w:sz w:val="24"/>
          <w:szCs w:val="24"/>
          <w:lang w:val="lv-LV"/>
        </w:rPr>
        <w:t xml:space="preserve"> 53. panta 2. punkta "a", "b" vai "e" apakšpunktā norādītajiem mērķiem un darbībām;</w:t>
      </w:r>
    </w:p>
    <w:p w:rsidR="50F272CB" w:rsidP="2A68F441" w:rsidRDefault="50F272CB" w14:paraId="43D53440" w14:textId="3CC2E5C6">
      <w:pPr>
        <w:pStyle w:val="ListParagraph"/>
        <w:numPr>
          <w:ilvl w:val="0"/>
          <w:numId w:val="2"/>
        </w:numPr>
        <w:spacing w:before="0" w:beforeAutospacing="off" w:after="0" w:afterAutospacing="off"/>
        <w:jc w:val="both"/>
        <w:rPr>
          <w:rFonts w:ascii="Aptos" w:hAnsi="Aptos" w:eastAsia="Aptos" w:cs="Aptos"/>
          <w:noProof w:val="0"/>
          <w:sz w:val="22"/>
          <w:szCs w:val="22"/>
          <w:lang w:val="lv-LV"/>
        </w:rPr>
      </w:pPr>
      <w:r w:rsidRPr="2A68F441" w:rsidR="50F272CB">
        <w:rPr>
          <w:rFonts w:ascii="Aptos" w:hAnsi="Aptos" w:eastAsia="Aptos" w:cs="Aptos"/>
          <w:noProof w:val="0"/>
          <w:sz w:val="24"/>
          <w:szCs w:val="24"/>
          <w:lang w:val="lv-LV"/>
        </w:rPr>
        <w:t>ir ievēroti Komisijas regulas Nr.  651/2014 1. panta 2. punkta “c” un “d” apakšpunktā, 3. punktā un 4. punkta “a’ apakšpunktā minētie nosacījumi;</w:t>
      </w:r>
    </w:p>
    <w:p w:rsidR="50F272CB" w:rsidP="2A68F441" w:rsidRDefault="50F272CB" w14:paraId="2C67E95D" w14:textId="77874490">
      <w:pPr>
        <w:pStyle w:val="ListParagraph"/>
        <w:numPr>
          <w:ilvl w:val="0"/>
          <w:numId w:val="2"/>
        </w:numPr>
        <w:spacing w:before="0" w:beforeAutospacing="off" w:after="0" w:afterAutospacing="off"/>
        <w:jc w:val="both"/>
        <w:rPr>
          <w:rFonts w:ascii="Aptos" w:hAnsi="Aptos" w:eastAsia="Aptos" w:cs="Aptos"/>
          <w:noProof w:val="0"/>
          <w:sz w:val="22"/>
          <w:szCs w:val="22"/>
          <w:lang w:val="lv-LV"/>
        </w:rPr>
      </w:pPr>
      <w:r w:rsidRPr="2A68F441" w:rsidR="50F272CB">
        <w:rPr>
          <w:rFonts w:ascii="Aptos" w:hAnsi="Aptos" w:eastAsia="Aptos" w:cs="Aptos"/>
          <w:noProof w:val="0"/>
          <w:sz w:val="24"/>
          <w:szCs w:val="24"/>
          <w:lang w:val="lv-LV"/>
        </w:rPr>
        <w:t xml:space="preserve">atbalsts plānots ievērojot regulas Nr. </w:t>
      </w:r>
      <w:hyperlink r:id="R662338fcbb824beb">
        <w:r w:rsidRPr="2A68F441" w:rsidR="50F272CB">
          <w:rPr>
            <w:rStyle w:val="Hyperlink"/>
            <w:rFonts w:ascii="Aptos" w:hAnsi="Aptos" w:eastAsia="Aptos" w:cs="Aptos"/>
            <w:strike w:val="0"/>
            <w:dstrike w:val="0"/>
            <w:noProof w:val="0"/>
            <w:color w:val="0000FF"/>
            <w:sz w:val="24"/>
            <w:szCs w:val="24"/>
            <w:u w:val="single"/>
            <w:lang w:val="lv-LV"/>
          </w:rPr>
          <w:t>651/2014</w:t>
        </w:r>
      </w:hyperlink>
      <w:r w:rsidRPr="2A68F441" w:rsidR="50F272CB">
        <w:rPr>
          <w:rFonts w:ascii="Aptos" w:hAnsi="Aptos" w:eastAsia="Aptos" w:cs="Aptos"/>
          <w:noProof w:val="0"/>
          <w:sz w:val="24"/>
          <w:szCs w:val="24"/>
          <w:lang w:val="lv-LV"/>
        </w:rPr>
        <w:t xml:space="preserve"> 1. panta 3. punkta nosacījumus par nozarēm, kurām nepiemēro regulu Nr. </w:t>
      </w:r>
      <w:hyperlink r:id="R49348c305eee49b1">
        <w:r w:rsidRPr="2A68F441" w:rsidR="50F272CB">
          <w:rPr>
            <w:rStyle w:val="Hyperlink"/>
            <w:rFonts w:ascii="Aptos" w:hAnsi="Aptos" w:eastAsia="Aptos" w:cs="Aptos"/>
            <w:strike w:val="0"/>
            <w:dstrike w:val="0"/>
            <w:noProof w:val="0"/>
            <w:color w:val="0000FF"/>
            <w:sz w:val="24"/>
            <w:szCs w:val="24"/>
            <w:u w:val="single"/>
            <w:lang w:val="lv-LV"/>
          </w:rPr>
          <w:t>651/2014</w:t>
        </w:r>
      </w:hyperlink>
      <w:r w:rsidRPr="2A68F441" w:rsidR="50F272CB">
        <w:rPr>
          <w:rFonts w:ascii="Aptos" w:hAnsi="Aptos" w:eastAsia="Aptos" w:cs="Aptos"/>
          <w:noProof w:val="0"/>
          <w:sz w:val="24"/>
          <w:szCs w:val="24"/>
          <w:lang w:val="lv-LV"/>
        </w:rPr>
        <w:t xml:space="preserve">  un tiks nodrošināta izmaksu nošķiršana tādējādi, ka darbības izslēgtajās nozarēs negūst labumu no atbalsta, kas piešķirts saskaņā ar regulu Nr. </w:t>
      </w:r>
      <w:hyperlink r:id="R545c8b6829714d21">
        <w:r w:rsidRPr="2A68F441" w:rsidR="50F272CB">
          <w:rPr>
            <w:rStyle w:val="Hyperlink"/>
            <w:rFonts w:ascii="Aptos" w:hAnsi="Aptos" w:eastAsia="Aptos" w:cs="Aptos"/>
            <w:strike w:val="0"/>
            <w:dstrike w:val="0"/>
            <w:noProof w:val="0"/>
            <w:color w:val="0000FF"/>
            <w:sz w:val="24"/>
            <w:szCs w:val="24"/>
            <w:u w:val="single"/>
            <w:lang w:val="lv-LV"/>
          </w:rPr>
          <w:t>651/2014</w:t>
        </w:r>
      </w:hyperlink>
      <w:r w:rsidRPr="2A68F441" w:rsidR="50F272CB">
        <w:rPr>
          <w:rFonts w:ascii="Aptos" w:hAnsi="Aptos" w:eastAsia="Aptos" w:cs="Aptos"/>
          <w:noProof w:val="0"/>
          <w:sz w:val="24"/>
          <w:szCs w:val="24"/>
          <w:lang w:val="lv-LV"/>
        </w:rPr>
        <w:t>;</w:t>
      </w:r>
    </w:p>
    <w:p w:rsidR="50F272CB" w:rsidP="2A68F441" w:rsidRDefault="50F272CB" w14:paraId="6995E6F8" w14:textId="506C5A0E">
      <w:pPr>
        <w:pStyle w:val="ListParagraph"/>
        <w:numPr>
          <w:ilvl w:val="0"/>
          <w:numId w:val="2"/>
        </w:numPr>
        <w:spacing w:before="0" w:beforeAutospacing="off" w:after="0" w:afterAutospacing="off"/>
        <w:jc w:val="both"/>
        <w:rPr>
          <w:rFonts w:ascii="Aptos" w:hAnsi="Aptos" w:eastAsia="Aptos" w:cs="Aptos"/>
          <w:noProof w:val="0"/>
          <w:sz w:val="22"/>
          <w:szCs w:val="22"/>
          <w:lang w:val="lv-LV"/>
        </w:rPr>
      </w:pPr>
      <w:r w:rsidRPr="2A68F441" w:rsidR="50F272CB">
        <w:rPr>
          <w:rFonts w:ascii="Aptos" w:hAnsi="Aptos" w:eastAsia="Aptos" w:cs="Aptos"/>
          <w:noProof w:val="0"/>
          <w:sz w:val="24"/>
          <w:szCs w:val="24"/>
          <w:lang w:val="lv-LV"/>
        </w:rPr>
        <w:t xml:space="preserve">regulas Nr. </w:t>
      </w:r>
      <w:hyperlink r:id="R5cf74bfbee124c92">
        <w:r w:rsidRPr="2A68F441" w:rsidR="50F272CB">
          <w:rPr>
            <w:rStyle w:val="Hyperlink"/>
            <w:rFonts w:ascii="Aptos" w:hAnsi="Aptos" w:eastAsia="Aptos" w:cs="Aptos"/>
            <w:strike w:val="0"/>
            <w:dstrike w:val="0"/>
            <w:noProof w:val="0"/>
            <w:color w:val="0000FF"/>
            <w:sz w:val="24"/>
            <w:szCs w:val="24"/>
            <w:u w:val="single"/>
            <w:lang w:val="lv-LV"/>
          </w:rPr>
          <w:t>651/2014</w:t>
        </w:r>
      </w:hyperlink>
      <w:r w:rsidRPr="2A68F441" w:rsidR="50F272CB">
        <w:rPr>
          <w:rFonts w:ascii="Aptos" w:hAnsi="Aptos" w:eastAsia="Aptos" w:cs="Aptos"/>
          <w:noProof w:val="0"/>
          <w:sz w:val="24"/>
          <w:szCs w:val="24"/>
          <w:lang w:val="lv-LV"/>
        </w:rPr>
        <w:t xml:space="preserve"> 53. panta 2. punkta "a" apakšpunktā minētajam kultūras mērķim paredzētā infrastruktūra, kas attīstīta projekta ietvaros, vismaz 80 % apmērā no infrastruktūras gada jaudas, laika vai platības izteiksmē tiks izmantotas kultūras mērķim;</w:t>
      </w:r>
    </w:p>
    <w:p w:rsidR="50F272CB" w:rsidP="2A68F441" w:rsidRDefault="50F272CB" w14:paraId="1C56EE8C" w14:textId="1EF01B96">
      <w:pPr>
        <w:pStyle w:val="ListParagraph"/>
        <w:numPr>
          <w:ilvl w:val="0"/>
          <w:numId w:val="2"/>
        </w:numPr>
        <w:spacing w:before="0" w:beforeAutospacing="off" w:after="0" w:afterAutospacing="off"/>
        <w:jc w:val="both"/>
        <w:rPr>
          <w:rFonts w:ascii="Aptos" w:hAnsi="Aptos" w:eastAsia="Aptos" w:cs="Aptos"/>
          <w:noProof w:val="0"/>
          <w:sz w:val="22"/>
          <w:szCs w:val="22"/>
          <w:lang w:val="lv-LV"/>
        </w:rPr>
      </w:pPr>
      <w:r w:rsidRPr="2A68F441" w:rsidR="50F272CB">
        <w:rPr>
          <w:rFonts w:ascii="Aptos" w:hAnsi="Aptos" w:eastAsia="Aptos" w:cs="Aptos"/>
          <w:noProof w:val="0"/>
          <w:sz w:val="24"/>
          <w:szCs w:val="24"/>
          <w:lang w:val="lv-LV"/>
        </w:rPr>
        <w:t xml:space="preserve">atbalsts nav paredzēts regulas Nr. </w:t>
      </w:r>
      <w:hyperlink r:id="R3491604abc1e4f3d">
        <w:r w:rsidRPr="2A68F441" w:rsidR="50F272CB">
          <w:rPr>
            <w:rStyle w:val="Hyperlink"/>
            <w:rFonts w:ascii="Aptos" w:hAnsi="Aptos" w:eastAsia="Aptos" w:cs="Aptos"/>
            <w:strike w:val="0"/>
            <w:dstrike w:val="0"/>
            <w:noProof w:val="0"/>
            <w:color w:val="0000FF"/>
            <w:sz w:val="24"/>
            <w:szCs w:val="24"/>
            <w:u w:val="single"/>
            <w:lang w:val="lv-LV"/>
          </w:rPr>
          <w:t>651/2014</w:t>
        </w:r>
      </w:hyperlink>
      <w:r w:rsidRPr="2A68F441" w:rsidR="50F272CB">
        <w:rPr>
          <w:rFonts w:ascii="Aptos" w:hAnsi="Aptos" w:eastAsia="Aptos" w:cs="Aptos"/>
          <w:noProof w:val="0"/>
          <w:sz w:val="24"/>
          <w:szCs w:val="24"/>
          <w:lang w:val="lv-LV"/>
        </w:rPr>
        <w:t xml:space="preserve"> 53. panta 10. punktā minētajām nozarēm;</w:t>
      </w:r>
    </w:p>
    <w:p w:rsidR="50F272CB" w:rsidP="2A68F441" w:rsidRDefault="50F272CB" w14:paraId="5F85026D" w14:textId="7C1E70FA">
      <w:pPr>
        <w:pStyle w:val="ListParagraph"/>
        <w:numPr>
          <w:ilvl w:val="0"/>
          <w:numId w:val="2"/>
        </w:numPr>
        <w:spacing w:before="0" w:beforeAutospacing="off" w:after="0" w:afterAutospacing="off"/>
        <w:jc w:val="both"/>
        <w:rPr>
          <w:rFonts w:ascii="Aptos" w:hAnsi="Aptos" w:eastAsia="Aptos" w:cs="Aptos"/>
          <w:noProof w:val="0"/>
          <w:sz w:val="22"/>
          <w:szCs w:val="22"/>
          <w:lang w:val="lv-LV"/>
        </w:rPr>
      </w:pPr>
      <w:r w:rsidRPr="2A68F441" w:rsidR="50F272CB">
        <w:rPr>
          <w:rFonts w:ascii="Aptos" w:hAnsi="Aptos" w:eastAsia="Aptos" w:cs="Aptos"/>
          <w:noProof w:val="0"/>
          <w:sz w:val="24"/>
          <w:szCs w:val="24"/>
          <w:lang w:val="lv-LV"/>
        </w:rPr>
        <w:t>atbilstoši Komisijas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rsidR="50F272CB" w:rsidP="2A68F441" w:rsidRDefault="50F272CB" w14:paraId="04C45B0B" w14:textId="0E924874">
      <w:pPr>
        <w:pStyle w:val="ListParagraph"/>
        <w:numPr>
          <w:ilvl w:val="0"/>
          <w:numId w:val="2"/>
        </w:numPr>
        <w:spacing w:before="0" w:beforeAutospacing="off" w:after="0" w:afterAutospacing="off"/>
        <w:jc w:val="both"/>
        <w:rPr>
          <w:rFonts w:ascii="Aptos" w:hAnsi="Aptos" w:eastAsia="Aptos" w:cs="Aptos"/>
          <w:noProof w:val="0"/>
          <w:sz w:val="22"/>
          <w:szCs w:val="22"/>
          <w:lang w:val="lv-LV"/>
        </w:rPr>
      </w:pPr>
      <w:r w:rsidRPr="2A68F441" w:rsidR="50F272CB">
        <w:rPr>
          <w:rFonts w:ascii="Aptos" w:hAnsi="Aptos" w:eastAsia="Aptos" w:cs="Aptos"/>
          <w:noProof w:val="0"/>
          <w:sz w:val="24"/>
          <w:szCs w:val="24"/>
          <w:lang w:val="lv-LV"/>
        </w:rPr>
        <w:t>atbilstoši Komisijas regulas Nr.651/2014 1.panta 2.punkta „d” apakšpunkta nosacījumiem netiek piemērots tāds atbalsts, ko piešķir ar nosacījumu, ka importa preču vietā tiek izmantotas vietējās preces;</w:t>
      </w:r>
    </w:p>
    <w:p w:rsidR="50F272CB" w:rsidP="2A68F441" w:rsidRDefault="50F272CB" w14:paraId="4B39CC41" w14:textId="3C49D7AF">
      <w:pPr>
        <w:pStyle w:val="ListParagraph"/>
        <w:numPr>
          <w:ilvl w:val="0"/>
          <w:numId w:val="2"/>
        </w:numPr>
        <w:spacing w:before="0" w:beforeAutospacing="off" w:after="0" w:afterAutospacing="off"/>
        <w:jc w:val="both"/>
        <w:rPr>
          <w:rFonts w:ascii="Aptos" w:hAnsi="Aptos" w:eastAsia="Aptos" w:cs="Aptos"/>
          <w:noProof w:val="0"/>
          <w:sz w:val="22"/>
          <w:szCs w:val="22"/>
          <w:lang w:val="lv-LV"/>
        </w:rPr>
      </w:pPr>
      <w:r w:rsidRPr="2A68F441" w:rsidR="50F272CB">
        <w:rPr>
          <w:rFonts w:ascii="Aptos" w:hAnsi="Aptos" w:eastAsia="Aptos" w:cs="Aptos"/>
          <w:noProof w:val="0"/>
          <w:sz w:val="24"/>
          <w:szCs w:val="24"/>
          <w:lang w:val="lv-LV"/>
        </w:rPr>
        <w:t xml:space="preserve">uz </w:t>
      </w:r>
      <w:r w:rsidRPr="2A68F441" w:rsidR="031D9641">
        <w:rPr>
          <w:rFonts w:ascii="Aptos" w:hAnsi="Aptos" w:eastAsia="Aptos" w:cs="Aptos"/>
          <w:noProof w:val="0"/>
          <w:sz w:val="24"/>
          <w:szCs w:val="24"/>
          <w:lang w:val="lv-LV"/>
        </w:rPr>
        <w:t>sadarbības partneri</w:t>
      </w:r>
      <w:r w:rsidRPr="2A68F441" w:rsidR="50F272CB">
        <w:rPr>
          <w:rFonts w:ascii="Aptos" w:hAnsi="Aptos" w:eastAsia="Aptos" w:cs="Aptos"/>
          <w:noProof w:val="0"/>
          <w:sz w:val="24"/>
          <w:szCs w:val="24"/>
          <w:lang w:val="lv-LV"/>
        </w:rPr>
        <w:t xml:space="preserve"> neattiecas līdzekļu atgūšanas rīkojums saskaņā ar iepriekšēju Komisijas lēmumu, ar ko atbalsts tiek atzīts par nelikumīgu un nesaderīgu ar kopējo tirgu (Komisijas regulas Nr.651/2014 1. panta 4. punkta "a" apakšpunkts)</w:t>
      </w:r>
      <w:r w:rsidRPr="2A68F441" w:rsidR="50F272CB">
        <w:rPr>
          <w:rFonts w:ascii="Aptos" w:hAnsi="Aptos" w:eastAsia="Aptos" w:cs="Aptos"/>
          <w:noProof w:val="0"/>
          <w:sz w:val="24"/>
          <w:szCs w:val="24"/>
          <w:lang w:val="lv-LV"/>
        </w:rPr>
        <w:t xml:space="preserve"> </w:t>
      </w:r>
      <w:r w:rsidRPr="2A68F441" w:rsidR="50F272CB">
        <w:rPr>
          <w:rFonts w:ascii="Aptos" w:hAnsi="Aptos" w:eastAsia="Aptos" w:cs="Aptos"/>
          <w:noProof w:val="0"/>
          <w:sz w:val="24"/>
          <w:szCs w:val="24"/>
          <w:lang w:val="lv-LV"/>
        </w:rPr>
        <w:t xml:space="preserve"> </w:t>
      </w:r>
    </w:p>
    <w:p w:rsidR="50F272CB" w:rsidP="2A68F441" w:rsidRDefault="50F272CB" w14:paraId="0C541ADF" w14:textId="3516E814">
      <w:pPr>
        <w:pStyle w:val="ListParagraph"/>
        <w:numPr>
          <w:ilvl w:val="0"/>
          <w:numId w:val="2"/>
        </w:numPr>
        <w:spacing w:before="0" w:beforeAutospacing="off" w:after="0" w:afterAutospacing="off"/>
        <w:jc w:val="both"/>
        <w:rPr>
          <w:rFonts w:ascii="Aptos" w:hAnsi="Aptos" w:eastAsia="Aptos" w:cs="Aptos"/>
          <w:noProof w:val="0"/>
          <w:sz w:val="22"/>
          <w:szCs w:val="22"/>
          <w:lang w:val="lv-LV"/>
        </w:rPr>
      </w:pPr>
      <w:r w:rsidRPr="44C63ACB" w:rsidR="50F272CB">
        <w:rPr>
          <w:rFonts w:ascii="Aptos" w:hAnsi="Aptos" w:eastAsia="Aptos" w:cs="Aptos"/>
          <w:noProof w:val="0"/>
          <w:sz w:val="24"/>
          <w:szCs w:val="24"/>
          <w:lang w:val="lv-LV"/>
        </w:rPr>
        <w:t xml:space="preserve">tiks veikti </w:t>
      </w:r>
      <w:r w:rsidRPr="44C63ACB" w:rsidR="50F272CB">
        <w:rPr>
          <w:rFonts w:ascii="Aptos" w:hAnsi="Aptos" w:eastAsia="Aptos" w:cs="Aptos"/>
          <w:noProof w:val="0"/>
          <w:sz w:val="24"/>
          <w:szCs w:val="24"/>
          <w:lang w:val="lv-LV"/>
        </w:rPr>
        <w:t>papildpakalpojumi</w:t>
      </w:r>
      <w:r w:rsidRPr="44C63ACB" w:rsidR="50F272CB">
        <w:rPr>
          <w:rFonts w:ascii="Aptos" w:hAnsi="Aptos" w:eastAsia="Aptos" w:cs="Aptos"/>
          <w:noProof w:val="0"/>
          <w:sz w:val="24"/>
          <w:szCs w:val="24"/>
          <w:lang w:val="lv-LV"/>
        </w:rPr>
        <w:t>, kuriem nebūtu ietekmes uz tirdzniecību un konkurenci Eiropas Savienības iekšējā tirgū;</w:t>
      </w:r>
    </w:p>
    <w:p w:rsidR="50F272CB" w:rsidP="2A68F441" w:rsidRDefault="50F272CB" w14:paraId="76B2AFD9" w14:textId="2E5FF9BB">
      <w:pPr>
        <w:pStyle w:val="ListParagraph"/>
        <w:numPr>
          <w:ilvl w:val="0"/>
          <w:numId w:val="2"/>
        </w:numPr>
        <w:spacing w:before="0" w:beforeAutospacing="off" w:after="0" w:afterAutospacing="off"/>
        <w:jc w:val="both"/>
        <w:rPr>
          <w:rFonts w:ascii="Aptos" w:hAnsi="Aptos" w:eastAsia="Aptos" w:cs="Aptos"/>
          <w:noProof w:val="0"/>
          <w:sz w:val="22"/>
          <w:szCs w:val="22"/>
          <w:lang w:val="lv-LV"/>
        </w:rPr>
      </w:pPr>
      <w:r w:rsidRPr="2A68F441" w:rsidR="50F272CB">
        <w:rPr>
          <w:rFonts w:ascii="Aptos" w:hAnsi="Aptos" w:eastAsia="Aptos" w:cs="Aptos"/>
          <w:noProof w:val="0"/>
          <w:sz w:val="24"/>
          <w:szCs w:val="24"/>
          <w:lang w:val="lv-LV"/>
        </w:rPr>
        <w:t>ar komercdarbības atbalstu saistīta projekta dokumentāciju tiks glabāta visu projekta pārskata periodu (projekta dzīves ciklu), sākot no dienas, kad tam ir piešķirts individuālais komercdarbības atbalsts saskaņā ar šiem noteikumiem;</w:t>
      </w:r>
    </w:p>
    <w:p w:rsidR="50F272CB" w:rsidP="2A68F441" w:rsidRDefault="50F272CB" w14:paraId="6E018EFD" w14:textId="735643EB">
      <w:pPr>
        <w:pStyle w:val="ListParagraph"/>
        <w:numPr>
          <w:ilvl w:val="0"/>
          <w:numId w:val="2"/>
        </w:numPr>
        <w:rPr>
          <w:rFonts w:ascii="Aptos" w:hAnsi="Aptos" w:eastAsia="Aptos" w:cs="Aptos"/>
          <w:noProof w:val="0"/>
          <w:sz w:val="22"/>
          <w:szCs w:val="22"/>
          <w:lang w:val="lv-LV"/>
        </w:rPr>
      </w:pPr>
      <w:r w:rsidRPr="2A68F441" w:rsidR="50F272CB">
        <w:rPr>
          <w:rFonts w:ascii="Aptos" w:hAnsi="Aptos" w:eastAsia="Aptos" w:cs="Aptos"/>
          <w:noProof w:val="0"/>
          <w:sz w:val="24"/>
          <w:szCs w:val="24"/>
          <w:lang w:val="lv-LV"/>
        </w:rPr>
        <w:t>ja projektā vai projekta daļā projekta dzīves cikla laikā būs radusies lielāka peļņa no pamatdarbības (neskaitot samērīgas peļņas daļu, kas atbilst tipiskai peļņai kultūras nozares attiecīgajā jomā Latvijas Republikā), nekā projektā plānots, projekta pārskata perioda (projekta dzīves cikla) beigās tiks atmaksāta starpību starp faktisko un plānoto peļņu no pamatdarbības.</w:t>
      </w:r>
    </w:p>
    <w:p w:rsidRPr="00CE082E" w:rsidR="00B70D36" w:rsidP="2A68F441" w:rsidRDefault="00B70D36" w14:paraId="68DA8DF0" w14:textId="77777777" w14:noSpellErr="1">
      <w:pPr>
        <w:spacing w:after="0" w:line="240" w:lineRule="auto"/>
        <w:jc w:val="both"/>
        <w:rPr>
          <w:rFonts w:ascii="Aptos" w:hAnsi="Aptos" w:eastAsia="Aptos" w:cs="Aptos"/>
          <w:kern w:val="2"/>
          <w:sz w:val="24"/>
          <w:szCs w:val="24"/>
          <w14:ligatures w14:val="standardContextual"/>
        </w:rPr>
      </w:pPr>
    </w:p>
    <w:p w:rsidRPr="00CE082E" w:rsidR="00CE082E" w:rsidP="2A68F441" w:rsidRDefault="00CE082E" w14:paraId="18ECB4DA" w14:textId="77777777" w14:noSpellErr="1">
      <w:pPr>
        <w:spacing w:after="0" w:line="240" w:lineRule="auto"/>
        <w:jc w:val="both"/>
        <w:rPr>
          <w:rFonts w:ascii="Aptos" w:hAnsi="Aptos" w:eastAsia="Aptos" w:cs="Aptos"/>
          <w:sz w:val="24"/>
          <w:szCs w:val="24"/>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386"/>
      </w:tblGrid>
      <w:tr w:rsidRPr="00CE082E" w:rsidR="00CE082E" w:rsidTr="2A68F441" w14:paraId="6AE05F94" w14:textId="77777777">
        <w:tc>
          <w:tcPr>
            <w:tcW w:w="2694" w:type="dxa"/>
            <w:tcMar/>
          </w:tcPr>
          <w:p w:rsidRPr="00CE082E" w:rsidR="00CE082E" w:rsidP="2A68F441" w:rsidRDefault="00CE082E" w14:paraId="4BE2C704" w14:textId="77777777" w14:noSpellErr="1">
            <w:pPr>
              <w:spacing w:before="240" w:after="240" w:line="240" w:lineRule="auto"/>
              <w:jc w:val="both"/>
              <w:rPr>
                <w:rFonts w:ascii="Aptos" w:hAnsi="Aptos" w:eastAsia="Aptos" w:cs="Aptos"/>
                <w:kern w:val="2"/>
                <w:sz w:val="24"/>
                <w:szCs w:val="24"/>
                <w14:ligatures w14:val="standardContextual"/>
              </w:rPr>
            </w:pPr>
            <w:r w:rsidRPr="2A68F441" w:rsidR="00CE082E">
              <w:rPr>
                <w:rFonts w:ascii="Aptos" w:hAnsi="Aptos" w:eastAsia="Aptos" w:cs="Aptos"/>
                <w:kern w:val="2"/>
                <w:sz w:val="24"/>
                <w:szCs w:val="24"/>
                <w14:ligatures w14:val="standardContextual"/>
              </w:rPr>
              <w:t>Sadarbības partnera pārstāvis:</w:t>
            </w:r>
          </w:p>
        </w:tc>
        <w:tc>
          <w:tcPr>
            <w:tcW w:w="5386" w:type="dxa"/>
            <w:tcBorders>
              <w:bottom w:val="single" w:color="auto" w:sz="4" w:space="0"/>
            </w:tcBorders>
            <w:tcMar/>
          </w:tcPr>
          <w:p w:rsidRPr="00CE082E" w:rsidR="00CE082E" w:rsidP="2A68F441" w:rsidRDefault="00CE082E" w14:paraId="55F9CAA8" w14:textId="77777777" w14:noSpellErr="1">
            <w:pPr>
              <w:spacing w:after="0" w:line="240" w:lineRule="auto"/>
              <w:jc w:val="both"/>
              <w:rPr>
                <w:rFonts w:ascii="Aptos" w:hAnsi="Aptos" w:eastAsia="Aptos" w:cs="Aptos"/>
                <w:kern w:val="2"/>
                <w:sz w:val="24"/>
                <w:szCs w:val="24"/>
                <w14:ligatures w14:val="standardContextual"/>
              </w:rPr>
            </w:pPr>
          </w:p>
        </w:tc>
      </w:tr>
      <w:tr w:rsidRPr="00CE082E" w:rsidR="00CE082E" w:rsidTr="2A68F441" w14:paraId="0959668F" w14:textId="77777777">
        <w:tc>
          <w:tcPr>
            <w:tcW w:w="2694" w:type="dxa"/>
            <w:tcMar/>
          </w:tcPr>
          <w:p w:rsidRPr="00CE082E" w:rsidR="00CE082E" w:rsidP="2A68F441" w:rsidRDefault="00CE082E" w14:paraId="3CBF94B8" w14:textId="77777777" w14:noSpellErr="1">
            <w:pPr>
              <w:spacing w:after="0" w:line="240" w:lineRule="auto"/>
              <w:jc w:val="both"/>
              <w:rPr>
                <w:rFonts w:ascii="Aptos" w:hAnsi="Aptos" w:eastAsia="Aptos" w:cs="Aptos"/>
                <w:kern w:val="2"/>
                <w:sz w:val="24"/>
                <w:szCs w:val="24"/>
                <w14:ligatures w14:val="standardContextual"/>
              </w:rPr>
            </w:pPr>
          </w:p>
        </w:tc>
        <w:tc>
          <w:tcPr>
            <w:tcW w:w="5386" w:type="dxa"/>
            <w:tcBorders>
              <w:top w:val="single" w:color="auto" w:sz="4" w:space="0"/>
            </w:tcBorders>
            <w:tcMar/>
          </w:tcPr>
          <w:p w:rsidRPr="00CE082E" w:rsidR="00CE082E" w:rsidP="2A68F441" w:rsidRDefault="00CE082E" w14:paraId="1CB93CAC" w14:textId="77777777" w14:noSpellErr="1">
            <w:pPr>
              <w:spacing w:after="0" w:line="240" w:lineRule="auto"/>
              <w:jc w:val="center"/>
              <w:rPr>
                <w:rFonts w:ascii="Aptos" w:hAnsi="Aptos" w:eastAsia="Aptos" w:cs="Aptos"/>
                <w:kern w:val="2"/>
                <w:sz w:val="24"/>
                <w:szCs w:val="24"/>
                <w14:ligatures w14:val="standardContextual"/>
              </w:rPr>
            </w:pPr>
            <w:r w:rsidRPr="2A68F441" w:rsidR="00CE082E">
              <w:rPr>
                <w:rFonts w:ascii="Aptos" w:hAnsi="Aptos" w:eastAsia="Aptos" w:cs="Aptos"/>
                <w:i w:val="1"/>
                <w:iCs w:val="1"/>
                <w:kern w:val="2"/>
                <w:sz w:val="24"/>
                <w:szCs w:val="24"/>
                <w14:ligatures w14:val="standardContextual"/>
              </w:rPr>
              <w:t>(paraksts, paraksta atšifrējums, parakstītāja amats</w:t>
            </w:r>
            <w:r w:rsidRPr="2A68F441" w:rsidR="00CE082E">
              <w:rPr>
                <w:rFonts w:ascii="Aptos" w:hAnsi="Aptos" w:eastAsia="Aptos" w:cs="Aptos"/>
                <w:i w:val="1"/>
                <w:iCs w:val="1"/>
                <w:kern w:val="2"/>
                <w:sz w:val="24"/>
                <w:szCs w:val="24"/>
                <w14:ligatures w14:val="standardContextual"/>
              </w:rPr>
              <w:t>)</w:t>
            </w:r>
          </w:p>
        </w:tc>
      </w:tr>
      <w:tr w:rsidRPr="00CE082E" w:rsidR="00CE082E" w:rsidTr="2A68F441" w14:paraId="1002119D" w14:textId="77777777">
        <w:tc>
          <w:tcPr>
            <w:tcW w:w="2694" w:type="dxa"/>
            <w:tcMar/>
          </w:tcPr>
          <w:p w:rsidRPr="00CE082E" w:rsidR="00CE082E" w:rsidP="2A68F441" w:rsidRDefault="00CE082E" w14:paraId="45C027C8" w14:textId="77777777" w14:noSpellErr="1">
            <w:pPr>
              <w:spacing w:before="240" w:after="240" w:line="240" w:lineRule="auto"/>
              <w:jc w:val="both"/>
              <w:rPr>
                <w:rFonts w:ascii="Aptos" w:hAnsi="Aptos" w:eastAsia="Aptos" w:cs="Aptos"/>
                <w:kern w:val="2"/>
                <w:sz w:val="24"/>
                <w:szCs w:val="24"/>
                <w14:ligatures w14:val="standardContextual"/>
              </w:rPr>
            </w:pPr>
            <w:r w:rsidRPr="2A68F441" w:rsidR="00CE082E">
              <w:rPr>
                <w:rFonts w:ascii="Aptos" w:hAnsi="Aptos" w:eastAsia="Aptos" w:cs="Aptos"/>
                <w:kern w:val="2"/>
                <w:sz w:val="24"/>
                <w:szCs w:val="24"/>
                <w14:ligatures w14:val="standardContextual"/>
              </w:rPr>
              <w:t>Paraksta datums:</w:t>
            </w:r>
          </w:p>
        </w:tc>
        <w:tc>
          <w:tcPr>
            <w:tcW w:w="5386" w:type="dxa"/>
            <w:tcBorders>
              <w:bottom w:val="single" w:color="auto" w:sz="4" w:space="0"/>
            </w:tcBorders>
            <w:tcMar/>
          </w:tcPr>
          <w:p w:rsidRPr="00CE082E" w:rsidR="00CE082E" w:rsidP="2A68F441" w:rsidRDefault="00CE082E" w14:paraId="77C30775" w14:textId="77777777" w14:noSpellErr="1">
            <w:pPr>
              <w:spacing w:after="0" w:line="240" w:lineRule="auto"/>
              <w:jc w:val="both"/>
              <w:rPr>
                <w:rFonts w:ascii="Aptos" w:hAnsi="Aptos" w:eastAsia="Aptos" w:cs="Aptos"/>
                <w:kern w:val="2"/>
                <w:sz w:val="24"/>
                <w:szCs w:val="24"/>
                <w14:ligatures w14:val="standardContextual"/>
              </w:rPr>
            </w:pPr>
          </w:p>
        </w:tc>
      </w:tr>
    </w:tbl>
    <w:p w:rsidRPr="00CE082E" w:rsidR="00CE082E" w:rsidP="2A68F441" w:rsidRDefault="00CE082E" w14:paraId="3A6A5C1F" w14:textId="77777777" w14:noSpellErr="1">
      <w:pPr>
        <w:spacing w:after="120" w:line="240" w:lineRule="auto"/>
        <w:jc w:val="both"/>
        <w:rPr>
          <w:rFonts w:ascii="Aptos" w:hAnsi="Aptos" w:eastAsia="Aptos" w:cs="Aptos"/>
          <w:b w:val="1"/>
          <w:bCs w:val="1"/>
          <w:i w:val="1"/>
          <w:iCs w:val="1"/>
          <w:sz w:val="24"/>
          <w:szCs w:val="24"/>
          <w:lang w:eastAsia="lv-LV"/>
        </w:rPr>
      </w:pPr>
    </w:p>
    <w:p w:rsidRPr="00CE082E" w:rsidR="00CE082E" w:rsidP="2A68F441" w:rsidRDefault="00CE082E" w14:paraId="1D5CF1EC" w14:textId="77777777" w14:noSpellErr="1">
      <w:pPr>
        <w:spacing w:after="0" w:line="240" w:lineRule="auto"/>
        <w:jc w:val="center"/>
        <w:textAlignment w:val="baseline"/>
        <w:rPr>
          <w:rFonts w:ascii="Aptos" w:hAnsi="Aptos" w:eastAsia="Aptos" w:cs="Aptos"/>
          <w:lang w:eastAsia="lv-LV"/>
        </w:rPr>
      </w:pPr>
    </w:p>
    <w:p w:rsidRPr="00CE082E" w:rsidR="00CE082E" w:rsidP="2A68F441" w:rsidRDefault="00CE082E" w14:paraId="11B9AA5A" w14:textId="77777777" w14:noSpellErr="1">
      <w:pPr>
        <w:spacing w:after="0" w:line="240" w:lineRule="auto"/>
        <w:jc w:val="center"/>
        <w:textAlignment w:val="baseline"/>
        <w:rPr>
          <w:rFonts w:ascii="Aptos" w:hAnsi="Aptos" w:eastAsia="Aptos" w:cs="Aptos"/>
          <w:lang w:eastAsia="lv-LV"/>
        </w:rPr>
      </w:pPr>
    </w:p>
    <w:p w:rsidRPr="00CE082E" w:rsidR="00CE082E" w:rsidP="2A68F441" w:rsidRDefault="00CE082E" w14:paraId="1AC8FA57" w14:textId="77777777" w14:noSpellErr="1">
      <w:pPr>
        <w:spacing w:after="0" w:line="240" w:lineRule="auto"/>
        <w:jc w:val="center"/>
        <w:textAlignment w:val="baseline"/>
        <w:rPr>
          <w:rFonts w:ascii="Aptos" w:hAnsi="Aptos" w:eastAsia="Aptos" w:cs="Aptos"/>
          <w:lang w:eastAsia="lv-LV"/>
        </w:rPr>
      </w:pPr>
    </w:p>
    <w:p w:rsidRPr="00CE082E" w:rsidR="00CE082E" w:rsidP="2A68F441" w:rsidRDefault="00CE082E" w14:paraId="2B38A590" w14:textId="77777777" w14:noSpellErr="1">
      <w:pPr>
        <w:spacing w:after="0" w:line="240" w:lineRule="auto"/>
        <w:jc w:val="center"/>
        <w:textAlignment w:val="baseline"/>
        <w:rPr>
          <w:rFonts w:ascii="Aptos" w:hAnsi="Aptos" w:eastAsia="Aptos" w:cs="Aptos"/>
          <w:lang w:eastAsia="lv-LV"/>
        </w:rPr>
      </w:pPr>
    </w:p>
    <w:p w:rsidRPr="00CE082E" w:rsidR="00CE082E" w:rsidP="2A68F441" w:rsidRDefault="00CE082E" w14:paraId="37344381" w14:textId="77777777" w14:noSpellErr="1">
      <w:pPr>
        <w:spacing w:after="0" w:line="240" w:lineRule="auto"/>
        <w:jc w:val="center"/>
        <w:textAlignment w:val="baseline"/>
        <w:rPr>
          <w:rFonts w:ascii="Aptos" w:hAnsi="Aptos" w:eastAsia="Aptos" w:cs="Aptos"/>
          <w:lang w:eastAsia="lv-LV"/>
        </w:rPr>
      </w:pPr>
    </w:p>
    <w:p w:rsidRPr="00CE082E" w:rsidR="00CE082E" w:rsidP="2A68F441" w:rsidRDefault="00CE082E" w14:paraId="6B0E7C8F" w14:textId="77777777" w14:noSpellErr="1">
      <w:pPr>
        <w:spacing w:after="0" w:line="240" w:lineRule="auto"/>
        <w:jc w:val="center"/>
        <w:textAlignment w:val="baseline"/>
        <w:rPr>
          <w:rFonts w:ascii="Aptos" w:hAnsi="Aptos" w:eastAsia="Aptos" w:cs="Aptos"/>
          <w:lang w:eastAsia="lv-LV"/>
        </w:rPr>
      </w:pPr>
    </w:p>
    <w:p w:rsidRPr="00CE082E" w:rsidR="00B70D36" w:rsidP="2A68F441" w:rsidRDefault="00CE082E" w14:paraId="7CAEACDF" w14:textId="0103953A" w14:noSpellErr="1">
      <w:pPr>
        <w:spacing w:after="120" w:line="240" w:lineRule="auto"/>
        <w:jc w:val="center"/>
        <w:rPr>
          <w:rFonts w:ascii="Aptos" w:hAnsi="Aptos" w:eastAsia="Aptos" w:cs="Aptos"/>
          <w:sz w:val="24"/>
          <w:szCs w:val="24"/>
        </w:rPr>
      </w:pPr>
      <w:r w:rsidRPr="2A68F441" w:rsidR="00CE082E">
        <w:rPr>
          <w:rFonts w:ascii="Aptos" w:hAnsi="Aptos" w:eastAsia="Aptos" w:cs="Aptos"/>
          <w:sz w:val="24"/>
          <w:szCs w:val="24"/>
          <w:shd w:val="clear" w:color="auto" w:fill="FFFFFF"/>
        </w:rPr>
        <w:t>Dokumenta rekvizītus “paraksts” un “datums” neaizpilda, ja elektroniskais dokuments ir noformēts atbilstoši elektronisko dokumentu noformēšanai normatīvajos aktos noteiktajām prasībām</w:t>
      </w:r>
    </w:p>
    <w:sectPr w:rsidRPr="00CE082E" w:rsidR="00B70D36" w:rsidSect="00947241">
      <w:headerReference w:type="default" r:id="rId11"/>
      <w:pgSz w:w="11906" w:h="16838" w:orient="portrait"/>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7241" w:rsidP="00152118" w:rsidRDefault="00947241" w14:paraId="6E825FB8" w14:textId="77777777">
      <w:pPr>
        <w:spacing w:after="0" w:line="240" w:lineRule="auto"/>
      </w:pPr>
      <w:r>
        <w:separator/>
      </w:r>
    </w:p>
  </w:endnote>
  <w:endnote w:type="continuationSeparator" w:id="0">
    <w:p w:rsidR="00947241" w:rsidP="00152118" w:rsidRDefault="00947241" w14:paraId="646578CC" w14:textId="77777777">
      <w:pPr>
        <w:spacing w:after="0" w:line="240" w:lineRule="auto"/>
      </w:pPr>
      <w:r>
        <w:continuationSeparator/>
      </w:r>
    </w:p>
  </w:endnote>
  <w:endnote w:type="continuationNotice" w:id="1">
    <w:p w:rsidR="00947241" w:rsidRDefault="00947241" w14:paraId="32D9DE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7241" w:rsidP="00152118" w:rsidRDefault="00947241" w14:paraId="0237AE43" w14:textId="77777777">
      <w:pPr>
        <w:spacing w:after="0" w:line="240" w:lineRule="auto"/>
      </w:pPr>
      <w:r>
        <w:separator/>
      </w:r>
    </w:p>
  </w:footnote>
  <w:footnote w:type="continuationSeparator" w:id="0">
    <w:p w:rsidR="00947241" w:rsidP="00152118" w:rsidRDefault="00947241" w14:paraId="7E5CA294" w14:textId="77777777">
      <w:pPr>
        <w:spacing w:after="0" w:line="240" w:lineRule="auto"/>
      </w:pPr>
      <w:r>
        <w:continuationSeparator/>
      </w:r>
    </w:p>
  </w:footnote>
  <w:footnote w:type="continuationNotice" w:id="1">
    <w:p w:rsidR="00947241" w:rsidRDefault="00947241" w14:paraId="27922BB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52118" w:rsidRDefault="00152118" w14:paraId="47CC9105" w14:textId="77777777">
    <w:pPr>
      <w:pStyle w:val="Header"/>
      <w:jc w:val="center"/>
    </w:pPr>
    <w:r>
      <w:fldChar w:fldCharType="begin"/>
    </w:r>
    <w:r>
      <w:instrText xml:space="preserve"> PAGE   \* MERGEFORMAT </w:instrText>
    </w:r>
    <w:r>
      <w:fldChar w:fldCharType="separate"/>
    </w:r>
    <w:r w:rsidR="00240DB5">
      <w:rPr>
        <w:noProof/>
      </w:rPr>
      <w:t>2</w:t>
    </w:r>
    <w:r>
      <w:rPr>
        <w:noProof/>
      </w:rPr>
      <w:fldChar w:fldCharType="end"/>
    </w:r>
  </w:p>
  <w:p w:rsidR="00152118" w:rsidRDefault="00152118" w14:paraId="0DE441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4204"/>
    <w:multiLevelType w:val="hybridMultilevel"/>
    <w:tmpl w:val="CF685B92"/>
    <w:lvl w:ilvl="0" w:tplc="6FB2911C">
      <w:numFmt w:val="bullet"/>
      <w:lvlText w:val="-"/>
      <w:lvlJc w:val="left"/>
      <w:pPr>
        <w:ind w:left="720" w:hanging="360"/>
      </w:pPr>
      <w:rPr>
        <w:rFonts w:hint="default" w:ascii="Times New Roman" w:hAnsi="Times New Roman" w:eastAsia="Times New Roman" w:cs="Times New Roman"/>
        <w:color w:val="auto"/>
      </w:rPr>
    </w:lvl>
    <w:lvl w:ilvl="1" w:tplc="04260017">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B30D5B"/>
    <w:multiLevelType w:val="hybridMultilevel"/>
    <w:tmpl w:val="DABC22A8"/>
    <w:lvl w:ilvl="0" w:tplc="786E9A52">
      <w:start w:val="2"/>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num w:numId="1" w16cid:durableId="363748354">
    <w:abstractNumId w:val="0"/>
  </w:num>
  <w:num w:numId="2" w16cid:durableId="38614881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0622D"/>
    <w:rsid w:val="0000646D"/>
    <w:rsid w:val="0001134A"/>
    <w:rsid w:val="000313CF"/>
    <w:rsid w:val="00044EB9"/>
    <w:rsid w:val="0004734F"/>
    <w:rsid w:val="00065994"/>
    <w:rsid w:val="00087BE8"/>
    <w:rsid w:val="000939EE"/>
    <w:rsid w:val="00094E6B"/>
    <w:rsid w:val="000954CC"/>
    <w:rsid w:val="000A2E25"/>
    <w:rsid w:val="000A6510"/>
    <w:rsid w:val="000C55E3"/>
    <w:rsid w:val="000D307D"/>
    <w:rsid w:val="000E36E4"/>
    <w:rsid w:val="000F040F"/>
    <w:rsid w:val="000F5123"/>
    <w:rsid w:val="00112FE8"/>
    <w:rsid w:val="00122754"/>
    <w:rsid w:val="00127B20"/>
    <w:rsid w:val="00152118"/>
    <w:rsid w:val="001D413D"/>
    <w:rsid w:val="001E6E1D"/>
    <w:rsid w:val="001E78A2"/>
    <w:rsid w:val="001F6061"/>
    <w:rsid w:val="00213BDE"/>
    <w:rsid w:val="0022715E"/>
    <w:rsid w:val="00227EA2"/>
    <w:rsid w:val="002336A3"/>
    <w:rsid w:val="002368DB"/>
    <w:rsid w:val="0023786A"/>
    <w:rsid w:val="00240DB5"/>
    <w:rsid w:val="002622BB"/>
    <w:rsid w:val="00276CFA"/>
    <w:rsid w:val="0027769B"/>
    <w:rsid w:val="00280935"/>
    <w:rsid w:val="002A7E2E"/>
    <w:rsid w:val="002B0E4F"/>
    <w:rsid w:val="002C0EA7"/>
    <w:rsid w:val="002C12AD"/>
    <w:rsid w:val="002C3470"/>
    <w:rsid w:val="002D6E98"/>
    <w:rsid w:val="002E0EBB"/>
    <w:rsid w:val="002E7734"/>
    <w:rsid w:val="002F51E7"/>
    <w:rsid w:val="00322D4C"/>
    <w:rsid w:val="00352F33"/>
    <w:rsid w:val="003557F3"/>
    <w:rsid w:val="00360978"/>
    <w:rsid w:val="0037170A"/>
    <w:rsid w:val="003B1300"/>
    <w:rsid w:val="003E085C"/>
    <w:rsid w:val="003F1ECA"/>
    <w:rsid w:val="003F64A2"/>
    <w:rsid w:val="0040341B"/>
    <w:rsid w:val="0041426A"/>
    <w:rsid w:val="00421A56"/>
    <w:rsid w:val="00444B94"/>
    <w:rsid w:val="00453963"/>
    <w:rsid w:val="004B35BB"/>
    <w:rsid w:val="004B447B"/>
    <w:rsid w:val="004C32C4"/>
    <w:rsid w:val="004D428B"/>
    <w:rsid w:val="004E45EA"/>
    <w:rsid w:val="004F2A96"/>
    <w:rsid w:val="004F38C0"/>
    <w:rsid w:val="004F6A41"/>
    <w:rsid w:val="00532DE1"/>
    <w:rsid w:val="00535D9B"/>
    <w:rsid w:val="0055095D"/>
    <w:rsid w:val="005914B0"/>
    <w:rsid w:val="00594640"/>
    <w:rsid w:val="005A06C7"/>
    <w:rsid w:val="005B7ED8"/>
    <w:rsid w:val="005C0953"/>
    <w:rsid w:val="005C3EE4"/>
    <w:rsid w:val="005C4965"/>
    <w:rsid w:val="005C7A24"/>
    <w:rsid w:val="005E60E5"/>
    <w:rsid w:val="0060057E"/>
    <w:rsid w:val="0061733F"/>
    <w:rsid w:val="00663BB2"/>
    <w:rsid w:val="006805AB"/>
    <w:rsid w:val="006A5113"/>
    <w:rsid w:val="006C1EAC"/>
    <w:rsid w:val="006C34AF"/>
    <w:rsid w:val="006E2B40"/>
    <w:rsid w:val="00711E68"/>
    <w:rsid w:val="0072485F"/>
    <w:rsid w:val="00726C31"/>
    <w:rsid w:val="007317FA"/>
    <w:rsid w:val="007A243A"/>
    <w:rsid w:val="007C4C6B"/>
    <w:rsid w:val="007F6596"/>
    <w:rsid w:val="00801BF3"/>
    <w:rsid w:val="00811215"/>
    <w:rsid w:val="00831311"/>
    <w:rsid w:val="00866D9E"/>
    <w:rsid w:val="0088197C"/>
    <w:rsid w:val="00891FFC"/>
    <w:rsid w:val="008A2C86"/>
    <w:rsid w:val="008C3857"/>
    <w:rsid w:val="008D50B3"/>
    <w:rsid w:val="008E69A9"/>
    <w:rsid w:val="0090012C"/>
    <w:rsid w:val="009073CD"/>
    <w:rsid w:val="0091388C"/>
    <w:rsid w:val="00917638"/>
    <w:rsid w:val="00920724"/>
    <w:rsid w:val="009279A2"/>
    <w:rsid w:val="0093668F"/>
    <w:rsid w:val="00945089"/>
    <w:rsid w:val="0094647F"/>
    <w:rsid w:val="00947241"/>
    <w:rsid w:val="00983A18"/>
    <w:rsid w:val="00995608"/>
    <w:rsid w:val="009A36EB"/>
    <w:rsid w:val="009B4479"/>
    <w:rsid w:val="009B574E"/>
    <w:rsid w:val="009D37AB"/>
    <w:rsid w:val="009E1712"/>
    <w:rsid w:val="009E7057"/>
    <w:rsid w:val="009F1DC5"/>
    <w:rsid w:val="009F2C58"/>
    <w:rsid w:val="009F5E24"/>
    <w:rsid w:val="00A11DD4"/>
    <w:rsid w:val="00A22027"/>
    <w:rsid w:val="00A23A1D"/>
    <w:rsid w:val="00A27F46"/>
    <w:rsid w:val="00A355B0"/>
    <w:rsid w:val="00A3661F"/>
    <w:rsid w:val="00A40087"/>
    <w:rsid w:val="00A50D5D"/>
    <w:rsid w:val="00A57112"/>
    <w:rsid w:val="00A671B4"/>
    <w:rsid w:val="00A779F3"/>
    <w:rsid w:val="00A872FA"/>
    <w:rsid w:val="00A93695"/>
    <w:rsid w:val="00AF7681"/>
    <w:rsid w:val="00B06ECE"/>
    <w:rsid w:val="00B111C4"/>
    <w:rsid w:val="00B11DF4"/>
    <w:rsid w:val="00B14F45"/>
    <w:rsid w:val="00B23537"/>
    <w:rsid w:val="00B24A1D"/>
    <w:rsid w:val="00B46DC4"/>
    <w:rsid w:val="00B70D36"/>
    <w:rsid w:val="00B7337F"/>
    <w:rsid w:val="00B8310B"/>
    <w:rsid w:val="00BB170C"/>
    <w:rsid w:val="00BD2AFE"/>
    <w:rsid w:val="00BF0D89"/>
    <w:rsid w:val="00BF5CDE"/>
    <w:rsid w:val="00C11B2D"/>
    <w:rsid w:val="00C207D4"/>
    <w:rsid w:val="00C31FC1"/>
    <w:rsid w:val="00C4126A"/>
    <w:rsid w:val="00C64EED"/>
    <w:rsid w:val="00C67A9D"/>
    <w:rsid w:val="00C67BC8"/>
    <w:rsid w:val="00C67CDA"/>
    <w:rsid w:val="00C7149B"/>
    <w:rsid w:val="00C90FE6"/>
    <w:rsid w:val="00CB179A"/>
    <w:rsid w:val="00CC7C1E"/>
    <w:rsid w:val="00CD48BB"/>
    <w:rsid w:val="00CD73E8"/>
    <w:rsid w:val="00CE082E"/>
    <w:rsid w:val="00CE3526"/>
    <w:rsid w:val="00CE4194"/>
    <w:rsid w:val="00CE7881"/>
    <w:rsid w:val="00D0074B"/>
    <w:rsid w:val="00D07243"/>
    <w:rsid w:val="00D16164"/>
    <w:rsid w:val="00D23480"/>
    <w:rsid w:val="00D26777"/>
    <w:rsid w:val="00D5355C"/>
    <w:rsid w:val="00D563AA"/>
    <w:rsid w:val="00D63784"/>
    <w:rsid w:val="00D67F93"/>
    <w:rsid w:val="00D71628"/>
    <w:rsid w:val="00D77158"/>
    <w:rsid w:val="00D8518F"/>
    <w:rsid w:val="00D859F3"/>
    <w:rsid w:val="00DA31F8"/>
    <w:rsid w:val="00DB4F12"/>
    <w:rsid w:val="00DD67D4"/>
    <w:rsid w:val="00E07680"/>
    <w:rsid w:val="00E11E26"/>
    <w:rsid w:val="00E417E7"/>
    <w:rsid w:val="00E43E82"/>
    <w:rsid w:val="00E46A12"/>
    <w:rsid w:val="00E53418"/>
    <w:rsid w:val="00E650BF"/>
    <w:rsid w:val="00E71E8F"/>
    <w:rsid w:val="00E80E33"/>
    <w:rsid w:val="00E84F50"/>
    <w:rsid w:val="00E85815"/>
    <w:rsid w:val="00E91E3D"/>
    <w:rsid w:val="00E92DC9"/>
    <w:rsid w:val="00E9694F"/>
    <w:rsid w:val="00EB5AFB"/>
    <w:rsid w:val="00EB79A3"/>
    <w:rsid w:val="00EC5D65"/>
    <w:rsid w:val="00EF0971"/>
    <w:rsid w:val="00EF25F5"/>
    <w:rsid w:val="00EF3BBD"/>
    <w:rsid w:val="00F02383"/>
    <w:rsid w:val="00F2431F"/>
    <w:rsid w:val="00F2480B"/>
    <w:rsid w:val="00F3186B"/>
    <w:rsid w:val="00F404A5"/>
    <w:rsid w:val="00F4369C"/>
    <w:rsid w:val="00FA64D0"/>
    <w:rsid w:val="00FF0963"/>
    <w:rsid w:val="00FF5F5E"/>
    <w:rsid w:val="027357BB"/>
    <w:rsid w:val="02842BDC"/>
    <w:rsid w:val="031D9641"/>
    <w:rsid w:val="076E0D0B"/>
    <w:rsid w:val="07F6C3D2"/>
    <w:rsid w:val="0E529512"/>
    <w:rsid w:val="21A91360"/>
    <w:rsid w:val="24BA0DA4"/>
    <w:rsid w:val="2565B46B"/>
    <w:rsid w:val="2A68F441"/>
    <w:rsid w:val="40E4A510"/>
    <w:rsid w:val="439AD97D"/>
    <w:rsid w:val="44C63ACB"/>
    <w:rsid w:val="45691CDA"/>
    <w:rsid w:val="457AFFD7"/>
    <w:rsid w:val="47A0CEE4"/>
    <w:rsid w:val="4A39C122"/>
    <w:rsid w:val="4F8204EE"/>
    <w:rsid w:val="50F272CB"/>
    <w:rsid w:val="5FCBCA11"/>
    <w:rsid w:val="65F9A139"/>
    <w:rsid w:val="6988C097"/>
    <w:rsid w:val="7F19821E"/>
    <w:rsid w:val="7F42E6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CEE33A"/>
  <w15:chartTrackingRefBased/>
  <w15:docId w15:val="{40AF1E59-053A-4B01-A80D-506B5AEBE1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lang w:val="x-none" w:eastAsia="x-none"/>
    </w:rPr>
  </w:style>
  <w:style w:type="character" w:styleId="CommentTextChar" w:customStyle="1">
    <w:name w:val="Comment Text Char"/>
    <w:link w:val="CommentText"/>
    <w:uiPriority w:val="99"/>
    <w:rsid w:val="00E85815"/>
    <w:rPr>
      <w:rFonts w:ascii="Calibri" w:hAnsi="Calibri" w:eastAsia="ヒラギノ角ゴ Pro W3"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styleId="HeaderChar" w:customStyle="1">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styleId="FooterChar" w:customStyle="1">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hAnsi="Times New Roman" w:eastAsia="Times New Roman"/>
      <w:sz w:val="20"/>
      <w:szCs w:val="20"/>
      <w:lang w:val="x-none" w:eastAsia="lv-LV"/>
    </w:rPr>
  </w:style>
  <w:style w:type="character" w:styleId="EndnoteTextChar" w:customStyle="1">
    <w:name w:val="Endnote Text Char"/>
    <w:link w:val="EndnoteText"/>
    <w:uiPriority w:val="99"/>
    <w:semiHidden/>
    <w:rsid w:val="00B70D36"/>
    <w:rPr>
      <w:rFonts w:ascii="Times New Roman" w:hAnsi="Times New Roman" w:eastAsia="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A355B0"/>
    <w:rPr>
      <w:sz w:val="20"/>
      <w:szCs w:val="20"/>
      <w:lang w:val="x-none"/>
    </w:rPr>
  </w:style>
  <w:style w:type="character" w:styleId="FootnoteTextChar" w:customStyle="1">
    <w:name w:val="Footnote Text Char"/>
    <w:link w:val="FootnoteText"/>
    <w:uiPriority w:val="99"/>
    <w:semiHidden/>
    <w:rsid w:val="00A355B0"/>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355B0"/>
    <w:rPr>
      <w:vertAlign w:val="superscript"/>
    </w:rPr>
  </w:style>
  <w:style w:type="character" w:styleId="normaltextrun" w:customStyle="1">
    <w:name w:val="normaltextrun"/>
    <w:basedOn w:val="DefaultParagraphFont"/>
    <w:rsid w:val="003557F3"/>
  </w:style>
  <w:style w:type="paragraph" w:styleId="Revision">
    <w:name w:val="Revision"/>
    <w:hidden/>
    <w:uiPriority w:val="99"/>
    <w:semiHidden/>
    <w:rsid w:val="005C4965"/>
    <w:rPr>
      <w:sz w:val="22"/>
      <w:szCs w:val="22"/>
      <w:lang w:eastAsia="en-US"/>
    </w:rPr>
  </w:style>
  <w:style w:type="paragraph" w:styleId="CommentSubject">
    <w:name w:val="annotation subject"/>
    <w:basedOn w:val="CommentText"/>
    <w:next w:val="CommentText"/>
    <w:link w:val="CommentSubjectChar"/>
    <w:uiPriority w:val="99"/>
    <w:semiHidden/>
    <w:unhideWhenUsed/>
    <w:rsid w:val="00276CFA"/>
    <w:pPr>
      <w:spacing w:line="240" w:lineRule="auto"/>
    </w:pPr>
    <w:rPr>
      <w:rFonts w:eastAsia="Calibri"/>
      <w:b/>
      <w:bCs/>
      <w:color w:val="auto"/>
      <w:lang w:val="lv-LV" w:eastAsia="en-US"/>
    </w:rPr>
  </w:style>
  <w:style w:type="character" w:styleId="CommentSubjectChar" w:customStyle="1">
    <w:name w:val="Comment Subject Char"/>
    <w:basedOn w:val="CommentTextChar"/>
    <w:link w:val="CommentSubject"/>
    <w:uiPriority w:val="99"/>
    <w:semiHidden/>
    <w:rsid w:val="00276CFA"/>
    <w:rPr>
      <w:rFonts w:ascii="Calibri" w:hAnsi="Calibri" w:eastAsia="ヒラギノ角ゴ Pro W3" w:cs="Times New Roman"/>
      <w:b/>
      <w:bCs/>
      <w:color w:val="000000"/>
      <w:sz w:val="20"/>
      <w:szCs w:val="20"/>
      <w:lang w:eastAsia="en-US"/>
    </w:rPr>
  </w:style>
  <w:style w:type="paragraph" w:styleId="CharCharCharChar" w:customStyle="1">
    <w:name w:val="Char Char Char Char"/>
    <w:aliases w:val="Char2"/>
    <w:basedOn w:val="Normal"/>
    <w:next w:val="Normal"/>
    <w:link w:val="FootnoteReference"/>
    <w:uiPriority w:val="99"/>
    <w:rsid w:val="00E53418"/>
    <w:pPr>
      <w:spacing w:after="160" w:line="240" w:lineRule="exact"/>
      <w:jc w:val="both"/>
      <w:textAlignment w:val="baseline"/>
    </w:pPr>
    <w:rPr>
      <w:sz w:val="20"/>
      <w:szCs w:val="20"/>
      <w:vertAlign w:val="superscript"/>
      <w:lang w:eastAsia="lv-LV"/>
    </w:rPr>
  </w:style>
  <w:style w:type="table" w:styleId="TableGrid1" w:customStyle="1">
    <w:name w:val="Table Grid1"/>
    <w:basedOn w:val="TableNormal"/>
    <w:next w:val="TableGrid"/>
    <w:uiPriority w:val="59"/>
    <w:rsid w:val="00E534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E534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eur-lex.europa.eu/legal-content/LV/TXT/PDF/?uri=CELEX:32014R0651&amp;from=LV" TargetMode="External" Id="R3ee4993f87ed4ffe" /><Relationship Type="http://schemas.openxmlformats.org/officeDocument/2006/relationships/hyperlink" Target="https://eur-lex.europa.eu/legal-content/LV/TXT/?uri=CELEX:32014R0651" TargetMode="External" Id="Rb72394e9811e44ce" /><Relationship Type="http://schemas.openxmlformats.org/officeDocument/2006/relationships/hyperlink" Target="https://eur-lex.europa.eu/legal-content/LV/TXT/?uri=CELEX:32014R0651" TargetMode="External" Id="R662338fcbb824beb" /><Relationship Type="http://schemas.openxmlformats.org/officeDocument/2006/relationships/hyperlink" Target="https://eur-lex.europa.eu/legal-content/LV/TXT/?uri=CELEX:32014R0651" TargetMode="External" Id="R49348c305eee49b1" /><Relationship Type="http://schemas.openxmlformats.org/officeDocument/2006/relationships/hyperlink" Target="https://eur-lex.europa.eu/legal-content/LV/TXT/?uri=CELEX:32014R0651" TargetMode="External" Id="R545c8b6829714d21" /><Relationship Type="http://schemas.openxmlformats.org/officeDocument/2006/relationships/hyperlink" Target="https://eur-lex.europa.eu/legal-content/LV/TXT/?uri=CELEX:32014R0651" TargetMode="External" Id="R5cf74bfbee124c92" /><Relationship Type="http://schemas.openxmlformats.org/officeDocument/2006/relationships/hyperlink" Target="https://eur-lex.europa.eu/legal-content/LV/TXT/?uri=CELEX:32014R0651" TargetMode="External" Id="R3491604abc1e4f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62C05-2167-44E2-97BF-A3D5CA3266B2}">
  <ds:schemaRefs>
    <ds:schemaRef ds:uri="http://schemas.openxmlformats.org/package/2006/metadata/core-properties"/>
    <ds:schemaRef ds:uri="25a75a1d-8b78-49a6-8e4b-dbe94589a28d"/>
    <ds:schemaRef ds:uri="42144e59-5907-413f-b624-803f3a022d9b"/>
    <ds:schemaRef ds:uri="http://www.w3.org/XML/1998/namespace"/>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1ACDE2E7-4FC0-4214-9EB6-B81C5D8923E0}"/>
</file>

<file path=customXml/itemProps3.xml><?xml version="1.0" encoding="utf-8"?>
<ds:datastoreItem xmlns:ds="http://schemas.openxmlformats.org/officeDocument/2006/customXml" ds:itemID="{FD60F9D3-53D7-4372-822B-C86F87AB9CA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Jānis Pērkons</cp:lastModifiedBy>
  <cp:revision>102</cp:revision>
  <dcterms:created xsi:type="dcterms:W3CDTF">2023-11-06T07:04:00Z</dcterms:created>
  <dcterms:modified xsi:type="dcterms:W3CDTF">2025-06-05T11:37:43Z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