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0290F63F" w:rsidR="00DC7BD0" w:rsidRDefault="1229A206" w:rsidP="00EF5145">
      <w:pPr>
        <w:jc w:val="right"/>
        <w:rPr>
          <w:rFonts w:eastAsia="Times New Roman"/>
        </w:rPr>
      </w:pPr>
      <w:r w:rsidRPr="3608B38D">
        <w:rPr>
          <w:rFonts w:eastAsia="Times New Roman"/>
        </w:rPr>
        <w:t>2.</w:t>
      </w:r>
      <w:r w:rsidR="6E62283A" w:rsidRPr="3608B38D">
        <w:rPr>
          <w:rFonts w:eastAsia="Times New Roman"/>
        </w:rPr>
        <w:t xml:space="preserve"> pielikums</w:t>
      </w:r>
    </w:p>
    <w:p w14:paraId="4B8DC3D9" w14:textId="53061244" w:rsidR="5A905C3F" w:rsidRDefault="6E62283A" w:rsidP="00EF5145">
      <w:pPr>
        <w:jc w:val="right"/>
        <w:rPr>
          <w:rFonts w:eastAsia="Times New Roman"/>
        </w:rPr>
      </w:pPr>
      <w:r w:rsidRPr="3608B38D">
        <w:rPr>
          <w:rFonts w:eastAsia="Times New Roman"/>
        </w:rPr>
        <w:t>projekt</w:t>
      </w:r>
      <w:r w:rsidR="7472CE7C" w:rsidRPr="3608B38D">
        <w:rPr>
          <w:rFonts w:eastAsia="Times New Roman"/>
        </w:rPr>
        <w:t>u</w:t>
      </w:r>
      <w:r w:rsidRPr="3608B38D">
        <w:rPr>
          <w:rFonts w:eastAsia="Times New Roman"/>
        </w:rPr>
        <w:t xml:space="preserve"> iesniegum</w:t>
      </w:r>
      <w:r w:rsidR="7472CE7C" w:rsidRPr="3608B38D">
        <w:rPr>
          <w:rFonts w:eastAsia="Times New Roman"/>
        </w:rPr>
        <w:t>u atlases nolikumam</w:t>
      </w:r>
    </w:p>
    <w:p w14:paraId="46727129" w14:textId="69FE729B" w:rsidR="550CF028" w:rsidRDefault="550CF028" w:rsidP="550CF028">
      <w:pPr>
        <w:rPr>
          <w:rFonts w:ascii="Times New Roman" w:eastAsia="Times New Roman" w:hAnsi="Times New Roman" w:cs="Times New Roman"/>
        </w:rPr>
      </w:pPr>
    </w:p>
    <w:p w14:paraId="22C33826" w14:textId="69FE729B" w:rsidR="550CF028" w:rsidRDefault="550CF028" w:rsidP="550CF028">
      <w:pPr>
        <w:rPr>
          <w:rFonts w:ascii="Times New Roman" w:eastAsia="Times New Roman" w:hAnsi="Times New Roman" w:cs="Times New Roman"/>
        </w:rPr>
      </w:pPr>
    </w:p>
    <w:p w14:paraId="2373DE11" w14:textId="466FCE85" w:rsidR="3608B38D" w:rsidRDefault="3608B38D" w:rsidP="3608B38D">
      <w:pPr>
        <w:jc w:val="center"/>
        <w:rPr>
          <w:rFonts w:ascii="Times New Roman" w:eastAsia="Times New Roman" w:hAnsi="Times New Roman" w:cs="Times New Roman"/>
          <w:b/>
          <w:bCs/>
          <w:sz w:val="28"/>
          <w:szCs w:val="28"/>
        </w:rPr>
      </w:pPr>
    </w:p>
    <w:p w14:paraId="392DD71A" w14:textId="1D250F2C" w:rsidR="5A905C3F" w:rsidRDefault="000C0205" w:rsidP="3608B38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Projekta </w:t>
      </w:r>
      <w:r w:rsidR="00072669">
        <w:rPr>
          <w:rFonts w:ascii="Times New Roman" w:eastAsia="Times New Roman" w:hAnsi="Times New Roman" w:cs="Times New Roman"/>
          <w:b/>
          <w:bCs/>
          <w:sz w:val="28"/>
          <w:szCs w:val="28"/>
        </w:rPr>
        <w:t xml:space="preserve">darbību </w:t>
      </w:r>
      <w:r w:rsidR="6E62283A" w:rsidRPr="3608B38D">
        <w:rPr>
          <w:rFonts w:ascii="Times New Roman" w:eastAsia="Times New Roman" w:hAnsi="Times New Roman" w:cs="Times New Roman"/>
          <w:b/>
          <w:bCs/>
          <w:sz w:val="28"/>
          <w:szCs w:val="28"/>
        </w:rPr>
        <w:t>aprakst</w:t>
      </w:r>
      <w:r w:rsidR="00BF5EB9">
        <w:rPr>
          <w:rFonts w:ascii="Times New Roman" w:eastAsia="Times New Roman" w:hAnsi="Times New Roman" w:cs="Times New Roman"/>
          <w:b/>
          <w:bCs/>
          <w:sz w:val="28"/>
          <w:szCs w:val="28"/>
        </w:rPr>
        <w:t>s.</w:t>
      </w:r>
    </w:p>
    <w:p w14:paraId="6A918FE4" w14:textId="69FE729B" w:rsidR="550CF028" w:rsidRDefault="550CF028" w:rsidP="00EF5145">
      <w:pPr>
        <w:rPr>
          <w:rFonts w:eastAsia="Times New Roman"/>
        </w:rPr>
      </w:pPr>
    </w:p>
    <w:p w14:paraId="7466AE88" w14:textId="0258D1A7" w:rsidR="3608B38D" w:rsidRDefault="3608B38D" w:rsidP="3608B38D">
      <w:pPr>
        <w:rPr>
          <w:rFonts w:eastAsia="Times New Roman"/>
        </w:rPr>
      </w:pPr>
    </w:p>
    <w:p w14:paraId="612833C6" w14:textId="22959832" w:rsidR="00350BD8" w:rsidRDefault="6E62283A" w:rsidP="00F65716">
      <w:pPr>
        <w:pStyle w:val="NoSpacing"/>
        <w:rPr>
          <w:rFonts w:eastAsia="Times New Roman"/>
        </w:rPr>
      </w:pPr>
      <w:r w:rsidRPr="3608B38D">
        <w:rPr>
          <w:rFonts w:eastAsia="Times New Roman"/>
        </w:rPr>
        <w:t>Dokumentā sniegto informāciju projekta iesniegumā n</w:t>
      </w:r>
      <w:r w:rsidR="34CCAE10" w:rsidRPr="3608B38D">
        <w:rPr>
          <w:rFonts w:eastAsia="Times New Roman"/>
        </w:rPr>
        <w:t>eatkārto</w:t>
      </w:r>
      <w:r w:rsidRPr="3608B38D">
        <w:rPr>
          <w:rFonts w:eastAsia="Times New Roman"/>
        </w:rPr>
        <w:t>. Ja nepieciešams, projekta iesniegumā norāda atsauci uz konkrēto dokumenta sadaļu.</w:t>
      </w:r>
    </w:p>
    <w:p w14:paraId="427C648F" w14:textId="77777777" w:rsidR="001657DF" w:rsidRDefault="001657DF" w:rsidP="00F65716">
      <w:pPr>
        <w:pStyle w:val="NoSpacing"/>
        <w:rPr>
          <w:rFonts w:eastAsia="Times New Roman"/>
        </w:rPr>
      </w:pPr>
    </w:p>
    <w:p w14:paraId="2FE16600" w14:textId="74F52D0F" w:rsidR="001657DF" w:rsidRPr="001657DF" w:rsidRDefault="001657DF" w:rsidP="001657DF">
      <w:pPr>
        <w:rPr>
          <w:b/>
          <w:bCs/>
        </w:rPr>
      </w:pPr>
      <w:r w:rsidRPr="001657DF">
        <w:rPr>
          <w:b/>
          <w:bCs/>
        </w:rPr>
        <w:t>Saturs</w:t>
      </w:r>
    </w:p>
    <w:p w14:paraId="4EBD5FA3" w14:textId="4EEC40D9" w:rsidR="002A11A3" w:rsidRPr="00D91B85" w:rsidRDefault="00D91B85" w:rsidP="002F47B6">
      <w:pPr>
        <w:pStyle w:val="ListParagraph"/>
        <w:numPr>
          <w:ilvl w:val="0"/>
          <w:numId w:val="4"/>
        </w:numPr>
      </w:pPr>
      <w:r w:rsidRPr="00D91B85">
        <w:t>Projekta darbību apraksts un to atbilstība atkritumu apsaimniekošanas reģionālajam plānam;</w:t>
      </w:r>
    </w:p>
    <w:p w14:paraId="0E34C4A9" w14:textId="43BDAEB5" w:rsidR="007E4B19" w:rsidRDefault="001657DF" w:rsidP="007E4B19">
      <w:pPr>
        <w:pStyle w:val="ListParagraph"/>
        <w:numPr>
          <w:ilvl w:val="0"/>
          <w:numId w:val="4"/>
        </w:numPr>
      </w:pPr>
      <w:r w:rsidRPr="001657DF">
        <w:t xml:space="preserve">Apsaimniekojamo atkritumu pieejamības un pastāvīgs plūsmas nodrošinājuma </w:t>
      </w:r>
      <w:r w:rsidRPr="00D91B85">
        <w:t>apraksts;</w:t>
      </w:r>
    </w:p>
    <w:p w14:paraId="708D2E0A" w14:textId="2FBDC516" w:rsidR="00101F31" w:rsidRPr="00D91B85" w:rsidRDefault="001657DF" w:rsidP="00CB4667">
      <w:pPr>
        <w:pStyle w:val="ListParagraph"/>
        <w:numPr>
          <w:ilvl w:val="0"/>
          <w:numId w:val="4"/>
        </w:numPr>
      </w:pPr>
      <w:r w:rsidRPr="00D91B85">
        <w:t>Horizontāl</w:t>
      </w:r>
      <w:r w:rsidR="006B0D27">
        <w:t>ais</w:t>
      </w:r>
      <w:r w:rsidRPr="00D91B85">
        <w:t xml:space="preserve"> princip</w:t>
      </w:r>
      <w:r w:rsidR="006B0D27">
        <w:t>s</w:t>
      </w:r>
      <w:r w:rsidRPr="00D91B85">
        <w:t xml:space="preserve"> “Klimatdrošināšana”</w:t>
      </w:r>
      <w:r w:rsidR="00C17D97">
        <w:t>;</w:t>
      </w:r>
    </w:p>
    <w:p w14:paraId="7E1C9D80" w14:textId="6FB8E1D9" w:rsidR="3608B38D" w:rsidRPr="00BF5EB9" w:rsidRDefault="00AD383B" w:rsidP="3608B38D">
      <w:pPr>
        <w:pStyle w:val="ListParagraph"/>
        <w:numPr>
          <w:ilvl w:val="0"/>
          <w:numId w:val="4"/>
        </w:numPr>
        <w:rPr>
          <w:rFonts w:eastAsia="Times New Roman"/>
        </w:rPr>
      </w:pPr>
      <w:r w:rsidRPr="00BF5EB9">
        <w:rPr>
          <w:color w:val="000000" w:themeColor="text1"/>
        </w:rPr>
        <w:t>Horizontāl</w:t>
      </w:r>
      <w:r w:rsidR="00BF5EB9" w:rsidRPr="00BF5EB9">
        <w:rPr>
          <w:color w:val="000000" w:themeColor="text1"/>
        </w:rPr>
        <w:t>ais</w:t>
      </w:r>
      <w:r w:rsidRPr="00BF5EB9">
        <w:rPr>
          <w:color w:val="000000" w:themeColor="text1"/>
        </w:rPr>
        <w:t xml:space="preserve"> princip</w:t>
      </w:r>
      <w:r w:rsidR="00BF5EB9" w:rsidRPr="00BF5EB9">
        <w:rPr>
          <w:color w:val="000000" w:themeColor="text1"/>
        </w:rPr>
        <w:t>s</w:t>
      </w:r>
      <w:r w:rsidRPr="00BF5EB9">
        <w:rPr>
          <w:color w:val="000000" w:themeColor="text1"/>
        </w:rPr>
        <w:t xml:space="preserve"> “</w:t>
      </w:r>
      <w:r w:rsidR="006D5FBC" w:rsidRPr="00BF5EB9">
        <w:rPr>
          <w:color w:val="000000" w:themeColor="text1"/>
        </w:rPr>
        <w:t>Energoefektivitāte pirmajā vietā</w:t>
      </w:r>
      <w:r w:rsidRPr="00BF5EB9">
        <w:rPr>
          <w:color w:val="000000" w:themeColor="text1"/>
        </w:rPr>
        <w:t>”</w:t>
      </w:r>
      <w:r w:rsidR="00BF5EB9">
        <w:rPr>
          <w:color w:val="000000" w:themeColor="text1"/>
        </w:rPr>
        <w:t>.</w:t>
      </w:r>
    </w:p>
    <w:p w14:paraId="417DABE7" w14:textId="59A54E21" w:rsidR="007A5F1D" w:rsidRPr="00D47DA8" w:rsidRDefault="00B66521" w:rsidP="00C36628">
      <w:pPr>
        <w:pStyle w:val="Heading1"/>
        <w:rPr>
          <w:rFonts w:eastAsia="Times New Roman"/>
        </w:rPr>
      </w:pPr>
      <w:r>
        <w:rPr>
          <w:rFonts w:eastAsia="Times New Roman"/>
        </w:rPr>
        <w:t>Projekta darbību apraksts</w:t>
      </w:r>
      <w:r w:rsidR="00182FFC">
        <w:rPr>
          <w:rFonts w:eastAsia="Times New Roman"/>
        </w:rPr>
        <w:t xml:space="preserve"> un to atbilstība </w:t>
      </w:r>
      <w:r w:rsidR="009F1C8A">
        <w:rPr>
          <w:rFonts w:eastAsia="Times New Roman"/>
        </w:rPr>
        <w:t>atkritumu apsaimniekošanas reģion</w:t>
      </w:r>
      <w:r w:rsidR="009C5B69">
        <w:rPr>
          <w:rFonts w:eastAsia="Times New Roman"/>
        </w:rPr>
        <w:t>ālajam</w:t>
      </w:r>
      <w:r w:rsidR="009F1C8A">
        <w:rPr>
          <w:rFonts w:eastAsia="Times New Roman"/>
        </w:rPr>
        <w:t xml:space="preserve"> plānam</w:t>
      </w:r>
    </w:p>
    <w:p w14:paraId="6542881A" w14:textId="784B1CF8" w:rsidR="00B43D25" w:rsidRPr="00B43D25" w:rsidRDefault="000C0090" w:rsidP="00B43D25">
      <w:pPr>
        <w:pStyle w:val="NoSpacing"/>
      </w:pPr>
      <w:r>
        <w:t>1</w:t>
      </w:r>
      <w:r w:rsidR="00B43D25" w:rsidRPr="00B43D25">
        <w:t>.1. Sadaļā sniedz informāciju par plānoto darbību atbilstību attiecīgā atkritumu apsaimniekošanas reģiona spēkā esošajam atkritumu apsaimniekošanas reģionālajam plānam (turpmāk – AARP), pievienojot konkrētas atsauces uz AARP attiecīgajām plāna sadaļām. Aprakstā jānorāda tīmekļvietne, kurā attiecīgais AARP ir publiski pieejams.</w:t>
      </w:r>
    </w:p>
    <w:p w14:paraId="0D3FD7B2" w14:textId="6CDA3E67" w:rsidR="00B43D25" w:rsidRPr="00B43D25" w:rsidRDefault="000C0090" w:rsidP="00B43D25">
      <w:pPr>
        <w:pStyle w:val="NoSpacing"/>
      </w:pPr>
      <w:r>
        <w:t>1</w:t>
      </w:r>
      <w:r w:rsidR="00B43D25" w:rsidRPr="00B43D25">
        <w:t>.2. Pievieno detalizētu projektā plānotās atkritumu apsaimniekošanas infrastruktūras aprakstu un atbilstoši projektā plānotajām darbībām</w:t>
      </w:r>
      <w:r w:rsidR="000E77B0">
        <w:t>.</w:t>
      </w:r>
    </w:p>
    <w:p w14:paraId="4E62853A" w14:textId="5A8DE5CE" w:rsidR="00B43D25" w:rsidRPr="00B43D25" w:rsidRDefault="000C0090" w:rsidP="00B43D25">
      <w:pPr>
        <w:pStyle w:val="NoSpacing"/>
      </w:pPr>
      <w:r>
        <w:t>1</w:t>
      </w:r>
      <w:r w:rsidR="00B43D25" w:rsidRPr="00B43D25">
        <w:t>.3. Sniedz informāciju par projektā paredzētajām darbībām atbilstošu piesārņojošas darbības atļauju, atkritumu apsaimniekošanas atļauju (ja attiecināms).</w:t>
      </w:r>
    </w:p>
    <w:p w14:paraId="7B876F5B" w14:textId="349DDE02" w:rsidR="00B43D25" w:rsidRPr="00B43D25" w:rsidRDefault="00B43D25" w:rsidP="00B43D25">
      <w:pPr>
        <w:rPr>
          <w:i/>
          <w:iCs/>
          <w:color w:val="0000FF"/>
        </w:rPr>
      </w:pPr>
    </w:p>
    <w:p w14:paraId="6FD629EF" w14:textId="4AE030A9" w:rsidR="00864DF5" w:rsidRPr="005923FF" w:rsidRDefault="0025650C" w:rsidP="00864DF5">
      <w:pPr>
        <w:pStyle w:val="Heading1"/>
        <w:rPr>
          <w:rFonts w:eastAsia="Times New Roman"/>
        </w:rPr>
      </w:pPr>
      <w:bookmarkStart w:id="0" w:name="_Toc164951731"/>
      <w:r>
        <w:rPr>
          <w:rFonts w:eastAsia="Times New Roman"/>
        </w:rPr>
        <w:t>Apsaimniekojamo</w:t>
      </w:r>
      <w:r w:rsidR="2467432F" w:rsidRPr="5CB28075">
        <w:rPr>
          <w:rFonts w:eastAsia="Times New Roman"/>
        </w:rPr>
        <w:t xml:space="preserve"> atkritumu pieejamības un pastāvīgas plūsmas nodrošinājuma </w:t>
      </w:r>
      <w:bookmarkEnd w:id="0"/>
      <w:r w:rsidR="00BF5EB9">
        <w:rPr>
          <w:rFonts w:eastAsia="Times New Roman"/>
        </w:rPr>
        <w:t>apraksts.</w:t>
      </w:r>
    </w:p>
    <w:p w14:paraId="3A416AA3" w14:textId="6BB67225" w:rsidR="0068503A" w:rsidRPr="00621FA4" w:rsidRDefault="000C0090" w:rsidP="00621FA4">
      <w:pPr>
        <w:pStyle w:val="NoSpacing"/>
      </w:pPr>
      <w:r w:rsidRPr="00621FA4">
        <w:t>2.1.N</w:t>
      </w:r>
      <w:r w:rsidR="0068503A" w:rsidRPr="00621FA4">
        <w:t>orāda kādi atkritumu veidi tiks apsaimniekoti un kāds ir atkritumu plūsmas apjoms, pamatojot to un salīdzinot ar informāciju par atkritumu daudzumu reģionā, kas norādīts AARP. Ja projektā paredzēts veikt darbības ar atkritumiem, kas tiek radīti projekta iesniedzēja apkalpotajā teritorijā, projekta iesniedzējs iesniedz informāciju par attiecīgo atkritumu veidu daudzumu (izteikts kā tonnas gadā) par vismaz vienu pilnu kalendāro gadu</w:t>
      </w:r>
      <w:r w:rsidR="003864EB">
        <w:t>.</w:t>
      </w:r>
    </w:p>
    <w:p w14:paraId="1CD38601" w14:textId="2CC6A7C5" w:rsidR="0068503A" w:rsidRPr="00621FA4" w:rsidRDefault="000C0090" w:rsidP="00621FA4">
      <w:pPr>
        <w:pStyle w:val="NoSpacing"/>
      </w:pPr>
      <w:r w:rsidRPr="00621FA4">
        <w:lastRenderedPageBreak/>
        <w:t>2.2.</w:t>
      </w:r>
      <w:r w:rsidR="003864EB">
        <w:t>N</w:t>
      </w:r>
      <w:r w:rsidR="0068503A" w:rsidRPr="00621FA4">
        <w:t>orāda atkritumu izcelsmi. Aprakstā sniegtajai informācijai jāuzrāda, ka apjoma izteiksmē vismaz 60% atkritumu tiks radīti attiecīgajā atkritumu apsaimniekošanas reģionā vai projekta iesniedzēja apkalpotajā teritorijā attiecīgajā atkritumu apsaimniekošanas reģionā (tas ir, citā reģionā radītu atkritumu īpatsvars projekta līmenī nedrīkst būt lielāks par 40 procentiem (neieskaitot))</w:t>
      </w:r>
      <w:r w:rsidR="003864EB">
        <w:t>.</w:t>
      </w:r>
    </w:p>
    <w:p w14:paraId="1FC1F5BE" w14:textId="5A26C338" w:rsidR="0068503A" w:rsidRPr="00621FA4" w:rsidRDefault="000C0090" w:rsidP="00621FA4">
      <w:pPr>
        <w:pStyle w:val="NoSpacing"/>
      </w:pPr>
      <w:r w:rsidRPr="00621FA4">
        <w:t>2.</w:t>
      </w:r>
      <w:r w:rsidR="00D3151D">
        <w:t>3</w:t>
      </w:r>
      <w:r w:rsidRPr="00621FA4">
        <w:t>.</w:t>
      </w:r>
      <w:r w:rsidR="003864EB">
        <w:t>I</w:t>
      </w:r>
      <w:r w:rsidR="0068503A" w:rsidRPr="00621FA4">
        <w:t>zvērtē attiecīgā atkritumu veida pieejamību projekta dzīves ciklā (10 gadi).</w:t>
      </w:r>
    </w:p>
    <w:p w14:paraId="27CCE599" w14:textId="746B18CE" w:rsidR="23DA5BE0" w:rsidRDefault="23DA5BE0" w:rsidP="23DA5BE0">
      <w:pPr>
        <w:pStyle w:val="NoSpacing"/>
      </w:pPr>
    </w:p>
    <w:p w14:paraId="0E543348" w14:textId="0D64F66A" w:rsidR="3085BA22" w:rsidRDefault="3085BA22" w:rsidP="23DA5BE0">
      <w:pPr>
        <w:pStyle w:val="Heading1"/>
        <w:rPr>
          <w:bCs/>
          <w:szCs w:val="28"/>
        </w:rPr>
      </w:pPr>
      <w:bookmarkStart w:id="1" w:name="_Toc164951733"/>
      <w:r>
        <w:t xml:space="preserve">Horizontālais princips </w:t>
      </w:r>
      <w:r w:rsidR="00F70D27">
        <w:t>“</w:t>
      </w:r>
      <w:r>
        <w:t>Klimatdrošināšana</w:t>
      </w:r>
      <w:r w:rsidR="00F70D27">
        <w:t>”</w:t>
      </w:r>
      <w:bookmarkEnd w:id="1"/>
    </w:p>
    <w:p w14:paraId="4F76F027" w14:textId="554264A7" w:rsidR="006233CE" w:rsidRPr="00B43D25" w:rsidRDefault="00942469" w:rsidP="00B43D25">
      <w:pPr>
        <w:pStyle w:val="NoSpacing"/>
      </w:pPr>
      <w:r w:rsidRPr="00B43D25">
        <w:t>4.1.</w:t>
      </w:r>
      <w:r w:rsidR="006233CE" w:rsidRPr="00B43D25">
        <w:t>Siltumnīcefekta gāzu emisiju ietaupījuma apjoma aprēķins.</w:t>
      </w:r>
    </w:p>
    <w:p w14:paraId="20E7E4EE" w14:textId="77777777" w:rsidR="006233CE" w:rsidRPr="00B43D25" w:rsidRDefault="006233CE" w:rsidP="00B43D25">
      <w:pPr>
        <w:pStyle w:val="NoSpacing"/>
      </w:pPr>
      <w:r w:rsidRPr="00B43D25">
        <w:t xml:space="preserve">Siltumnīcefekta gāzu emisiju ietaupījuma apjomu nosaka, salīdzinot divas situācijas: </w:t>
      </w:r>
    </w:p>
    <w:p w14:paraId="7B46535A" w14:textId="77777777" w:rsidR="006233CE" w:rsidRPr="00B43D25" w:rsidRDefault="006233CE" w:rsidP="00B43D25">
      <w:pPr>
        <w:pStyle w:val="NoSpacing"/>
        <w:ind w:firstLine="720"/>
      </w:pPr>
      <w:r w:rsidRPr="00B43D25">
        <w:t xml:space="preserve">1) projekts netiek īstenots un visa projektā paredzētā atkritumu plūsma tiek apglabāta (aprēķins tiek veikts, izmantojot projektā plānoto apsaimniekojamo atkritumu daudzumu gada laikā jeb nacionālo rādītāju); </w:t>
      </w:r>
    </w:p>
    <w:p w14:paraId="53F89C2E" w14:textId="77777777" w:rsidR="006233CE" w:rsidRPr="00B43D25" w:rsidRDefault="006233CE" w:rsidP="00B43D25">
      <w:pPr>
        <w:pStyle w:val="NoSpacing"/>
        <w:ind w:firstLine="720"/>
      </w:pPr>
      <w:r w:rsidRPr="00B43D25">
        <w:t>2) projekts tiek īstenots.</w:t>
      </w:r>
    </w:p>
    <w:p w14:paraId="038C6D8D" w14:textId="77777777" w:rsidR="006233CE" w:rsidRPr="00B43D25" w:rsidRDefault="006233CE" w:rsidP="00B43D25">
      <w:pPr>
        <w:pStyle w:val="NoSpacing"/>
      </w:pPr>
      <w:r w:rsidRPr="00B43D25">
        <w:t>Aprēķinam jāuzrāda siltumnīcefekta gāzu emisiju ietaupījums un izmaksu efektivitāte (EUR/tCO2). Izmaksu efektivitātes noteikšanai izmanto projekta kopējo attiecināmo izmaksu summu.</w:t>
      </w:r>
    </w:p>
    <w:p w14:paraId="3D536FB9" w14:textId="77777777" w:rsidR="006233CE" w:rsidRPr="00B43D25" w:rsidRDefault="006233CE" w:rsidP="00B43D25">
      <w:pPr>
        <w:pStyle w:val="NoSpacing"/>
      </w:pPr>
      <w:r w:rsidRPr="00B43D25">
        <w:t xml:space="preserve">Aprēķiniem izmanto pārbaudāmu, publiski pieejamu metodoloģiju, pārbaudāmus un uzticamus datu avotus, uz kuriem norāda saites vai pieejamības informāciju. Aprēķiniem var tikt izmantoti, piemēram, šādi informācijas avoti: </w:t>
      </w:r>
    </w:p>
    <w:p w14:paraId="44F1DA35" w14:textId="77777777" w:rsidR="006233CE" w:rsidRPr="00B43D25" w:rsidRDefault="006233CE" w:rsidP="00B43D25">
      <w:pPr>
        <w:pStyle w:val="NoSpacing"/>
        <w:numPr>
          <w:ilvl w:val="0"/>
          <w:numId w:val="13"/>
        </w:numPr>
      </w:pPr>
      <w:hyperlink r:id="rId11" w:history="1">
        <w:r w:rsidRPr="00B43D25">
          <w:rPr>
            <w:rStyle w:val="Hyperlink"/>
            <w:u w:val="none"/>
          </w:rPr>
          <w:t>https://www.gov.uk/government/publications/greenhouse-gas-reporting-conversion-factors-2023</w:t>
        </w:r>
      </w:hyperlink>
      <w:r w:rsidRPr="00B43D25">
        <w:t xml:space="preserve"> (informācija no izklājlapas “Waste disposal”);</w:t>
      </w:r>
    </w:p>
    <w:p w14:paraId="0D4D0078" w14:textId="77777777" w:rsidR="006233CE" w:rsidRPr="00B43D25" w:rsidRDefault="006233CE" w:rsidP="00B43D25">
      <w:pPr>
        <w:pStyle w:val="NoSpacing"/>
        <w:numPr>
          <w:ilvl w:val="0"/>
          <w:numId w:val="13"/>
        </w:numPr>
      </w:pPr>
      <w:hyperlink r:id="rId12" w:history="1">
        <w:r w:rsidRPr="00B43D25">
          <w:rPr>
            <w:rStyle w:val="Hyperlink"/>
            <w:u w:val="none"/>
          </w:rPr>
          <w:t>https://www.sciencedirect.com/science/article/pii/S0301479722022411</w:t>
        </w:r>
      </w:hyperlink>
      <w:r w:rsidRPr="00B43D25">
        <w:t>;</w:t>
      </w:r>
    </w:p>
    <w:p w14:paraId="5E17AD92" w14:textId="77777777" w:rsidR="006233CE" w:rsidRPr="00B43D25" w:rsidRDefault="006233CE" w:rsidP="00B43D25">
      <w:pPr>
        <w:pStyle w:val="NoSpacing"/>
        <w:numPr>
          <w:ilvl w:val="0"/>
          <w:numId w:val="13"/>
        </w:numPr>
      </w:pPr>
      <w:r w:rsidRPr="00B43D25">
        <w:t xml:space="preserve">Klimata un enerģētikas ministrijas izstrādātais siltumnīcefekta gāzu emisiju aprēķina rīks atkritumu apsaimniekošanas nozarei </w:t>
      </w:r>
      <w:hyperlink r:id="rId13" w:history="1">
        <w:r w:rsidRPr="00B43D25">
          <w:rPr>
            <w:rStyle w:val="Hyperlink"/>
            <w:u w:val="none"/>
          </w:rPr>
          <w:t>https://www.kem.gov.lv/lv/jaunums/izstradats-jauns-siltumnicefekta-gazu-emisiju-aprekina-riks-atkritumu-apsaimniekosanas-nozarei</w:t>
        </w:r>
      </w:hyperlink>
      <w:r w:rsidRPr="00B43D25">
        <w:t xml:space="preserve">. </w:t>
      </w:r>
    </w:p>
    <w:p w14:paraId="4D6A99CC" w14:textId="77777777" w:rsidR="006233CE" w:rsidRPr="00B43D25" w:rsidRDefault="006233CE" w:rsidP="00B43D25">
      <w:pPr>
        <w:pStyle w:val="NoSpacing"/>
      </w:pPr>
      <w:r w:rsidRPr="00B43D25">
        <w:t>Savukārt oglekļa ēnu izmaksas nosakāmas atbilstoši Eiropas Komisijas paziņojuma “Tehniskie norādījumi par infrastruktūras klimatdrošināšanu 2021.–2027. gada periodā (2021/C 373/01)” 5. tabulai.</w:t>
      </w:r>
    </w:p>
    <w:p w14:paraId="0D9B0632" w14:textId="77777777" w:rsidR="006233CE" w:rsidRDefault="006233CE" w:rsidP="00B43D25">
      <w:pPr>
        <w:pStyle w:val="NoSpacing"/>
      </w:pPr>
      <w:r w:rsidRPr="00B43D25">
        <w:t>Emisiju ietaupījumu nerēķina būvniecības darbībām, bet attiecina tieši uz atkritumu plūsmu.</w:t>
      </w:r>
    </w:p>
    <w:p w14:paraId="652F8C06" w14:textId="77777777" w:rsidR="00B43D25" w:rsidRPr="00B43D25" w:rsidRDefault="00B43D25" w:rsidP="00B43D25">
      <w:pPr>
        <w:pStyle w:val="NoSpacing"/>
      </w:pPr>
    </w:p>
    <w:p w14:paraId="0F4972E6" w14:textId="325715D2" w:rsidR="006233CE" w:rsidRDefault="00942469" w:rsidP="00B43D25">
      <w:pPr>
        <w:pStyle w:val="NoSpacing"/>
      </w:pPr>
      <w:r w:rsidRPr="00B43D25">
        <w:t>4.2.</w:t>
      </w:r>
      <w:r w:rsidR="006233CE" w:rsidRPr="00B43D25">
        <w:t>Paredzētās darbību atbilstība pielāgošanās klimata pārmaiņām aspektiem</w:t>
      </w:r>
      <w:r w:rsidR="00A55AF3" w:rsidRPr="00B43D25">
        <w:t>.</w:t>
      </w:r>
    </w:p>
    <w:p w14:paraId="7B768F63" w14:textId="77777777" w:rsidR="00B43D25" w:rsidRPr="00B43D25" w:rsidRDefault="00B43D25" w:rsidP="00B43D25">
      <w:pPr>
        <w:pStyle w:val="NoSpacing"/>
      </w:pPr>
    </w:p>
    <w:p w14:paraId="0FC9A704" w14:textId="77777777" w:rsidR="006233CE" w:rsidRPr="00B43D25" w:rsidRDefault="006233CE" w:rsidP="00B43D25">
      <w:pPr>
        <w:pStyle w:val="NoSpacing"/>
      </w:pPr>
      <w:r w:rsidRPr="00B43D25">
        <w:t xml:space="preserve">Veic projektā paredzēto infrastruktūras darbību risku izvērtējumu par vismaz šādiem klimata pārmaiņu radītajiem riskiem, iekļaujot to novēršanas vai mazināšanas pasākumus: </w:t>
      </w:r>
    </w:p>
    <w:p w14:paraId="4619068A" w14:textId="77777777" w:rsidR="006233CE" w:rsidRPr="00B43D25" w:rsidRDefault="006233CE" w:rsidP="00B43D25">
      <w:pPr>
        <w:pStyle w:val="NoSpacing"/>
        <w:numPr>
          <w:ilvl w:val="0"/>
          <w:numId w:val="14"/>
        </w:numPr>
      </w:pPr>
      <w:r w:rsidRPr="00B43D25">
        <w:t>spēji ekstrēmi klimatiskie notikumi, piemēram, karstuma viļņi (infrastruktūras pārkaršana un materiālu nolietojums karstuma dēļ);</w:t>
      </w:r>
    </w:p>
    <w:p w14:paraId="491CBDEA" w14:textId="77777777" w:rsidR="006233CE" w:rsidRPr="00B43D25" w:rsidRDefault="006233CE" w:rsidP="00B43D25">
      <w:pPr>
        <w:pStyle w:val="NoSpacing"/>
        <w:numPr>
          <w:ilvl w:val="0"/>
          <w:numId w:val="14"/>
        </w:numPr>
      </w:pPr>
      <w:r w:rsidRPr="00B43D25">
        <w:t>vēja brāzmas (elektropārvades bojājumu dēļ);</w:t>
      </w:r>
    </w:p>
    <w:p w14:paraId="6EAE956B" w14:textId="77777777" w:rsidR="006233CE" w:rsidRPr="00B43D25" w:rsidRDefault="006233CE" w:rsidP="00B43D25">
      <w:pPr>
        <w:pStyle w:val="NoSpacing"/>
        <w:numPr>
          <w:ilvl w:val="0"/>
          <w:numId w:val="14"/>
        </w:numPr>
      </w:pPr>
      <w:r w:rsidRPr="00B43D25">
        <w:t>plūdi;</w:t>
      </w:r>
    </w:p>
    <w:p w14:paraId="3AA71ACA" w14:textId="77777777" w:rsidR="006233CE" w:rsidRPr="00B43D25" w:rsidRDefault="006233CE" w:rsidP="00B43D25">
      <w:pPr>
        <w:pStyle w:val="NoSpacing"/>
        <w:numPr>
          <w:ilvl w:val="0"/>
          <w:numId w:val="14"/>
        </w:numPr>
      </w:pPr>
      <w:r w:rsidRPr="00B43D25">
        <w:lastRenderedPageBreak/>
        <w:t>lietusgāzes;</w:t>
      </w:r>
    </w:p>
    <w:p w14:paraId="37BB8708" w14:textId="77777777" w:rsidR="006233CE" w:rsidRPr="00B43D25" w:rsidRDefault="006233CE" w:rsidP="00B43D25">
      <w:pPr>
        <w:pStyle w:val="NoSpacing"/>
        <w:numPr>
          <w:ilvl w:val="0"/>
          <w:numId w:val="14"/>
        </w:numPr>
      </w:pPr>
      <w:r w:rsidRPr="00B43D25">
        <w:t>sausums;</w:t>
      </w:r>
    </w:p>
    <w:p w14:paraId="30381AF8" w14:textId="77777777" w:rsidR="006233CE" w:rsidRDefault="006233CE" w:rsidP="00B43D25">
      <w:pPr>
        <w:pStyle w:val="NoSpacing"/>
        <w:numPr>
          <w:ilvl w:val="0"/>
          <w:numId w:val="14"/>
        </w:numPr>
      </w:pPr>
      <w:r w:rsidRPr="00B43D25">
        <w:t xml:space="preserve">sasalšanas un kušanas cikli. </w:t>
      </w:r>
    </w:p>
    <w:p w14:paraId="4B9E04EB" w14:textId="77777777" w:rsidR="00457DCC" w:rsidRPr="00B43D25" w:rsidRDefault="00457DCC" w:rsidP="00457DCC">
      <w:pPr>
        <w:pStyle w:val="NoSpacing"/>
        <w:ind w:left="720"/>
      </w:pPr>
    </w:p>
    <w:p w14:paraId="736F667F" w14:textId="77777777" w:rsidR="006233CE" w:rsidRDefault="006233CE" w:rsidP="00B43D25">
      <w:pPr>
        <w:pStyle w:val="NoSpacing"/>
      </w:pPr>
      <w:r w:rsidRPr="00B43D25">
        <w:t xml:space="preserve">Papildus vērtē, vai projekts tiek īstenots plūdu riskam pakļautajā teritorijā atbilstoši VSIA “Latvijas Vides, ģeoloģijas un meteoroloģijas centrs” Latvijas plūdu riska un plūdu draudu kartēm </w:t>
      </w:r>
      <w:hyperlink r:id="rId14">
        <w:r w:rsidRPr="00B43D25">
          <w:rPr>
            <w:rStyle w:val="Hyperlink"/>
            <w:u w:val="none"/>
          </w:rPr>
          <w:t>https://videscentrs.lvgmc.lv/iebuvets/pludu-riska-un-pludu-draudu-kartes</w:t>
        </w:r>
      </w:hyperlink>
      <w:r w:rsidRPr="00B43D25">
        <w:t>. Vērtēšanā izmanto pavasara plūdu kartes upēm un ezeriem, kā arī jūras vējuzplūdu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w:t>
      </w:r>
    </w:p>
    <w:p w14:paraId="3EE4DEF4" w14:textId="77777777" w:rsidR="00457DCC" w:rsidRDefault="00457DCC" w:rsidP="00B43D25">
      <w:pPr>
        <w:pStyle w:val="NoSpacing"/>
      </w:pPr>
    </w:p>
    <w:p w14:paraId="4956A8BD" w14:textId="2F4499D7" w:rsidR="00457DCC" w:rsidRPr="00B43D25" w:rsidRDefault="00457DCC" w:rsidP="00B43D25">
      <w:pPr>
        <w:pStyle w:val="NoSpacing"/>
      </w:pPr>
      <w:r w:rsidRPr="00457DCC">
        <w:rPr>
          <w:iCs/>
        </w:rPr>
        <w:t>Nav attiecināms, ja projektā plānoto darbību veikšanai nav nepieciešami būvdarbi vai arī iekārtas vai infrastruktūras objekti tiks izvietotas ēkās/telpās, kas jau nodrošina iekārtu vai infrastruktūras objektu ekspluatācijai atbilstošus apstākļus.</w:t>
      </w:r>
    </w:p>
    <w:p w14:paraId="595B4E29" w14:textId="629AE30F" w:rsidR="23DA5BE0" w:rsidRDefault="23DA5BE0" w:rsidP="23DA5BE0">
      <w:pPr>
        <w:rPr>
          <w:i/>
          <w:iCs/>
        </w:rPr>
      </w:pPr>
    </w:p>
    <w:p w14:paraId="2B3365C9" w14:textId="77777777" w:rsidR="001F337C" w:rsidRPr="007A3697" w:rsidRDefault="001F337C" w:rsidP="001F337C">
      <w:pPr>
        <w:pStyle w:val="Heading1"/>
      </w:pPr>
      <w:bookmarkStart w:id="2" w:name="_Toc188861291"/>
      <w:r>
        <w:t>Horizontālais princips “Energoefektivitāte pirmajā vietā”</w:t>
      </w:r>
      <w:bookmarkEnd w:id="2"/>
    </w:p>
    <w:p w14:paraId="48ABC0C4" w14:textId="77777777" w:rsidR="00AC7E18" w:rsidRDefault="001D0CF1" w:rsidP="00F71CC7">
      <w:pPr>
        <w:pStyle w:val="NoSpacing"/>
      </w:pPr>
      <w:r>
        <w:t xml:space="preserve">Sniedz </w:t>
      </w:r>
      <w:r w:rsidR="00F71CC7" w:rsidRPr="007D541F">
        <w:t>izvērtē</w:t>
      </w:r>
      <w:r>
        <w:t>jumu ar</w:t>
      </w:r>
      <w:r w:rsidR="00F71CC7" w:rsidRPr="007D541F">
        <w:t xml:space="preserve"> iespēja projektā iekļaut darbības, kas paredz enerģijas ietaupījumu.</w:t>
      </w:r>
    </w:p>
    <w:p w14:paraId="331E2132" w14:textId="30C17967" w:rsidR="0063246F" w:rsidRDefault="00AC7E18" w:rsidP="0063246F">
      <w:pPr>
        <w:pStyle w:val="NoSpacing"/>
      </w:pPr>
      <w:r>
        <w:t>J</w:t>
      </w:r>
      <w:r w:rsidR="00F71CC7" w:rsidRPr="007D541F">
        <w:t>āsniedz skaidrojums</w:t>
      </w:r>
      <w:r w:rsidR="00127703">
        <w:t xml:space="preserve"> -</w:t>
      </w:r>
      <w:r w:rsidR="00F71CC7" w:rsidRPr="007D541F">
        <w:t xml:space="preserve"> izvērtējum</w:t>
      </w:r>
      <w:r>
        <w:t>s ar</w:t>
      </w:r>
      <w:r w:rsidR="00F71CC7" w:rsidRPr="007D541F">
        <w:t xml:space="preserve"> secinājumiem.</w:t>
      </w:r>
    </w:p>
    <w:p w14:paraId="40DE921D" w14:textId="77777777" w:rsidR="0063246F" w:rsidRDefault="0063246F" w:rsidP="0063246F">
      <w:pPr>
        <w:pStyle w:val="NoSpacing"/>
      </w:pPr>
    </w:p>
    <w:p w14:paraId="4B94C817" w14:textId="25EC5A2D" w:rsidR="00F71CC7" w:rsidRPr="007D541F" w:rsidRDefault="0063246F" w:rsidP="0063246F">
      <w:pPr>
        <w:pStyle w:val="NoSpacing"/>
      </w:pPr>
      <w:r>
        <w:t>J</w:t>
      </w:r>
      <w:r w:rsidR="00F71CC7" w:rsidRPr="007D541F">
        <w:t>a izvērtējumā ir secināts, ka projektā ir iespējams iekļaut augstāk minētās darbības, tad ir sniedzama sekojoša informācija par to, kuras darbības ir iekļautas projektā:</w:t>
      </w:r>
    </w:p>
    <w:p w14:paraId="25CCFAA4" w14:textId="77777777" w:rsidR="00F71CC7" w:rsidRPr="007D541F" w:rsidRDefault="00F71CC7" w:rsidP="0063246F">
      <w:pPr>
        <w:pStyle w:val="NoSpacing"/>
        <w:ind w:firstLine="720"/>
      </w:pPr>
      <w:r w:rsidRPr="007D541F">
        <w:t>a) darbības, kas paredz enerģijas ietaupījumu;</w:t>
      </w:r>
    </w:p>
    <w:p w14:paraId="43B828B7" w14:textId="77777777" w:rsidR="00F71CC7" w:rsidRPr="007D541F" w:rsidRDefault="00F71CC7" w:rsidP="0063246F">
      <w:pPr>
        <w:pStyle w:val="NoSpacing"/>
        <w:ind w:firstLine="720"/>
      </w:pPr>
      <w:r w:rsidRPr="007D541F">
        <w:t>b)</w:t>
      </w:r>
      <w:r>
        <w:t xml:space="preserve"> </w:t>
      </w:r>
      <w:r w:rsidRPr="007D541F">
        <w:t>citas darbības, kas ir izmaksefektīvi, tehniski, ekonomiski un videi nekaitīgi alternatīvi pasākumi, un vienlīdz efektīvi nodrošina attiecīgo mērķu sasniegšanu.</w:t>
      </w:r>
    </w:p>
    <w:p w14:paraId="0AFEC4BB" w14:textId="77777777" w:rsidR="00F71CC7" w:rsidRPr="007D541F" w:rsidRDefault="00F71CC7" w:rsidP="00F71CC7">
      <w:pPr>
        <w:pStyle w:val="NoSpacing"/>
        <w:rPr>
          <w:bCs/>
        </w:rPr>
      </w:pPr>
    </w:p>
    <w:p w14:paraId="6ACE0203" w14:textId="2190C2A4" w:rsidR="00F71CC7" w:rsidRDefault="003B2471" w:rsidP="00F71CC7">
      <w:pPr>
        <w:pStyle w:val="NoSpacing"/>
      </w:pPr>
      <w:r>
        <w:t xml:space="preserve">Kritērijs attiecināms, </w:t>
      </w:r>
      <w:r w:rsidR="00F71CC7" w:rsidRPr="007D541F">
        <w:t xml:space="preserve">ja projektā paredzēta jaunu sabiedrības izglītības centru atkritumu apsaimniekošanas jomā izveide, izbūvējot jaunu, pārbūvējot esošu ēku vai to atjaunojot, vai nešķirotu sadzīves atkritumu šķirošanas līniju </w:t>
      </w:r>
      <w:r w:rsidR="00456F4A">
        <w:t>izveide, atjaunošana vai modernizācija.</w:t>
      </w:r>
    </w:p>
    <w:p w14:paraId="46E0BC00" w14:textId="77777777" w:rsidR="007D4FDC" w:rsidRDefault="007D4FDC" w:rsidP="00F71CC7">
      <w:pPr>
        <w:pStyle w:val="NoSpacing"/>
      </w:pPr>
    </w:p>
    <w:p w14:paraId="6673A1BB" w14:textId="0A781C21" w:rsidR="007D4FDC" w:rsidRDefault="007D4FDC" w:rsidP="007D4FDC">
      <w:pPr>
        <w:pStyle w:val="NoSpacing"/>
      </w:pPr>
      <w:r w:rsidRPr="007D541F">
        <w:rPr>
          <w:lang w:eastAsia="x-none"/>
        </w:rPr>
        <w:t>Ja projektā tiek paredzēt</w:t>
      </w:r>
      <w:r>
        <w:rPr>
          <w:lang w:eastAsia="x-none"/>
        </w:rPr>
        <w:t>s</w:t>
      </w:r>
      <w:r w:rsidRPr="007D541F">
        <w:rPr>
          <w:lang w:eastAsia="x-none"/>
        </w:rPr>
        <w:t xml:space="preserve"> būvēt jaunbūvi sabiedrības izglītības centra izveidei, </w:t>
      </w:r>
      <w:r w:rsidRPr="007D541F">
        <w:t>jaunbūve</w:t>
      </w:r>
      <w:r w:rsidR="00621660">
        <w:t>i</w:t>
      </w:r>
      <w:r w:rsidRPr="007D541F">
        <w:t xml:space="preserve"> </w:t>
      </w:r>
      <w:r w:rsidR="00AC7B3D">
        <w:t>jā</w:t>
      </w:r>
      <w:r w:rsidRPr="007D541F">
        <w:t>sasniedz gandrīz nulles enerģijas ēkas līmeni atbilstoši Ministru kabineta 2021. gada 8. aprīļa noteikumu Nr. 222 “Ēku energoefektivitātes aprēķina metodes un ēku energosertifikācijas noteikumi” 8.punkta prasībām</w:t>
      </w:r>
      <w:r w:rsidR="00E86127">
        <w:t>.</w:t>
      </w:r>
      <w:r w:rsidR="00E86127">
        <w:rPr>
          <w:rStyle w:val="FootnoteReference"/>
        </w:rPr>
        <w:footnoteReference w:id="2"/>
      </w:r>
      <w:r w:rsidRPr="007D541F">
        <w:t>Kritērija izpildi ēkas jaunbūvei, atjaunošanai vai pārbūvei apliecina ēkas pagaidu energosertifikāts.</w:t>
      </w:r>
    </w:p>
    <w:p w14:paraId="4AA4AA12" w14:textId="77777777" w:rsidR="00672314" w:rsidRDefault="00672314" w:rsidP="007D4FDC">
      <w:pPr>
        <w:pStyle w:val="NoSpacing"/>
      </w:pPr>
    </w:p>
    <w:p w14:paraId="3F43C8B5" w14:textId="39BD3AC9" w:rsidR="00672314" w:rsidRPr="009858A6" w:rsidRDefault="00265AD5" w:rsidP="009858A6">
      <w:pPr>
        <w:pStyle w:val="NoSpacing"/>
      </w:pPr>
      <w:r w:rsidRPr="009858A6">
        <w:lastRenderedPageBreak/>
        <w:t>Ja projektā tiek paredzēta nešķirotu sadzīves atkritumu šķirošanas līniju izveide, atjaunošana vai modernizācija, sasniegtos enerģijas ietaupījumus nosaka atbilstoši Ēku energoefektivitātes likumā vai Energoefektivitātes likumā paredzētajām metodēm un dokumentiem. Kritērijs ir izpildīts, ja pasākuma ietvaros sasniegts vismaz 1 kWh gadā ietaupījums, ko apliecina projekta iesniegumam pievienots kritērija izpildes apraksts un ietaupījumus pamatojoša dokumentācija</w:t>
      </w:r>
      <w:r w:rsidR="009858A6" w:rsidRPr="009858A6">
        <w:t>.</w:t>
      </w:r>
    </w:p>
    <w:p w14:paraId="2D530F03" w14:textId="77777777" w:rsidR="007D4FDC" w:rsidRPr="007D541F" w:rsidRDefault="007D4FDC" w:rsidP="00F71CC7">
      <w:pPr>
        <w:pStyle w:val="NoSpacing"/>
      </w:pPr>
    </w:p>
    <w:p w14:paraId="63245521" w14:textId="77777777" w:rsidR="008073F1" w:rsidRPr="00124D59" w:rsidRDefault="008073F1" w:rsidP="23DA5BE0">
      <w:pPr>
        <w:pStyle w:val="Heading1"/>
        <w:numPr>
          <w:ilvl w:val="0"/>
          <w:numId w:val="0"/>
        </w:numPr>
      </w:pPr>
    </w:p>
    <w:sectPr w:rsidR="008073F1" w:rsidRPr="00124D5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F704" w14:textId="77777777" w:rsidR="00AA2B8A" w:rsidRDefault="00AA2B8A" w:rsidP="00C36628">
      <w:pPr>
        <w:spacing w:after="0" w:line="240" w:lineRule="auto"/>
      </w:pPr>
      <w:r>
        <w:separator/>
      </w:r>
    </w:p>
  </w:endnote>
  <w:endnote w:type="continuationSeparator" w:id="0">
    <w:p w14:paraId="5F1F0D82" w14:textId="77777777" w:rsidR="00AA2B8A" w:rsidRDefault="00AA2B8A" w:rsidP="00C36628">
      <w:pPr>
        <w:spacing w:after="0" w:line="240" w:lineRule="auto"/>
      </w:pPr>
      <w:r>
        <w:continuationSeparator/>
      </w:r>
    </w:p>
  </w:endnote>
  <w:endnote w:type="continuationNotice" w:id="1">
    <w:p w14:paraId="148886C6" w14:textId="77777777" w:rsidR="00AA2B8A" w:rsidRDefault="00AA2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34C4" w14:textId="77777777" w:rsidR="00AA2B8A" w:rsidRDefault="00AA2B8A" w:rsidP="00C36628">
      <w:pPr>
        <w:spacing w:after="0" w:line="240" w:lineRule="auto"/>
      </w:pPr>
      <w:r>
        <w:separator/>
      </w:r>
    </w:p>
  </w:footnote>
  <w:footnote w:type="continuationSeparator" w:id="0">
    <w:p w14:paraId="749B55AC" w14:textId="77777777" w:rsidR="00AA2B8A" w:rsidRDefault="00AA2B8A" w:rsidP="00C36628">
      <w:pPr>
        <w:spacing w:after="0" w:line="240" w:lineRule="auto"/>
      </w:pPr>
      <w:r>
        <w:continuationSeparator/>
      </w:r>
    </w:p>
  </w:footnote>
  <w:footnote w:type="continuationNotice" w:id="1">
    <w:p w14:paraId="5F860633" w14:textId="77777777" w:rsidR="00AA2B8A" w:rsidRDefault="00AA2B8A">
      <w:pPr>
        <w:spacing w:after="0" w:line="240" w:lineRule="auto"/>
      </w:pPr>
    </w:p>
  </w:footnote>
  <w:footnote w:id="2">
    <w:p w14:paraId="378E30B3" w14:textId="657B7BB7" w:rsidR="00CF01D0" w:rsidRPr="00AD2011" w:rsidRDefault="00E86127" w:rsidP="00CF01D0">
      <w:pPr>
        <w:pStyle w:val="FootnoteText"/>
        <w:rPr>
          <w:color w:val="000000" w:themeColor="text1"/>
        </w:rPr>
      </w:pPr>
      <w:r>
        <w:rPr>
          <w:rStyle w:val="FootnoteReference"/>
        </w:rPr>
        <w:footnoteRef/>
      </w:r>
      <w:r>
        <w:t xml:space="preserve"> </w:t>
      </w:r>
      <w:r w:rsidR="00CF01D0" w:rsidRPr="00CF01D0">
        <w:rPr>
          <w:color w:val="000000" w:themeColor="text1"/>
        </w:rPr>
        <w:t>Ministru kabineta 2019. gada 25. jūnija noteikumi Nr. 280 “Noteikumi par Latvijas būvnormatīvu LBN 002-19 “Ēku norobežojošo konstrukciju siltumtehnika””</w:t>
      </w:r>
      <w:r w:rsidR="00CF01D0">
        <w:rPr>
          <w:color w:val="000000" w:themeColor="text1"/>
        </w:rPr>
        <w:t>.</w:t>
      </w:r>
    </w:p>
    <w:p w14:paraId="3CDBD2F7" w14:textId="64EF141A" w:rsidR="00E86127" w:rsidRPr="00E86127" w:rsidRDefault="00E86127">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2F6"/>
    <w:multiLevelType w:val="hybridMultilevel"/>
    <w:tmpl w:val="643CD3B2"/>
    <w:lvl w:ilvl="0" w:tplc="FFFFFFFF">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EC6B3D"/>
    <w:multiLevelType w:val="hybridMultilevel"/>
    <w:tmpl w:val="C87EFC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71732FB"/>
    <w:multiLevelType w:val="hybridMultilevel"/>
    <w:tmpl w:val="BBB49D24"/>
    <w:lvl w:ilvl="0" w:tplc="709C9F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271AA3"/>
    <w:multiLevelType w:val="hybridMultilevel"/>
    <w:tmpl w:val="3544E3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CA6B42"/>
    <w:multiLevelType w:val="hybridMultilevel"/>
    <w:tmpl w:val="4A4E275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86D3459"/>
    <w:multiLevelType w:val="hybridMultilevel"/>
    <w:tmpl w:val="FE827D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AF1A32"/>
    <w:multiLevelType w:val="hybridMultilevel"/>
    <w:tmpl w:val="36BE80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F1E4A31"/>
    <w:multiLevelType w:val="hybridMultilevel"/>
    <w:tmpl w:val="E7E864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B63728"/>
    <w:multiLevelType w:val="hybridMultilevel"/>
    <w:tmpl w:val="86C815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082993"/>
    <w:multiLevelType w:val="hybridMultilevel"/>
    <w:tmpl w:val="290C0C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D0598D"/>
    <w:multiLevelType w:val="hybridMultilevel"/>
    <w:tmpl w:val="6868F4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59D3EF5"/>
    <w:multiLevelType w:val="hybridMultilevel"/>
    <w:tmpl w:val="EBD04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A83274"/>
    <w:multiLevelType w:val="hybridMultilevel"/>
    <w:tmpl w:val="E6169A76"/>
    <w:lvl w:ilvl="0" w:tplc="9D30CB46">
      <w:start w:val="2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A6033BC"/>
    <w:multiLevelType w:val="hybridMultilevel"/>
    <w:tmpl w:val="DAE056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583000F"/>
    <w:multiLevelType w:val="hybridMultilevel"/>
    <w:tmpl w:val="B798DE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593A0D"/>
    <w:multiLevelType w:val="hybridMultilevel"/>
    <w:tmpl w:val="E916A55E"/>
    <w:lvl w:ilvl="0" w:tplc="842ADF48">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0572734">
    <w:abstractNumId w:val="0"/>
  </w:num>
  <w:num w:numId="2" w16cid:durableId="608246587">
    <w:abstractNumId w:val="12"/>
  </w:num>
  <w:num w:numId="3" w16cid:durableId="207373891">
    <w:abstractNumId w:val="2"/>
  </w:num>
  <w:num w:numId="4" w16cid:durableId="291330719">
    <w:abstractNumId w:val="9"/>
  </w:num>
  <w:num w:numId="5" w16cid:durableId="788280409">
    <w:abstractNumId w:val="3"/>
  </w:num>
  <w:num w:numId="6" w16cid:durableId="163978795">
    <w:abstractNumId w:val="5"/>
  </w:num>
  <w:num w:numId="7" w16cid:durableId="1791512533">
    <w:abstractNumId w:val="13"/>
  </w:num>
  <w:num w:numId="8" w16cid:durableId="663051018">
    <w:abstractNumId w:val="10"/>
  </w:num>
  <w:num w:numId="9" w16cid:durableId="1424689166">
    <w:abstractNumId w:val="7"/>
  </w:num>
  <w:num w:numId="10" w16cid:durableId="467169450">
    <w:abstractNumId w:val="1"/>
  </w:num>
  <w:num w:numId="11" w16cid:durableId="1533372788">
    <w:abstractNumId w:val="14"/>
  </w:num>
  <w:num w:numId="12" w16cid:durableId="361787036">
    <w:abstractNumId w:val="8"/>
  </w:num>
  <w:num w:numId="13" w16cid:durableId="1280991300">
    <w:abstractNumId w:val="11"/>
  </w:num>
  <w:num w:numId="14" w16cid:durableId="858005079">
    <w:abstractNumId w:val="6"/>
  </w:num>
  <w:num w:numId="15" w16cid:durableId="1877765607">
    <w:abstractNumId w:val="4"/>
  </w:num>
  <w:num w:numId="16" w16cid:durableId="1499230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83C1E"/>
    <w:rsid w:val="00005846"/>
    <w:rsid w:val="00011474"/>
    <w:rsid w:val="00013FA5"/>
    <w:rsid w:val="000332FB"/>
    <w:rsid w:val="000460EE"/>
    <w:rsid w:val="000520EF"/>
    <w:rsid w:val="00055427"/>
    <w:rsid w:val="00072669"/>
    <w:rsid w:val="000B0824"/>
    <w:rsid w:val="000C0090"/>
    <w:rsid w:val="000C0205"/>
    <w:rsid w:val="000D4146"/>
    <w:rsid w:val="000E295B"/>
    <w:rsid w:val="000E6A61"/>
    <w:rsid w:val="000E77B0"/>
    <w:rsid w:val="000F725C"/>
    <w:rsid w:val="00101F31"/>
    <w:rsid w:val="00124D59"/>
    <w:rsid w:val="00127703"/>
    <w:rsid w:val="001379A7"/>
    <w:rsid w:val="00162FBD"/>
    <w:rsid w:val="001657DF"/>
    <w:rsid w:val="00165A70"/>
    <w:rsid w:val="00172361"/>
    <w:rsid w:val="0018057A"/>
    <w:rsid w:val="00182FFC"/>
    <w:rsid w:val="001A3DAD"/>
    <w:rsid w:val="001A6220"/>
    <w:rsid w:val="001B30D4"/>
    <w:rsid w:val="001D0CF1"/>
    <w:rsid w:val="001D38B6"/>
    <w:rsid w:val="001F337C"/>
    <w:rsid w:val="00200066"/>
    <w:rsid w:val="002215AB"/>
    <w:rsid w:val="0025390B"/>
    <w:rsid w:val="0025650C"/>
    <w:rsid w:val="002654F1"/>
    <w:rsid w:val="00265AD5"/>
    <w:rsid w:val="00277B03"/>
    <w:rsid w:val="00287360"/>
    <w:rsid w:val="002921E4"/>
    <w:rsid w:val="002A11A3"/>
    <w:rsid w:val="002A4166"/>
    <w:rsid w:val="002A690C"/>
    <w:rsid w:val="002E5C9D"/>
    <w:rsid w:val="002F47B6"/>
    <w:rsid w:val="00316A4D"/>
    <w:rsid w:val="00342193"/>
    <w:rsid w:val="00350BD8"/>
    <w:rsid w:val="00357786"/>
    <w:rsid w:val="00360F87"/>
    <w:rsid w:val="00381FB4"/>
    <w:rsid w:val="0038374B"/>
    <w:rsid w:val="003864EB"/>
    <w:rsid w:val="003A00DB"/>
    <w:rsid w:val="003B2471"/>
    <w:rsid w:val="003E0CD3"/>
    <w:rsid w:val="003E2D43"/>
    <w:rsid w:val="003E43D7"/>
    <w:rsid w:val="0041479B"/>
    <w:rsid w:val="00415B5F"/>
    <w:rsid w:val="004247CF"/>
    <w:rsid w:val="00437200"/>
    <w:rsid w:val="004424F3"/>
    <w:rsid w:val="00444EC7"/>
    <w:rsid w:val="00456768"/>
    <w:rsid w:val="00456F4A"/>
    <w:rsid w:val="00457DCC"/>
    <w:rsid w:val="004B302E"/>
    <w:rsid w:val="004B519B"/>
    <w:rsid w:val="004B59EC"/>
    <w:rsid w:val="004D09F7"/>
    <w:rsid w:val="004D41C8"/>
    <w:rsid w:val="004E7E3B"/>
    <w:rsid w:val="005367D5"/>
    <w:rsid w:val="0056575D"/>
    <w:rsid w:val="005669BC"/>
    <w:rsid w:val="005923FF"/>
    <w:rsid w:val="00595942"/>
    <w:rsid w:val="005B0729"/>
    <w:rsid w:val="005C00A5"/>
    <w:rsid w:val="005E62E7"/>
    <w:rsid w:val="00611A51"/>
    <w:rsid w:val="00612DC1"/>
    <w:rsid w:val="00621660"/>
    <w:rsid w:val="00621FA4"/>
    <w:rsid w:val="006233CE"/>
    <w:rsid w:val="0063246F"/>
    <w:rsid w:val="00655C67"/>
    <w:rsid w:val="00666101"/>
    <w:rsid w:val="00672314"/>
    <w:rsid w:val="0068503A"/>
    <w:rsid w:val="006A5096"/>
    <w:rsid w:val="006A54D8"/>
    <w:rsid w:val="006B0D27"/>
    <w:rsid w:val="006D18F8"/>
    <w:rsid w:val="006D5FBC"/>
    <w:rsid w:val="006E3399"/>
    <w:rsid w:val="006F0D56"/>
    <w:rsid w:val="00730407"/>
    <w:rsid w:val="00733CB0"/>
    <w:rsid w:val="00736703"/>
    <w:rsid w:val="00795371"/>
    <w:rsid w:val="007A2851"/>
    <w:rsid w:val="007A5E77"/>
    <w:rsid w:val="007A5F1D"/>
    <w:rsid w:val="007D4FDC"/>
    <w:rsid w:val="007E1ECC"/>
    <w:rsid w:val="007E4B19"/>
    <w:rsid w:val="008073F1"/>
    <w:rsid w:val="00831F92"/>
    <w:rsid w:val="008600C7"/>
    <w:rsid w:val="00864DF5"/>
    <w:rsid w:val="0089210D"/>
    <w:rsid w:val="008A10BE"/>
    <w:rsid w:val="008B6F9C"/>
    <w:rsid w:val="008C3850"/>
    <w:rsid w:val="008E1912"/>
    <w:rsid w:val="008F3BD4"/>
    <w:rsid w:val="008F64F8"/>
    <w:rsid w:val="00902D2D"/>
    <w:rsid w:val="00905304"/>
    <w:rsid w:val="00923C4F"/>
    <w:rsid w:val="00942469"/>
    <w:rsid w:val="009604CD"/>
    <w:rsid w:val="009734BE"/>
    <w:rsid w:val="009858A6"/>
    <w:rsid w:val="009B10F4"/>
    <w:rsid w:val="009B781E"/>
    <w:rsid w:val="009C4AE2"/>
    <w:rsid w:val="009C5B69"/>
    <w:rsid w:val="009D54CD"/>
    <w:rsid w:val="009F1C8A"/>
    <w:rsid w:val="009F4E4D"/>
    <w:rsid w:val="00A25ABD"/>
    <w:rsid w:val="00A34577"/>
    <w:rsid w:val="00A55AF3"/>
    <w:rsid w:val="00A66398"/>
    <w:rsid w:val="00A85503"/>
    <w:rsid w:val="00A86B57"/>
    <w:rsid w:val="00A937F7"/>
    <w:rsid w:val="00AA2B8A"/>
    <w:rsid w:val="00AC7B3D"/>
    <w:rsid w:val="00AC7E18"/>
    <w:rsid w:val="00AD383B"/>
    <w:rsid w:val="00AD6769"/>
    <w:rsid w:val="00AD6873"/>
    <w:rsid w:val="00AD7297"/>
    <w:rsid w:val="00AF4076"/>
    <w:rsid w:val="00B137D6"/>
    <w:rsid w:val="00B137E2"/>
    <w:rsid w:val="00B14E15"/>
    <w:rsid w:val="00B307E6"/>
    <w:rsid w:val="00B324C0"/>
    <w:rsid w:val="00B435F4"/>
    <w:rsid w:val="00B43D25"/>
    <w:rsid w:val="00B45FE4"/>
    <w:rsid w:val="00B5040A"/>
    <w:rsid w:val="00B535D1"/>
    <w:rsid w:val="00B66521"/>
    <w:rsid w:val="00B91197"/>
    <w:rsid w:val="00B92135"/>
    <w:rsid w:val="00B923FC"/>
    <w:rsid w:val="00BB23B5"/>
    <w:rsid w:val="00BC3A52"/>
    <w:rsid w:val="00BC41F3"/>
    <w:rsid w:val="00BC7656"/>
    <w:rsid w:val="00BD3C0A"/>
    <w:rsid w:val="00BF171C"/>
    <w:rsid w:val="00BF5EB9"/>
    <w:rsid w:val="00C04126"/>
    <w:rsid w:val="00C17D97"/>
    <w:rsid w:val="00C36628"/>
    <w:rsid w:val="00C712E2"/>
    <w:rsid w:val="00C8086F"/>
    <w:rsid w:val="00CB4667"/>
    <w:rsid w:val="00CD0245"/>
    <w:rsid w:val="00CD094C"/>
    <w:rsid w:val="00CE4268"/>
    <w:rsid w:val="00CF01D0"/>
    <w:rsid w:val="00CF142E"/>
    <w:rsid w:val="00CF7350"/>
    <w:rsid w:val="00D2159A"/>
    <w:rsid w:val="00D24EF6"/>
    <w:rsid w:val="00D3151D"/>
    <w:rsid w:val="00D40025"/>
    <w:rsid w:val="00D4003A"/>
    <w:rsid w:val="00D47B8D"/>
    <w:rsid w:val="00D47DA8"/>
    <w:rsid w:val="00D701DB"/>
    <w:rsid w:val="00D91B85"/>
    <w:rsid w:val="00DB17C6"/>
    <w:rsid w:val="00DB4754"/>
    <w:rsid w:val="00DC7BD0"/>
    <w:rsid w:val="00DE2C0E"/>
    <w:rsid w:val="00DE706A"/>
    <w:rsid w:val="00DF672D"/>
    <w:rsid w:val="00E10BA8"/>
    <w:rsid w:val="00E33F58"/>
    <w:rsid w:val="00E44ABD"/>
    <w:rsid w:val="00E462FB"/>
    <w:rsid w:val="00E51FE9"/>
    <w:rsid w:val="00E86127"/>
    <w:rsid w:val="00EA2D9D"/>
    <w:rsid w:val="00ED58B9"/>
    <w:rsid w:val="00EE20D4"/>
    <w:rsid w:val="00EF5145"/>
    <w:rsid w:val="00EF7F41"/>
    <w:rsid w:val="00F05796"/>
    <w:rsid w:val="00F243C0"/>
    <w:rsid w:val="00F31D46"/>
    <w:rsid w:val="00F32EEC"/>
    <w:rsid w:val="00F437D9"/>
    <w:rsid w:val="00F43CCD"/>
    <w:rsid w:val="00F61653"/>
    <w:rsid w:val="00F65716"/>
    <w:rsid w:val="00F70D27"/>
    <w:rsid w:val="00F71CC7"/>
    <w:rsid w:val="00F862F2"/>
    <w:rsid w:val="00F90545"/>
    <w:rsid w:val="00F92E5A"/>
    <w:rsid w:val="00FC785E"/>
    <w:rsid w:val="00FD5A9F"/>
    <w:rsid w:val="00FF6A8D"/>
    <w:rsid w:val="03187C06"/>
    <w:rsid w:val="09D72855"/>
    <w:rsid w:val="10D0C3FA"/>
    <w:rsid w:val="1229A206"/>
    <w:rsid w:val="1268593D"/>
    <w:rsid w:val="18CF570B"/>
    <w:rsid w:val="1B2ED7D2"/>
    <w:rsid w:val="1B7A5AE9"/>
    <w:rsid w:val="1CFDE320"/>
    <w:rsid w:val="1E588FBC"/>
    <w:rsid w:val="23C98BC8"/>
    <w:rsid w:val="23DA5BE0"/>
    <w:rsid w:val="2467432F"/>
    <w:rsid w:val="275706F8"/>
    <w:rsid w:val="2DE83C1E"/>
    <w:rsid w:val="2DFA0838"/>
    <w:rsid w:val="2F50F8B3"/>
    <w:rsid w:val="3085BA22"/>
    <w:rsid w:val="34CCAE10"/>
    <w:rsid w:val="3608B38D"/>
    <w:rsid w:val="3A9388A7"/>
    <w:rsid w:val="3B8DBC3D"/>
    <w:rsid w:val="446CF508"/>
    <w:rsid w:val="47EF4566"/>
    <w:rsid w:val="48576B0F"/>
    <w:rsid w:val="493C0C2B"/>
    <w:rsid w:val="4CA509CF"/>
    <w:rsid w:val="4D7ADA27"/>
    <w:rsid w:val="4DCF3CB2"/>
    <w:rsid w:val="5283DE30"/>
    <w:rsid w:val="550CF028"/>
    <w:rsid w:val="561E1696"/>
    <w:rsid w:val="56C6F9AE"/>
    <w:rsid w:val="58DED7B6"/>
    <w:rsid w:val="599500B4"/>
    <w:rsid w:val="59FE9A70"/>
    <w:rsid w:val="5A905C3F"/>
    <w:rsid w:val="5CB28075"/>
    <w:rsid w:val="5D9D1C79"/>
    <w:rsid w:val="6190493C"/>
    <w:rsid w:val="657FF8B2"/>
    <w:rsid w:val="660FC9E4"/>
    <w:rsid w:val="68EE8CA2"/>
    <w:rsid w:val="69D803A5"/>
    <w:rsid w:val="6D544C82"/>
    <w:rsid w:val="6E62283A"/>
    <w:rsid w:val="6F552306"/>
    <w:rsid w:val="6FDAA968"/>
    <w:rsid w:val="71C9D82F"/>
    <w:rsid w:val="7472CE7C"/>
    <w:rsid w:val="7A3AB54A"/>
    <w:rsid w:val="7AF26E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C1E"/>
  <w15:chartTrackingRefBased/>
  <w15:docId w15:val="{A316B527-83C7-4642-B1A4-E4A02F46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45"/>
    <w:pPr>
      <w:spacing w:after="120" w:line="269" w:lineRule="auto"/>
      <w:jc w:val="both"/>
    </w:pPr>
    <w:rPr>
      <w:lang w:val="lv-LV"/>
    </w:rPr>
  </w:style>
  <w:style w:type="paragraph" w:styleId="Heading1">
    <w:name w:val="heading 1"/>
    <w:basedOn w:val="Normal"/>
    <w:next w:val="Normal"/>
    <w:link w:val="Heading1Char"/>
    <w:uiPriority w:val="9"/>
    <w:qFormat/>
    <w:rsid w:val="006A54D8"/>
    <w:pPr>
      <w:keepNext/>
      <w:keepLines/>
      <w:numPr>
        <w:numId w:val="1"/>
      </w:numPr>
      <w:spacing w:before="240"/>
      <w:ind w:left="0" w:firstLine="0"/>
      <w:jc w:val="center"/>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unhideWhenUsed/>
    <w:qFormat/>
    <w:rsid w:val="6190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190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190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190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190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190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190493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190493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D8"/>
    <w:rPr>
      <w:rFonts w:asciiTheme="majorHAnsi" w:eastAsiaTheme="majorEastAsia" w:hAnsiTheme="majorHAnsi" w:cstheme="majorBidi"/>
      <w:b/>
      <w:sz w:val="28"/>
      <w:szCs w:val="40"/>
      <w:lang w:val="lv-LV"/>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190493C"/>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190493C"/>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190493C"/>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190493C"/>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190493C"/>
    <w:pPr>
      <w:ind w:left="720"/>
      <w:contextualSpacing/>
    </w:pPr>
  </w:style>
  <w:style w:type="paragraph" w:styleId="TOC1">
    <w:name w:val="toc 1"/>
    <w:basedOn w:val="Normal"/>
    <w:next w:val="Normal"/>
    <w:uiPriority w:val="39"/>
    <w:unhideWhenUsed/>
    <w:rsid w:val="6190493C"/>
    <w:pPr>
      <w:spacing w:after="100"/>
    </w:pPr>
  </w:style>
  <w:style w:type="paragraph" w:styleId="TOC2">
    <w:name w:val="toc 2"/>
    <w:basedOn w:val="Normal"/>
    <w:next w:val="Normal"/>
    <w:uiPriority w:val="39"/>
    <w:unhideWhenUsed/>
    <w:rsid w:val="6190493C"/>
    <w:pPr>
      <w:spacing w:after="100"/>
      <w:ind w:left="220"/>
    </w:pPr>
  </w:style>
  <w:style w:type="paragraph" w:styleId="TOC3">
    <w:name w:val="toc 3"/>
    <w:basedOn w:val="Normal"/>
    <w:next w:val="Normal"/>
    <w:uiPriority w:val="39"/>
    <w:unhideWhenUsed/>
    <w:rsid w:val="6190493C"/>
    <w:pPr>
      <w:spacing w:after="100"/>
      <w:ind w:left="440"/>
    </w:pPr>
  </w:style>
  <w:style w:type="paragraph" w:styleId="TOC4">
    <w:name w:val="toc 4"/>
    <w:basedOn w:val="Normal"/>
    <w:next w:val="Normal"/>
    <w:uiPriority w:val="39"/>
    <w:unhideWhenUsed/>
    <w:rsid w:val="6190493C"/>
    <w:pPr>
      <w:spacing w:after="100"/>
      <w:ind w:left="660"/>
    </w:pPr>
  </w:style>
  <w:style w:type="paragraph" w:styleId="TOC5">
    <w:name w:val="toc 5"/>
    <w:basedOn w:val="Normal"/>
    <w:next w:val="Normal"/>
    <w:uiPriority w:val="39"/>
    <w:unhideWhenUsed/>
    <w:rsid w:val="6190493C"/>
    <w:pPr>
      <w:spacing w:after="100"/>
      <w:ind w:left="880"/>
    </w:pPr>
  </w:style>
  <w:style w:type="paragraph" w:styleId="TOC6">
    <w:name w:val="toc 6"/>
    <w:basedOn w:val="Normal"/>
    <w:next w:val="Normal"/>
    <w:uiPriority w:val="39"/>
    <w:unhideWhenUsed/>
    <w:rsid w:val="6190493C"/>
    <w:pPr>
      <w:spacing w:after="100"/>
      <w:ind w:left="1100"/>
    </w:pPr>
  </w:style>
  <w:style w:type="paragraph" w:styleId="TOC7">
    <w:name w:val="toc 7"/>
    <w:basedOn w:val="Normal"/>
    <w:next w:val="Normal"/>
    <w:uiPriority w:val="39"/>
    <w:unhideWhenUsed/>
    <w:rsid w:val="6190493C"/>
    <w:pPr>
      <w:spacing w:after="100"/>
      <w:ind w:left="1320"/>
    </w:pPr>
  </w:style>
  <w:style w:type="paragraph" w:styleId="TOC8">
    <w:name w:val="toc 8"/>
    <w:basedOn w:val="Normal"/>
    <w:next w:val="Normal"/>
    <w:uiPriority w:val="39"/>
    <w:unhideWhenUsed/>
    <w:rsid w:val="6190493C"/>
    <w:pPr>
      <w:spacing w:after="100"/>
      <w:ind w:left="1540"/>
    </w:pPr>
  </w:style>
  <w:style w:type="paragraph" w:styleId="TOC9">
    <w:name w:val="toc 9"/>
    <w:basedOn w:val="Normal"/>
    <w:next w:val="Normal"/>
    <w:uiPriority w:val="39"/>
    <w:unhideWhenUsed/>
    <w:rsid w:val="6190493C"/>
    <w:pPr>
      <w:spacing w:after="100"/>
      <w:ind w:left="1760"/>
    </w:pPr>
  </w:style>
  <w:style w:type="paragraph" w:styleId="EndnoteText">
    <w:name w:val="endnote text"/>
    <w:basedOn w:val="Normal"/>
    <w:uiPriority w:val="99"/>
    <w:semiHidden/>
    <w:unhideWhenUsed/>
    <w:rsid w:val="6190493C"/>
    <w:pPr>
      <w:spacing w:after="0" w:line="240" w:lineRule="auto"/>
    </w:pPr>
    <w:rPr>
      <w:sz w:val="20"/>
      <w:szCs w:val="20"/>
    </w:rPr>
  </w:style>
  <w:style w:type="paragraph" w:styleId="Footer">
    <w:name w:val="footer"/>
    <w:basedOn w:val="Normal"/>
    <w:uiPriority w:val="99"/>
    <w:unhideWhenUsed/>
    <w:rsid w:val="6190493C"/>
    <w:pPr>
      <w:tabs>
        <w:tab w:val="center" w:pos="4680"/>
        <w:tab w:val="right" w:pos="9360"/>
      </w:tabs>
      <w:spacing w:after="0" w:line="240" w:lineRule="auto"/>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6190493C"/>
    <w:pPr>
      <w:spacing w:after="0" w:line="240" w:lineRule="auto"/>
    </w:pPr>
    <w:rPr>
      <w:sz w:val="20"/>
      <w:szCs w:val="20"/>
    </w:rPr>
  </w:style>
  <w:style w:type="paragraph" w:styleId="Header">
    <w:name w:val="header"/>
    <w:basedOn w:val="Normal"/>
    <w:uiPriority w:val="99"/>
    <w:unhideWhenUsed/>
    <w:rsid w:val="6190493C"/>
    <w:pPr>
      <w:tabs>
        <w:tab w:val="center" w:pos="4680"/>
        <w:tab w:val="right" w:pos="9360"/>
      </w:tabs>
      <w:spacing w:after="0" w:line="240" w:lineRule="auto"/>
    </w:pPr>
  </w:style>
  <w:style w:type="paragraph" w:styleId="NoSpacing">
    <w:name w:val="No Spacing"/>
    <w:aliases w:val="Skaidrojums"/>
    <w:uiPriority w:val="1"/>
    <w:qFormat/>
    <w:rsid w:val="00A66398"/>
    <w:pPr>
      <w:spacing w:after="40" w:line="269" w:lineRule="auto"/>
      <w:jc w:val="both"/>
    </w:pPr>
    <w:rPr>
      <w:i/>
      <w:color w:val="0000FF"/>
      <w:lang w:val="lv-LV"/>
    </w:rPr>
  </w:style>
  <w:style w:type="character" w:customStyle="1" w:styleId="normaltextrun">
    <w:name w:val="normaltextrun"/>
    <w:basedOn w:val="DefaultParagraphFont"/>
    <w:rsid w:val="00350BD8"/>
  </w:style>
  <w:style w:type="paragraph" w:styleId="TOCHeading">
    <w:name w:val="TOC Heading"/>
    <w:basedOn w:val="Heading1"/>
    <w:next w:val="Normal"/>
    <w:uiPriority w:val="39"/>
    <w:unhideWhenUsed/>
    <w:qFormat/>
    <w:rsid w:val="00B45FE4"/>
    <w:pPr>
      <w:numPr>
        <w:numId w:val="0"/>
      </w:numPr>
      <w:spacing w:after="0" w:line="259" w:lineRule="auto"/>
      <w:jc w:val="left"/>
      <w:outlineLvl w:val="9"/>
    </w:pPr>
    <w:rPr>
      <w:b w:val="0"/>
      <w:color w:val="0F4761" w:themeColor="accent1" w:themeShade="BF"/>
      <w:sz w:val="32"/>
      <w:szCs w:val="32"/>
      <w:lang w:val="en-US" w:eastAsia="en-US"/>
    </w:rPr>
  </w:style>
  <w:style w:type="character" w:styleId="Hyperlink">
    <w:name w:val="Hyperlink"/>
    <w:basedOn w:val="DefaultParagraphFont"/>
    <w:uiPriority w:val="99"/>
    <w:unhideWhenUsed/>
    <w:rsid w:val="00C36628"/>
    <w:rPr>
      <w:color w:val="0000FF"/>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36628"/>
    <w:rPr>
      <w:vertAlign w:val="superscript"/>
    </w:rPr>
  </w:style>
  <w:style w:type="character" w:styleId="UnresolvedMention">
    <w:name w:val="Unresolved Mention"/>
    <w:basedOn w:val="DefaultParagraphFont"/>
    <w:uiPriority w:val="99"/>
    <w:semiHidden/>
    <w:unhideWhenUsed/>
    <w:rsid w:val="00C36628"/>
    <w:rPr>
      <w:color w:val="605E5C"/>
      <w:shd w:val="clear" w:color="auto" w:fill="E1DFDD"/>
    </w:rPr>
  </w:style>
  <w:style w:type="character" w:styleId="CommentReference">
    <w:name w:val="annotation reference"/>
    <w:basedOn w:val="DefaultParagraphFont"/>
    <w:uiPriority w:val="99"/>
    <w:unhideWhenUsed/>
    <w:rsid w:val="00A66398"/>
    <w:rPr>
      <w:sz w:val="16"/>
      <w:szCs w:val="16"/>
    </w:rPr>
  </w:style>
  <w:style w:type="paragraph" w:styleId="CommentText">
    <w:name w:val="annotation text"/>
    <w:basedOn w:val="Normal"/>
    <w:link w:val="CommentTextChar"/>
    <w:unhideWhenUsed/>
    <w:rsid w:val="00A66398"/>
    <w:pPr>
      <w:spacing w:line="240" w:lineRule="auto"/>
    </w:pPr>
    <w:rPr>
      <w:sz w:val="20"/>
      <w:szCs w:val="20"/>
    </w:rPr>
  </w:style>
  <w:style w:type="character" w:customStyle="1" w:styleId="CommentTextChar">
    <w:name w:val="Comment Text Char"/>
    <w:basedOn w:val="DefaultParagraphFont"/>
    <w:link w:val="CommentText"/>
    <w:rsid w:val="00A66398"/>
    <w:rPr>
      <w:sz w:val="20"/>
      <w:szCs w:val="20"/>
      <w:lang w:val="lv-LV"/>
    </w:rPr>
  </w:style>
  <w:style w:type="paragraph" w:styleId="CommentSubject">
    <w:name w:val="annotation subject"/>
    <w:basedOn w:val="CommentText"/>
    <w:next w:val="CommentText"/>
    <w:link w:val="CommentSubjectChar"/>
    <w:uiPriority w:val="99"/>
    <w:semiHidden/>
    <w:unhideWhenUsed/>
    <w:rsid w:val="00A66398"/>
    <w:rPr>
      <w:b/>
      <w:bCs/>
    </w:rPr>
  </w:style>
  <w:style w:type="character" w:customStyle="1" w:styleId="CommentSubjectChar">
    <w:name w:val="Comment Subject Char"/>
    <w:basedOn w:val="CommentTextChar"/>
    <w:link w:val="CommentSubject"/>
    <w:uiPriority w:val="99"/>
    <w:semiHidden/>
    <w:rsid w:val="00A66398"/>
    <w:rPr>
      <w:b/>
      <w:bCs/>
      <w:sz w:val="20"/>
      <w:szCs w:val="20"/>
      <w:lang w:val="lv-LV"/>
    </w:rPr>
  </w:style>
  <w:style w:type="paragraph" w:styleId="Revision">
    <w:name w:val="Revision"/>
    <w:hidden/>
    <w:uiPriority w:val="99"/>
    <w:semiHidden/>
    <w:rsid w:val="00B137D6"/>
    <w:pPr>
      <w:spacing w:after="0" w:line="240" w:lineRule="auto"/>
    </w:pPr>
    <w:rPr>
      <w:lang w:val="lv-LV"/>
    </w:rPr>
  </w:style>
  <w:style w:type="paragraph" w:customStyle="1" w:styleId="CharCharCharChar">
    <w:name w:val="Char Char Char Char"/>
    <w:aliases w:val="Char2"/>
    <w:basedOn w:val="Normal"/>
    <w:next w:val="Normal"/>
    <w:link w:val="FootnoteReference"/>
    <w:uiPriority w:val="99"/>
    <w:rsid w:val="001F337C"/>
    <w:pPr>
      <w:spacing w:after="160" w:line="240" w:lineRule="exact"/>
      <w:textAlignment w:val="baseline"/>
    </w:pPr>
    <w:rPr>
      <w:vertAlign w:val="superscript"/>
      <w:lang w:val="en-GB"/>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1F337C"/>
    <w:rPr>
      <w:sz w:val="20"/>
      <w:szCs w:val="20"/>
      <w:lang w:val="lv-LV"/>
    </w:rPr>
  </w:style>
  <w:style w:type="paragraph" w:customStyle="1" w:styleId="Default">
    <w:name w:val="Default"/>
    <w:rsid w:val="001F337C"/>
    <w:pPr>
      <w:autoSpaceDE w:val="0"/>
      <w:autoSpaceDN w:val="0"/>
      <w:adjustRightInd w:val="0"/>
      <w:spacing w:after="0" w:line="240" w:lineRule="auto"/>
    </w:pPr>
    <w:rPr>
      <w:rFonts w:ascii="Times New Roman" w:eastAsiaTheme="minorHAnsi" w:hAnsi="Times New Roman" w:cs="Times New Roman"/>
      <w:color w:val="000000"/>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m.gov.lv/lv/jaunums/izstradats-jauns-siltumnicefekta-gazu-emisiju-aprekina-riks-atkritumu-apsaimniekosanas-nozare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science/article/pii/S03014797220224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eenhouse-gas-reporting-conversion-factors-202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i.vvd.gov.lv/lemumi-par-ivn-piemero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B2DDF-D068-4DE6-B016-1FDAC109E46C}">
  <ds:schemaRefs>
    <ds:schemaRef ds:uri="http://schemas.microsoft.com/sharepoint/v3/contenttype/forms"/>
  </ds:schemaRefs>
</ds:datastoreItem>
</file>

<file path=customXml/itemProps2.xml><?xml version="1.0" encoding="utf-8"?>
<ds:datastoreItem xmlns:ds="http://schemas.openxmlformats.org/officeDocument/2006/customXml" ds:itemID="{EAC917C9-BF97-460E-976A-D0C9F7AE4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C69BD-3A11-4B67-8875-C4887F15F75F}">
  <ds:schemaRef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42144e59-5907-413f-b624-803f3a022d9b"/>
    <ds:schemaRef ds:uri="25a75a1d-8b78-49a6-8e4b-dbe94589a28d"/>
    <ds:schemaRef ds:uri="http://purl.org/dc/terms/"/>
  </ds:schemaRefs>
</ds:datastoreItem>
</file>

<file path=customXml/itemProps4.xml><?xml version="1.0" encoding="utf-8"?>
<ds:datastoreItem xmlns:ds="http://schemas.openxmlformats.org/officeDocument/2006/customXml" ds:itemID="{E4C2926E-9F7E-4A03-88CE-9F0AB2E6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4698</Words>
  <Characters>2678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Links>
    <vt:vector size="24" baseType="variant">
      <vt:variant>
        <vt:i4>1769479</vt:i4>
      </vt:variant>
      <vt:variant>
        <vt:i4>9</vt:i4>
      </vt:variant>
      <vt:variant>
        <vt:i4>0</vt:i4>
      </vt:variant>
      <vt:variant>
        <vt:i4>5</vt:i4>
      </vt:variant>
      <vt:variant>
        <vt:lpwstr>https://registri.vvd.gov.lv/lemumi-par-ivn-piemerosanu/,</vt:lpwstr>
      </vt:variant>
      <vt:variant>
        <vt:lpwstr/>
      </vt:variant>
      <vt:variant>
        <vt:i4>5046355</vt:i4>
      </vt:variant>
      <vt:variant>
        <vt:i4>6</vt:i4>
      </vt:variant>
      <vt:variant>
        <vt:i4>0</vt:i4>
      </vt:variant>
      <vt:variant>
        <vt:i4>5</vt:i4>
      </vt:variant>
      <vt:variant>
        <vt:lpwstr>https://www.kem.gov.lv/lv/jaunums/izstradats-jauns-siltumnicefekta-gazu-emisiju-aprekina-riks-atkritumu-apsaimniekosanas-nozarei</vt:lpwstr>
      </vt:variant>
      <vt:variant>
        <vt:lpwstr/>
      </vt:variant>
      <vt:variant>
        <vt:i4>7209081</vt:i4>
      </vt:variant>
      <vt:variant>
        <vt:i4>3</vt:i4>
      </vt:variant>
      <vt:variant>
        <vt:i4>0</vt:i4>
      </vt:variant>
      <vt:variant>
        <vt:i4>5</vt:i4>
      </vt:variant>
      <vt:variant>
        <vt:lpwstr>https://www.sciencedirect.com/science/article/pii/S0301479722022411</vt:lpwstr>
      </vt:variant>
      <vt:variant>
        <vt:lpwstr/>
      </vt:variant>
      <vt:variant>
        <vt:i4>6684778</vt:i4>
      </vt:variant>
      <vt:variant>
        <vt:i4>0</vt:i4>
      </vt:variant>
      <vt:variant>
        <vt:i4>0</vt:i4>
      </vt:variant>
      <vt:variant>
        <vt:i4>5</vt:i4>
      </vt:variant>
      <vt:variant>
        <vt:lpwstr>https://www.gov.uk/government/publications/greenhouse-gas-reporting-conversion-factors-2023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Asnāte Laine Siliņa</cp:lastModifiedBy>
  <cp:revision>2</cp:revision>
  <dcterms:created xsi:type="dcterms:W3CDTF">2025-04-23T09:35:00Z</dcterms:created>
  <dcterms:modified xsi:type="dcterms:W3CDTF">2025-04-23T09:35:00Z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