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7E893" w14:textId="77777777" w:rsidR="004B2146" w:rsidRDefault="007E04C3">
      <w:pPr>
        <w:spacing w:after="0"/>
        <w:jc w:val="right"/>
      </w:pPr>
      <w:r>
        <w:rPr>
          <w:rFonts w:ascii="Times New Roman" w:eastAsia="Times New Roman" w:hAnsi="Times New Roman" w:cs="Times New Roman"/>
          <w:sz w:val="24"/>
          <w:szCs w:val="24"/>
        </w:rPr>
        <w:t>Pielikums</w:t>
      </w:r>
    </w:p>
    <w:p w14:paraId="4607E894" w14:textId="77777777" w:rsidR="004B2146" w:rsidRDefault="007E04C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ministrijas</w:t>
      </w:r>
    </w:p>
    <w:p w14:paraId="4607E895" w14:textId="77777777" w:rsidR="004B2146" w:rsidRDefault="007E04C3">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(datumu skatīt laika zīmogā)</w:t>
      </w:r>
    </w:p>
    <w:p w14:paraId="4607E896" w14:textId="77777777" w:rsidR="004B2146" w:rsidRDefault="007E04C3">
      <w:pPr>
        <w:spacing w:after="0"/>
        <w:jc w:val="right"/>
      </w:pPr>
      <w:r>
        <w:rPr>
          <w:rFonts w:ascii="Times New Roman" w:eastAsia="Times New Roman" w:hAnsi="Times New Roman" w:cs="Times New Roman"/>
          <w:sz w:val="24"/>
          <w:szCs w:val="24"/>
        </w:rPr>
        <w:t>rīkojumam Nr. ---------------</w:t>
      </w:r>
    </w:p>
    <w:p w14:paraId="4607E897" w14:textId="77777777" w:rsidR="004B2146" w:rsidRDefault="004B2146">
      <w:pPr>
        <w:spacing w:after="0"/>
        <w:jc w:val="right"/>
        <w:rPr>
          <w:rFonts w:ascii="Times New Roman" w:eastAsia="Times New Roman" w:hAnsi="Times New Roman" w:cs="Times New Roman"/>
          <w:sz w:val="24"/>
          <w:szCs w:val="24"/>
        </w:rPr>
      </w:pPr>
    </w:p>
    <w:p w14:paraId="4607E898" w14:textId="77777777" w:rsidR="004B2146" w:rsidRDefault="004B2146">
      <w:pPr>
        <w:spacing w:after="0"/>
        <w:rPr>
          <w:rFonts w:ascii="Times New Roman" w:eastAsia="Times New Roman" w:hAnsi="Times New Roman" w:cs="Times New Roman"/>
          <w:sz w:val="24"/>
          <w:szCs w:val="24"/>
        </w:rPr>
      </w:pPr>
    </w:p>
    <w:p w14:paraId="4607E899" w14:textId="77777777" w:rsidR="004B2146" w:rsidRDefault="004B2146">
      <w:pPr>
        <w:spacing w:after="0"/>
        <w:jc w:val="right"/>
        <w:rPr>
          <w:rFonts w:ascii="Times New Roman" w:eastAsia="Times New Roman" w:hAnsi="Times New Roman" w:cs="Times New Roman"/>
          <w:sz w:val="24"/>
          <w:szCs w:val="24"/>
        </w:rPr>
      </w:pPr>
    </w:p>
    <w:p w14:paraId="4607E89A" w14:textId="77777777" w:rsidR="004B2146" w:rsidRDefault="007E04C3">
      <w:pPr>
        <w:spacing w:after="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Apstiprināta</w:t>
      </w:r>
    </w:p>
    <w:p w14:paraId="4607E89B" w14:textId="77777777" w:rsidR="004B2146" w:rsidRDefault="007E04C3">
      <w:pPr>
        <w:spacing w:after="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 Izglītības un zinātnes ministrijas</w:t>
      </w:r>
    </w:p>
    <w:p w14:paraId="4607E89C" w14:textId="77777777" w:rsidR="004B2146" w:rsidRDefault="007E04C3">
      <w:pPr>
        <w:spacing w:after="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2025. gada “   ” _____    </w:t>
      </w:r>
    </w:p>
    <w:p w14:paraId="4607E89D" w14:textId="77777777" w:rsidR="004B2146" w:rsidRDefault="007E04C3">
      <w:pPr>
        <w:spacing w:after="0"/>
        <w:ind w:left="284"/>
        <w:jc w:val="right"/>
      </w:pPr>
      <w:r>
        <w:rPr>
          <w:rFonts w:ascii="Times New Roman" w:eastAsia="Times New Roman" w:hAnsi="Times New Roman" w:cs="Times New Roman"/>
          <w:bCs/>
          <w:sz w:val="24"/>
          <w:szCs w:val="24"/>
        </w:rPr>
        <w:t xml:space="preserve">rīkojumu Nr. </w:t>
      </w:r>
      <w:r>
        <w:rPr>
          <w:rFonts w:ascii="Times New Roman" w:eastAsia="Times New Roman" w:hAnsi="Times New Roman" w:cs="Times New Roman"/>
          <w:sz w:val="24"/>
          <w:szCs w:val="24"/>
        </w:rPr>
        <w:t>-------------</w:t>
      </w:r>
    </w:p>
    <w:p w14:paraId="4607E89E" w14:textId="77777777" w:rsidR="004B2146" w:rsidRDefault="004B2146">
      <w:pPr>
        <w:jc w:val="right"/>
        <w:rPr>
          <w:rFonts w:ascii="Times New Roman" w:eastAsia="Times New Roman" w:hAnsi="Times New Roman" w:cs="Times New Roman"/>
          <w:sz w:val="24"/>
          <w:szCs w:val="24"/>
        </w:rPr>
      </w:pPr>
    </w:p>
    <w:p w14:paraId="4607E89F" w14:textId="77777777" w:rsidR="004B2146" w:rsidRDefault="004B2146">
      <w:pPr>
        <w:jc w:val="right"/>
        <w:rPr>
          <w:rFonts w:ascii="Times New Roman" w:eastAsia="Times New Roman" w:hAnsi="Times New Roman" w:cs="Times New Roman"/>
          <w:sz w:val="24"/>
          <w:szCs w:val="24"/>
        </w:rPr>
      </w:pPr>
    </w:p>
    <w:p w14:paraId="4607E8A0" w14:textId="77777777" w:rsidR="004B2146" w:rsidRDefault="007E04C3">
      <w:pPr>
        <w:spacing w:after="0"/>
        <w:jc w:val="center"/>
      </w:pPr>
      <w:bookmarkStart w:id="0" w:name="_Hlk188966988"/>
      <w:r>
        <w:rPr>
          <w:rFonts w:ascii="Times New Roman" w:eastAsia="Times New Roman" w:hAnsi="Times New Roman" w:cs="Times New Roman"/>
          <w:b/>
          <w:bCs/>
          <w:sz w:val="24"/>
          <w:szCs w:val="24"/>
        </w:rPr>
        <w:t xml:space="preserve">Publiskā </w:t>
      </w:r>
      <w:r>
        <w:rPr>
          <w:rFonts w:ascii="Times New Roman" w:eastAsia="Times New Roman" w:hAnsi="Times New Roman" w:cs="Times New Roman"/>
          <w:b/>
          <w:bCs/>
          <w:sz w:val="24"/>
          <w:szCs w:val="24"/>
        </w:rPr>
        <w:t>finansējuma ikgadējais uzraudzības un atgūšanas mehānisms</w:t>
      </w:r>
      <w:r>
        <w:rPr>
          <w:rFonts w:ascii="Times New Roman" w:hAnsi="Times New Roman" w:cs="Times New Roman"/>
          <w:sz w:val="24"/>
          <w:szCs w:val="24"/>
        </w:rPr>
        <w:t xml:space="preserve"> </w:t>
      </w:r>
      <w:bookmarkStart w:id="1" w:name="_Hlk188964392"/>
      <w:r>
        <w:rPr>
          <w:rFonts w:ascii="Times New Roman" w:eastAsia="Times New Roman" w:hAnsi="Times New Roman" w:cs="Times New Roman"/>
          <w:b/>
          <w:bCs/>
          <w:sz w:val="24"/>
          <w:szCs w:val="24"/>
        </w:rPr>
        <w:t xml:space="preserve">Eiropas Savienības kohēzijas politikas programmas 2021. – 2027. gadam 1.1.1. specifiskā atbalsta mērķa "Pētniecības un inovāciju kapacitātes stiprināšana un progresīvu tehnoloģiju ieviešana kopējā P&amp;A sistēmā" 1.1.1.2. pasākuma "RIS3 pētniecības un inovācijas centri" projektos </w:t>
      </w:r>
    </w:p>
    <w:bookmarkEnd w:id="0"/>
    <w:bookmarkEnd w:id="1"/>
    <w:p w14:paraId="4607E8A1" w14:textId="77777777" w:rsidR="004B2146" w:rsidRDefault="007E04C3">
      <w:pPr>
        <w:spacing w:before="240" w:after="0" w:line="276"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Terminu skaidrojumi</w:t>
      </w:r>
    </w:p>
    <w:p w14:paraId="4607E8A2" w14:textId="77777777" w:rsidR="004B2146" w:rsidRDefault="004B2146">
      <w:pPr>
        <w:spacing w:after="0"/>
        <w:jc w:val="both"/>
        <w:rPr>
          <w:rFonts w:ascii="Times New Roman" w:eastAsia="Times New Roman" w:hAnsi="Times New Roman" w:cs="Times New Roman"/>
          <w:b/>
          <w:sz w:val="24"/>
          <w:szCs w:val="24"/>
        </w:rPr>
      </w:pPr>
    </w:p>
    <w:p w14:paraId="4607E8A3" w14:textId="77777777" w:rsidR="004B2146" w:rsidRDefault="007E04C3">
      <w:pPr>
        <w:spacing w:after="0"/>
        <w:jc w:val="both"/>
      </w:pPr>
      <w:r>
        <w:rPr>
          <w:rFonts w:ascii="Times New Roman" w:hAnsi="Times New Roman" w:cs="Times New Roman"/>
          <w:b/>
          <w:bCs/>
          <w:sz w:val="24"/>
          <w:szCs w:val="24"/>
        </w:rPr>
        <w:t>Ar saimniecisku darbību nesaistīts projekts</w:t>
      </w:r>
      <w:r>
        <w:rPr>
          <w:rFonts w:ascii="Times New Roman" w:hAnsi="Times New Roman" w:cs="Times New Roman"/>
          <w:sz w:val="24"/>
          <w:szCs w:val="24"/>
        </w:rPr>
        <w:t xml:space="preserve"> – projekts, ko Eiropas Savienības kohēzijas politikas programmas 2021. – 2027. gadam 1.1.1. </w:t>
      </w:r>
      <w:r>
        <w:rPr>
          <w:rFonts w:ascii="Times New Roman" w:hAnsi="Times New Roman" w:cs="Times New Roman"/>
          <w:sz w:val="24"/>
          <w:szCs w:val="24"/>
        </w:rPr>
        <w:t>specifiskā atbalsta mērķa "Pētniecības un inovāciju kapacitātes stiprināšana un progresīvu tehnoloģiju ieviešana kopējā P&amp;A sistēmā" 1.1.1.2. pasākuma "RIS3 pētniecības un inovācijas centri" (turpmāk – 1.1.1.2. pasākums) ietvaros īsteno finansējuma saņēmējs un sadarbības partneris, kas atbilst Komisijas 2014. gada 17. jūnija Regulas Nr. 651/2014, ar kuru noteiktas atbalsta kategorijas atzīst par saderīgām ar iekšējo tirgu, piemērojot Līguma 107. un 108. pantu (turpmāk – Komisijas Regula Nr.</w:t>
      </w:r>
      <w:r>
        <w:rPr>
          <w:rFonts w:ascii="Times New Roman" w:hAnsi="Times New Roman" w:cs="Times New Roman"/>
        </w:rPr>
        <w:t> </w:t>
      </w:r>
      <w:r>
        <w:rPr>
          <w:rFonts w:ascii="Times New Roman" w:hAnsi="Times New Roman" w:cs="Times New Roman"/>
          <w:sz w:val="24"/>
          <w:szCs w:val="24"/>
        </w:rPr>
        <w:t>651/2014</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83. punktā minētajai pētniecības organizācijas definīcijai (turpmāk – pētniecības organizācija).</w:t>
      </w:r>
    </w:p>
    <w:p w14:paraId="4607E8A4" w14:textId="77777777" w:rsidR="004B2146" w:rsidRDefault="004B2146">
      <w:pPr>
        <w:spacing w:after="0"/>
        <w:jc w:val="both"/>
        <w:rPr>
          <w:rFonts w:ascii="Times New Roman" w:hAnsi="Times New Roman" w:cs="Times New Roman"/>
          <w:sz w:val="24"/>
          <w:szCs w:val="24"/>
        </w:rPr>
      </w:pPr>
    </w:p>
    <w:p w14:paraId="4607E8A5" w14:textId="77777777" w:rsidR="004B2146" w:rsidRDefault="007E04C3">
      <w:pPr>
        <w:spacing w:after="0"/>
        <w:jc w:val="both"/>
      </w:pPr>
      <w:r>
        <w:rPr>
          <w:rFonts w:ascii="Times New Roman" w:eastAsia="Times New Roman" w:hAnsi="Times New Roman" w:cs="Times New Roman"/>
          <w:b/>
          <w:bCs/>
          <w:sz w:val="24"/>
          <w:szCs w:val="24"/>
        </w:rPr>
        <w:t xml:space="preserve">Darbība, kurai nav saimnieciska rakstura </w:t>
      </w:r>
      <w:r>
        <w:rPr>
          <w:rFonts w:ascii="Times New Roman" w:eastAsia="Arial" w:hAnsi="Times New Roman" w:cs="Times New Roman"/>
          <w:sz w:val="24"/>
          <w:szCs w:val="24"/>
        </w:rPr>
        <w:t>–</w:t>
      </w:r>
      <w:r>
        <w:rPr>
          <w:rFonts w:ascii="Times New Roman" w:eastAsia="Times New Roman" w:hAnsi="Times New Roman" w:cs="Times New Roman"/>
          <w:sz w:val="24"/>
          <w:szCs w:val="24"/>
        </w:rPr>
        <w:t xml:space="preserve"> pētniecības organizācijas pamatdarbība, kura neietilpst Līguma par Eiropas Savienības darbību (turpmāk – Līgums par Eiropas Savienības darbību) </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107. panta 1. punktā noteiktajā darbības jomā </w:t>
      </w:r>
      <w:r>
        <w:rPr>
          <w:rFonts w:ascii="Times New Roman" w:hAnsi="Times New Roman" w:cs="Times New Roman"/>
          <w:sz w:val="24"/>
          <w:szCs w:val="24"/>
        </w:rPr>
        <w:t xml:space="preserve">un kuras izpausmes veidi ir šādi: </w:t>
      </w:r>
    </w:p>
    <w:p w14:paraId="4607E8A6" w14:textId="77777777" w:rsidR="004B2146" w:rsidRDefault="007E04C3">
      <w:pPr>
        <w:pStyle w:val="ListParagraph"/>
        <w:numPr>
          <w:ilvl w:val="0"/>
          <w:numId w:val="2"/>
        </w:numPr>
        <w:ind w:left="426" w:firstLine="0"/>
        <w:jc w:val="both"/>
      </w:pPr>
      <w:r>
        <w:rPr>
          <w:rFonts w:ascii="Times New Roman" w:hAnsi="Times New Roman" w:cs="Times New Roman"/>
          <w:sz w:val="24"/>
          <w:szCs w:val="24"/>
        </w:rPr>
        <w:t>tiek īstenota neatkarīga pētniecība un izstrāde, lai gūtu vairāk zināšanu un labāku izpratni, tostarp īstenota kopīga pētniecība un izstrāde, kad pētniecības organizācija vai pētniecības infrastruktūra iesaistās efektīvā sadarbībā. Pētniecības un izstrādes pakalpojumu sniegšana, pētniecība un izstrāde, ko veic uzņēmumu uzdevumā, netiek uzskatīta par neatkarīgu pētniecību un izstrādi;</w:t>
      </w:r>
    </w:p>
    <w:p w14:paraId="4607E8A7" w14:textId="77777777" w:rsidR="004B2146" w:rsidRDefault="007E04C3">
      <w:pPr>
        <w:pStyle w:val="ListParagraph"/>
        <w:numPr>
          <w:ilvl w:val="0"/>
          <w:numId w:val="2"/>
        </w:numPr>
        <w:ind w:left="426" w:firstLine="0"/>
        <w:jc w:val="both"/>
      </w:pPr>
      <w:r>
        <w:rPr>
          <w:rFonts w:ascii="Times New Roman" w:hAnsi="Times New Roman" w:cs="Times New Roman"/>
          <w:sz w:val="24"/>
          <w:szCs w:val="24"/>
        </w:rPr>
        <w:t>pētniecības rezultāti tiek izplatīti bez ekskluzivitātes un diskriminēšanas, tai skaitā izmantojot mācīšanu, brīvas piekļuves datubāzes, atklātas publikācijas vai atklātā pirmkoda programmatūru;</w:t>
      </w:r>
    </w:p>
    <w:p w14:paraId="4607E8A8" w14:textId="77777777" w:rsidR="004B2146" w:rsidRDefault="007E04C3">
      <w:pPr>
        <w:pStyle w:val="ListParagraph"/>
        <w:numPr>
          <w:ilvl w:val="0"/>
          <w:numId w:val="2"/>
        </w:numPr>
        <w:ind w:left="426" w:firstLine="54"/>
        <w:jc w:val="both"/>
      </w:pPr>
      <w:r>
        <w:rPr>
          <w:rFonts w:ascii="Times New Roman" w:hAnsi="Times New Roman" w:cs="Times New Roman"/>
          <w:sz w:val="24"/>
          <w:szCs w:val="24"/>
        </w:rPr>
        <w:t xml:space="preserve"> zinātības un tehnoloģiju </w:t>
      </w:r>
      <w:proofErr w:type="spellStart"/>
      <w:r>
        <w:rPr>
          <w:rFonts w:ascii="Times New Roman" w:hAnsi="Times New Roman" w:cs="Times New Roman"/>
          <w:sz w:val="24"/>
          <w:szCs w:val="24"/>
        </w:rPr>
        <w:t>pārneses</w:t>
      </w:r>
      <w:proofErr w:type="spellEnd"/>
      <w:r>
        <w:rPr>
          <w:rFonts w:ascii="Times New Roman" w:hAnsi="Times New Roman" w:cs="Times New Roman"/>
          <w:sz w:val="24"/>
          <w:szCs w:val="24"/>
        </w:rPr>
        <w:t xml:space="preserve"> darbības, ja:</w:t>
      </w:r>
    </w:p>
    <w:p w14:paraId="4607E8A9" w14:textId="77777777" w:rsidR="004B2146" w:rsidRDefault="007E04C3">
      <w:pPr>
        <w:pStyle w:val="ListParagraph"/>
        <w:numPr>
          <w:ilvl w:val="0"/>
          <w:numId w:val="3"/>
        </w:numPr>
        <w:ind w:left="1560" w:hanging="284"/>
        <w:jc w:val="both"/>
      </w:pPr>
      <w:r>
        <w:rPr>
          <w:rFonts w:ascii="Times New Roman" w:hAnsi="Times New Roman" w:cs="Times New Roman"/>
          <w:sz w:val="24"/>
          <w:szCs w:val="24"/>
        </w:rPr>
        <w:t xml:space="preserve">zinātības un tehnoloģiju </w:t>
      </w:r>
      <w:proofErr w:type="spellStart"/>
      <w:r>
        <w:rPr>
          <w:rFonts w:ascii="Times New Roman" w:hAnsi="Times New Roman" w:cs="Times New Roman"/>
          <w:sz w:val="24"/>
          <w:szCs w:val="24"/>
        </w:rPr>
        <w:t>pārneses</w:t>
      </w:r>
      <w:proofErr w:type="spellEnd"/>
      <w:r>
        <w:rPr>
          <w:rFonts w:ascii="Times New Roman" w:hAnsi="Times New Roman" w:cs="Times New Roman"/>
          <w:sz w:val="24"/>
          <w:szCs w:val="24"/>
        </w:rPr>
        <w:t xml:space="preserve"> darbības veic pētniecības organizācijas nodaļa vai pētniecības organizācijas meitas sabiedrība (tāda komercsabiedrība, kurā mātes sabiedrības līdzdalības daļa pārsniedz 50 % vai kurā mātes sabiedrībai ir balsu vairākums un kura atbilst </w:t>
      </w:r>
      <w:bookmarkStart w:id="2" w:name="_Hlk189552205"/>
      <w:r>
        <w:rPr>
          <w:rFonts w:ascii="Times New Roman" w:hAnsi="Times New Roman" w:cs="Times New Roman"/>
          <w:sz w:val="24"/>
          <w:szCs w:val="24"/>
        </w:rPr>
        <w:t xml:space="preserve">Ministru kabineta 2025. gada 4. februāra noteikumu Nr. 88 “Eiropas Savienības kohēzijas politikas </w:t>
      </w:r>
      <w:r>
        <w:rPr>
          <w:rFonts w:ascii="Times New Roman" w:hAnsi="Times New Roman" w:cs="Times New Roman"/>
          <w:sz w:val="24"/>
          <w:szCs w:val="24"/>
        </w:rPr>
        <w:lastRenderedPageBreak/>
        <w:t xml:space="preserve">programmas 2021. – 2027. gadam </w:t>
      </w:r>
      <w:bookmarkStart w:id="3" w:name="_Hlk192671276"/>
      <w:r>
        <w:rPr>
          <w:rFonts w:ascii="Times New Roman" w:hAnsi="Times New Roman" w:cs="Times New Roman"/>
          <w:sz w:val="24"/>
          <w:szCs w:val="24"/>
        </w:rPr>
        <w:t>1.1.1. specifiskā atbalsta mērķa "Pētniecības un inovāciju kapacitātes stiprināšana un progresīvu tehnoloģiju ieviešana kopējā P&amp;A sistēmā</w:t>
      </w:r>
      <w:r>
        <w:rPr>
          <w:rFonts w:ascii="Times New Roman" w:hAnsi="Times New Roman" w:cs="Times New Roman"/>
          <w:sz w:val="24"/>
          <w:szCs w:val="24"/>
        </w:rPr>
        <w:t>" 1.1.1.2. pasākuma "RIS3 pētniecības un inovācijas centri"</w:t>
      </w:r>
      <w:bookmarkEnd w:id="3"/>
      <w:r>
        <w:rPr>
          <w:rFonts w:ascii="Times New Roman" w:hAnsi="Times New Roman" w:cs="Times New Roman"/>
          <w:sz w:val="24"/>
          <w:szCs w:val="24"/>
        </w:rPr>
        <w:t>” (turpmāk – MK noteikumi Nr. 88)</w:t>
      </w:r>
      <w:bookmarkEnd w:id="2"/>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2.8. apakšpunktā minētajai pētniecības organizācijas definīcijai), pētniecības organizācija kopīgi ar citām pētniecības organizācijām vai pētniecības organizācija ar trešajām pusēm, atklātā konkursā slēdzot līgumus par noteiktiem pakalpojumiem;</w:t>
      </w:r>
    </w:p>
    <w:p w14:paraId="4607E8AA" w14:textId="77777777" w:rsidR="004B2146" w:rsidRDefault="007E04C3">
      <w:pPr>
        <w:pStyle w:val="ListParagraph"/>
        <w:numPr>
          <w:ilvl w:val="0"/>
          <w:numId w:val="3"/>
        </w:numPr>
        <w:ind w:left="1560" w:hanging="284"/>
        <w:jc w:val="both"/>
      </w:pPr>
      <w:r>
        <w:rPr>
          <w:rFonts w:ascii="Times New Roman" w:hAnsi="Times New Roman" w:cs="Times New Roman"/>
          <w:sz w:val="24"/>
          <w:szCs w:val="24"/>
        </w:rPr>
        <w:t xml:space="preserve">visa peļņa no šādas darbības tiek atkal ieguldīta pētniecības organizācijas vai pētniecības struktūras pamatdarbībā; </w:t>
      </w:r>
    </w:p>
    <w:p w14:paraId="4607E8AB" w14:textId="77777777" w:rsidR="004B2146" w:rsidRDefault="007E04C3">
      <w:pPr>
        <w:pStyle w:val="ListParagraph"/>
        <w:numPr>
          <w:ilvl w:val="0"/>
          <w:numId w:val="2"/>
        </w:numPr>
        <w:spacing w:after="0"/>
        <w:ind w:left="709" w:hanging="283"/>
        <w:jc w:val="both"/>
      </w:pPr>
      <w:r>
        <w:rPr>
          <w:rFonts w:ascii="Times New Roman" w:hAnsi="Times New Roman" w:cs="Times New Roman"/>
          <w:sz w:val="24"/>
          <w:szCs w:val="24"/>
        </w:rPr>
        <w:t xml:space="preserve"> publiska </w:t>
      </w:r>
      <w:r>
        <w:rPr>
          <w:rFonts w:ascii="Times New Roman" w:hAnsi="Times New Roman" w:cs="Times New Roman"/>
          <w:sz w:val="24"/>
          <w:szCs w:val="24"/>
        </w:rPr>
        <w:t>izglītība, lai vairotu un uzlabotu cilvēkresursu prasmes, kas tiek nodrošināta valsts izglītības sistēmas ietvaros un galvenokārt vai pilnībā ir valsts finansēta un uzraudzīta.</w:t>
      </w:r>
    </w:p>
    <w:p w14:paraId="4607E8AC" w14:textId="77777777" w:rsidR="004B2146" w:rsidRDefault="004B2146">
      <w:pPr>
        <w:spacing w:after="0"/>
        <w:jc w:val="both"/>
        <w:rPr>
          <w:rFonts w:ascii="Times New Roman" w:eastAsia="Times New Roman" w:hAnsi="Times New Roman" w:cs="Times New Roman"/>
          <w:color w:val="000000"/>
          <w:sz w:val="24"/>
          <w:szCs w:val="24"/>
        </w:rPr>
      </w:pPr>
    </w:p>
    <w:p w14:paraId="4607E8AD" w14:textId="77777777" w:rsidR="004B2146" w:rsidRDefault="007E04C3">
      <w:pPr>
        <w:spacing w:after="0"/>
        <w:jc w:val="both"/>
      </w:pPr>
      <w:r>
        <w:rPr>
          <w:rFonts w:ascii="Times New Roman" w:eastAsia="Arial" w:hAnsi="Times New Roman" w:cs="Times New Roman"/>
          <w:b/>
          <w:bCs/>
          <w:color w:val="000000"/>
          <w:sz w:val="24"/>
          <w:szCs w:val="24"/>
        </w:rPr>
        <w:t xml:space="preserve">Papildinoša saimnieciskā darbība (turpmāk </w:t>
      </w:r>
      <w:bookmarkStart w:id="4" w:name="_Hlk189061178"/>
      <w:r>
        <w:rPr>
          <w:rFonts w:ascii="Times New Roman" w:eastAsia="Arial" w:hAnsi="Times New Roman" w:cs="Times New Roman"/>
          <w:b/>
          <w:bCs/>
          <w:color w:val="000000"/>
          <w:sz w:val="24"/>
          <w:szCs w:val="24"/>
        </w:rPr>
        <w:t>–</w:t>
      </w:r>
      <w:bookmarkEnd w:id="4"/>
      <w:r>
        <w:rPr>
          <w:rFonts w:ascii="Times New Roman" w:eastAsia="Arial" w:hAnsi="Times New Roman" w:cs="Times New Roman"/>
          <w:b/>
          <w:bCs/>
          <w:color w:val="000000"/>
          <w:sz w:val="24"/>
          <w:szCs w:val="24"/>
        </w:rPr>
        <w:t xml:space="preserve"> PSD)</w:t>
      </w:r>
      <w:r>
        <w:rPr>
          <w:rFonts w:ascii="Times New Roman" w:eastAsia="Arial" w:hAnsi="Times New Roman" w:cs="Times New Roman"/>
          <w:color w:val="000000"/>
          <w:sz w:val="24"/>
          <w:szCs w:val="24"/>
        </w:rPr>
        <w:t xml:space="preserve"> – ar PSD saprot darbības, kas ir tieši saistītas ar 1.1.1.2. pasākuma projekta ietvaros iegādātās pētniecības infrastruktūras ekspluatāciju un tai nepieciešamas vai nesaraujami saistītas ar tās galveno ar saimniecisko darbību nesaistīto izmantojumu, patērējot tādu pašu resursu (piemēram, materiāli, aprīkojums, darbaspēks, pamatkapitāls) apjomu kā ar saimniecisko darbību nesaistītajām pamatdarbībām, piemēram,  </w:t>
      </w:r>
      <w:proofErr w:type="spellStart"/>
      <w:r>
        <w:rPr>
          <w:rFonts w:ascii="Times New Roman" w:eastAsia="Arial" w:hAnsi="Times New Roman" w:cs="Times New Roman"/>
          <w:color w:val="000000"/>
          <w:sz w:val="24"/>
          <w:szCs w:val="24"/>
        </w:rPr>
        <w:t>līgumpētījumi</w:t>
      </w:r>
      <w:proofErr w:type="spellEnd"/>
      <w:r>
        <w:rPr>
          <w:rStyle w:val="FootnoteReference"/>
          <w:rFonts w:ascii="Times New Roman" w:eastAsia="Arial" w:hAnsi="Times New Roman" w:cs="Times New Roman"/>
          <w:color w:val="000000"/>
          <w:sz w:val="24"/>
          <w:szCs w:val="24"/>
        </w:rPr>
        <w:footnoteReference w:id="4"/>
      </w:r>
      <w:r>
        <w:rPr>
          <w:rStyle w:val="FootnoteReference"/>
          <w:rFonts w:ascii="Times New Roman" w:eastAsia="Arial" w:hAnsi="Times New Roman" w:cs="Times New Roman"/>
          <w:color w:val="000000"/>
          <w:sz w:val="24"/>
          <w:szCs w:val="24"/>
        </w:rPr>
        <w:t xml:space="preserve"> .</w:t>
      </w:r>
    </w:p>
    <w:p w14:paraId="4607E8AE" w14:textId="77777777" w:rsidR="004B2146" w:rsidRDefault="004B2146">
      <w:pPr>
        <w:spacing w:after="0"/>
        <w:jc w:val="both"/>
        <w:rPr>
          <w:rFonts w:ascii="Times New Roman" w:eastAsia="Arial" w:hAnsi="Times New Roman" w:cs="Times New Roman"/>
          <w:color w:val="000000"/>
          <w:sz w:val="24"/>
          <w:szCs w:val="24"/>
        </w:rPr>
      </w:pPr>
    </w:p>
    <w:p w14:paraId="4607E8AF" w14:textId="77777777" w:rsidR="004B2146" w:rsidRDefault="007E04C3">
      <w:pPr>
        <w:spacing w:after="0"/>
        <w:jc w:val="both"/>
      </w:pPr>
      <w:r>
        <w:rPr>
          <w:rFonts w:ascii="Times New Roman" w:eastAsia="Arial" w:hAnsi="Times New Roman" w:cs="Times New Roman"/>
          <w:b/>
          <w:bCs/>
          <w:color w:val="000000"/>
          <w:sz w:val="24"/>
          <w:szCs w:val="24"/>
        </w:rPr>
        <w:t xml:space="preserve">Papildpakalpojumi </w:t>
      </w:r>
      <w:r>
        <w:rPr>
          <w:rFonts w:ascii="Times New Roman" w:eastAsia="Arial" w:hAnsi="Times New Roman" w:cs="Times New Roman"/>
          <w:color w:val="000000"/>
          <w:sz w:val="24"/>
          <w:szCs w:val="24"/>
        </w:rPr>
        <w:t xml:space="preserve">- izmantojot projektu ietvaros modernizēto infrastruktūru sniegtie pakalpojumi, kurus galvenokārt izmanto tikai ar saimniecisko darbību nesaistītai darbībai un kuriem pašiem par sevi nebūtu ietekmes uz tirdzniecību un konkurenci Eiropas Savienības iekšējā tirgū, </w:t>
      </w:r>
      <w:r>
        <w:rPr>
          <w:rFonts w:ascii="Times New Roman" w:eastAsia="Times New Roman" w:hAnsi="Times New Roman" w:cs="Times New Roman"/>
          <w:sz w:val="24"/>
          <w:szCs w:val="24"/>
        </w:rPr>
        <w:t>piemēram, papildpakalpojums nesaimnieciskai infrastruktūrai ir maksas kopēšanas pakalpojumi studentiem universitātē u.tml.</w:t>
      </w:r>
      <w:r>
        <w:rPr>
          <w:rStyle w:val="FootnoteReference"/>
          <w:rFonts w:ascii="Times New Roman" w:hAnsi="Times New Roman" w:cs="Times New Roman"/>
        </w:rPr>
        <w:footnoteReference w:id="5"/>
      </w:r>
      <w:r>
        <w:rPr>
          <w:rFonts w:ascii="Times New Roman" w:eastAsia="Times New Roman" w:hAnsi="Times New Roman" w:cs="Times New Roman"/>
          <w:sz w:val="24"/>
          <w:szCs w:val="24"/>
        </w:rPr>
        <w:t>.</w:t>
      </w:r>
    </w:p>
    <w:p w14:paraId="4607E8B0" w14:textId="77777777" w:rsidR="004B2146" w:rsidRDefault="004B2146">
      <w:pPr>
        <w:spacing w:after="0"/>
        <w:jc w:val="both"/>
        <w:rPr>
          <w:rFonts w:ascii="Times New Roman" w:eastAsia="Arial" w:hAnsi="Times New Roman" w:cs="Times New Roman"/>
          <w:color w:val="A6A6A6"/>
          <w:sz w:val="24"/>
          <w:szCs w:val="24"/>
        </w:rPr>
      </w:pPr>
    </w:p>
    <w:p w14:paraId="4607E8B1" w14:textId="77777777" w:rsidR="004B2146" w:rsidRDefault="007E04C3">
      <w:pPr>
        <w:pStyle w:val="CommentText"/>
        <w:spacing w:after="0"/>
        <w:jc w:val="both"/>
      </w:pPr>
      <w:r>
        <w:rPr>
          <w:rFonts w:ascii="Times New Roman" w:eastAsia="Arial" w:hAnsi="Times New Roman" w:cs="Times New Roman"/>
          <w:b/>
          <w:bCs/>
          <w:sz w:val="24"/>
          <w:szCs w:val="24"/>
        </w:rPr>
        <w:t>Saimnieciska darbība</w:t>
      </w:r>
      <w:r>
        <w:rPr>
          <w:rFonts w:ascii="Times New Roman" w:eastAsia="Arial" w:hAnsi="Times New Roman" w:cs="Times New Roman"/>
          <w:sz w:val="24"/>
          <w:szCs w:val="24"/>
        </w:rPr>
        <w:t xml:space="preserve"> – tāda darbība, kur piedāvā preces vai pakalpojumus attiecīgā tirgū. </w:t>
      </w:r>
      <w:r>
        <w:rPr>
          <w:rFonts w:ascii="Times New Roman" w:hAnsi="Times New Roman" w:cs="Times New Roman"/>
          <w:sz w:val="24"/>
          <w:szCs w:val="24"/>
        </w:rPr>
        <w:t xml:space="preserve">Saimnieciskā darbība netiek </w:t>
      </w:r>
      <w:r>
        <w:rPr>
          <w:rFonts w:ascii="Times New Roman" w:hAnsi="Times New Roman" w:cs="Times New Roman"/>
          <w:sz w:val="24"/>
          <w:szCs w:val="24"/>
        </w:rPr>
        <w:t>konstatēta, piemēram, kad darbība ir saistīta vienīgi ar valsts pārvaldes funkciju un pārvaldes uzdevumu vai deleģēto pārvaldes uzdevumu izpildi, tai skaitā, ja publiskas personas infrastruktūra tiek iznomāta publiskās pārvaldes institūcijai vai privātpersonai pārvaldes funkciju vai pārvaldes uzdevumu veikšanai.</w:t>
      </w:r>
    </w:p>
    <w:p w14:paraId="4607E8B2" w14:textId="77777777" w:rsidR="004B2146" w:rsidRDefault="004B2146">
      <w:pPr>
        <w:pStyle w:val="CommentText"/>
        <w:spacing w:after="0"/>
        <w:jc w:val="both"/>
        <w:rPr>
          <w:rFonts w:ascii="Times New Roman" w:hAnsi="Times New Roman" w:cs="Times New Roman"/>
          <w:sz w:val="24"/>
          <w:szCs w:val="24"/>
        </w:rPr>
      </w:pPr>
    </w:p>
    <w:p w14:paraId="4607E8B3" w14:textId="77777777" w:rsidR="004B2146" w:rsidRDefault="007E04C3">
      <w:pPr>
        <w:spacing w:after="0"/>
        <w:jc w:val="both"/>
      </w:pPr>
      <w:r>
        <w:rPr>
          <w:rFonts w:ascii="Times New Roman" w:eastAsia="Times New Roman" w:hAnsi="Times New Roman" w:cs="Times New Roman"/>
          <w:b/>
          <w:bCs/>
          <w:sz w:val="24"/>
          <w:szCs w:val="24"/>
        </w:rPr>
        <w:t>Kombinēta atbalsta projekts</w:t>
      </w:r>
      <w:r>
        <w:rPr>
          <w:rFonts w:ascii="Times New Roman" w:eastAsia="Times New Roman" w:hAnsi="Times New Roman" w:cs="Times New Roman"/>
          <w:sz w:val="24"/>
          <w:szCs w:val="24"/>
        </w:rPr>
        <w:t xml:space="preserve"> - projekts, kuru veido:</w:t>
      </w:r>
    </w:p>
    <w:p w14:paraId="4607E8B4" w14:textId="77777777" w:rsidR="004B2146" w:rsidRDefault="007E04C3">
      <w:pPr>
        <w:pStyle w:val="ListParagraph"/>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saimniecisku darbību nesaistīta projekta daļa, uz kuru attiecināmi ar saimniecisku darbību nesaistīta projekta nosacījumi;</w:t>
      </w:r>
    </w:p>
    <w:p w14:paraId="4607E8B5" w14:textId="77777777" w:rsidR="004B2146" w:rsidRDefault="007E04C3">
      <w:pPr>
        <w:pStyle w:val="ListParagraph"/>
        <w:numPr>
          <w:ilvl w:val="0"/>
          <w:numId w:val="4"/>
        </w:numPr>
        <w:spacing w:after="0"/>
        <w:rPr>
          <w:rFonts w:ascii="Times New Roman" w:hAnsi="Times New Roman" w:cs="Times New Roman"/>
        </w:rPr>
      </w:pPr>
      <w:r>
        <w:rPr>
          <w:rFonts w:ascii="Times New Roman" w:hAnsi="Times New Roman" w:cs="Times New Roman"/>
        </w:rPr>
        <w:t>ar saimniecisku darbību saistīta projekta daļa, kuras ietvaros modernizēto infrastruktūru tās amortizācijas periodā izmanto pētniecības organizācijas saimnieciskajā pamatdarbībā.</w:t>
      </w:r>
    </w:p>
    <w:p w14:paraId="4607E8B6" w14:textId="77777777" w:rsidR="004B2146" w:rsidRDefault="004B2146">
      <w:pPr>
        <w:pStyle w:val="CommentText"/>
        <w:spacing w:after="0"/>
        <w:jc w:val="both"/>
        <w:rPr>
          <w:rFonts w:ascii="Times New Roman" w:hAnsi="Times New Roman" w:cs="Times New Roman"/>
          <w:sz w:val="24"/>
          <w:szCs w:val="24"/>
        </w:rPr>
      </w:pPr>
    </w:p>
    <w:p w14:paraId="4607E8B7" w14:textId="77777777" w:rsidR="004B2146" w:rsidRDefault="007E04C3">
      <w:pPr>
        <w:pStyle w:val="CommentText"/>
        <w:spacing w:after="0"/>
        <w:jc w:val="both"/>
      </w:pPr>
      <w:r>
        <w:rPr>
          <w:rFonts w:ascii="Times New Roman" w:hAnsi="Times New Roman" w:cs="Times New Roman"/>
          <w:b/>
          <w:bCs/>
          <w:sz w:val="24"/>
          <w:szCs w:val="24"/>
        </w:rPr>
        <w:t>Pētniecības infrastruktūra</w:t>
      </w:r>
      <w:r>
        <w:rPr>
          <w:rFonts w:ascii="Times New Roman" w:hAnsi="Times New Roman" w:cs="Times New Roman"/>
          <w:sz w:val="24"/>
          <w:szCs w:val="24"/>
        </w:rPr>
        <w:t xml:space="preserve"> </w:t>
      </w:r>
      <w:r>
        <w:rPr>
          <w:rFonts w:ascii="Times New Roman" w:eastAsia="Arial" w:hAnsi="Times New Roman" w:cs="Times New Roman"/>
          <w:b/>
          <w:bCs/>
          <w:color w:val="000000"/>
          <w:sz w:val="24"/>
          <w:szCs w:val="24"/>
        </w:rPr>
        <w:t>–</w:t>
      </w:r>
      <w:r>
        <w:rPr>
          <w:rFonts w:ascii="Times New Roman" w:hAnsi="Times New Roman" w:cs="Times New Roman"/>
          <w:sz w:val="24"/>
          <w:szCs w:val="24"/>
        </w:rPr>
        <w:t xml:space="preserve"> projekta ietvaros iegādātā zinātniskā aparatūra, aprīkojums, instrumentu komplekti, informācijas un komunikācijas tehnoloģijas un citi materiālie aktīvi.</w:t>
      </w:r>
    </w:p>
    <w:p w14:paraId="4607E8B8" w14:textId="77777777" w:rsidR="004B2146" w:rsidRDefault="004B2146">
      <w:pPr>
        <w:pStyle w:val="CommentText"/>
        <w:spacing w:after="0"/>
        <w:jc w:val="both"/>
        <w:rPr>
          <w:rFonts w:ascii="Times New Roman" w:eastAsia="Times New Roman" w:hAnsi="Times New Roman" w:cs="Times New Roman"/>
          <w:sz w:val="24"/>
          <w:szCs w:val="24"/>
        </w:rPr>
      </w:pPr>
    </w:p>
    <w:p w14:paraId="4607E8B9" w14:textId="77777777" w:rsidR="004B2146" w:rsidRDefault="007E04C3">
      <w:pPr>
        <w:shd w:val="clear" w:color="auto" w:fill="FFFFFF"/>
        <w:spacing w:after="0"/>
        <w:jc w:val="both"/>
      </w:pPr>
      <w:r>
        <w:rPr>
          <w:rFonts w:ascii="Times New Roman" w:eastAsia="Times New Roman" w:hAnsi="Times New Roman" w:cs="Times New Roman"/>
          <w:b/>
          <w:bCs/>
          <w:sz w:val="24"/>
          <w:szCs w:val="24"/>
        </w:rPr>
        <w:t>Pētniecības infrastruktūras amortizācijas periods</w:t>
      </w:r>
      <w:r>
        <w:rPr>
          <w:rFonts w:ascii="Times New Roman" w:eastAsia="Times New Roman" w:hAnsi="Times New Roman" w:cs="Times New Roman"/>
          <w:sz w:val="24"/>
          <w:szCs w:val="24"/>
        </w:rPr>
        <w:t xml:space="preserve"> – pētniecības infrastruktūras lietderīgās lietošanas laiks, </w:t>
      </w:r>
      <w:r>
        <w:rPr>
          <w:rFonts w:ascii="Times New Roman" w:eastAsia="Times New Roman" w:hAnsi="Times New Roman" w:cs="Times New Roman"/>
          <w:color w:val="414142"/>
          <w:sz w:val="24"/>
          <w:szCs w:val="24"/>
          <w:shd w:val="clear" w:color="auto" w:fill="FFFFFF"/>
        </w:rPr>
        <w:t>kuru nosaka atbilstoši noteikumiem par grāmatvedības uzskaites kārtību budžeta iestādēs</w:t>
      </w:r>
      <w:r>
        <w:rPr>
          <w:rFonts w:ascii="Times New Roman" w:eastAsia="Times New Roman" w:hAnsi="Times New Roman" w:cs="Times New Roman"/>
          <w:sz w:val="24"/>
          <w:szCs w:val="24"/>
        </w:rPr>
        <w:t xml:space="preserve">. </w:t>
      </w:r>
    </w:p>
    <w:p w14:paraId="4607E8BA" w14:textId="77777777" w:rsidR="004B2146" w:rsidRDefault="007E04C3">
      <w:pPr>
        <w:shd w:val="clear" w:color="auto" w:fill="FFFFFF"/>
        <w:spacing w:after="0"/>
        <w:jc w:val="center"/>
      </w:pPr>
      <w:r>
        <w:rPr>
          <w:b/>
          <w:bCs/>
        </w:rPr>
        <w:t>II. Vispārīga informācija</w:t>
      </w:r>
    </w:p>
    <w:p w14:paraId="4607E8BB" w14:textId="77777777" w:rsidR="004B2146" w:rsidRDefault="004B2146">
      <w:pPr>
        <w:shd w:val="clear" w:color="auto" w:fill="FFFFFF"/>
        <w:spacing w:after="0"/>
        <w:jc w:val="both"/>
        <w:rPr>
          <w:b/>
        </w:rPr>
      </w:pPr>
    </w:p>
    <w:p w14:paraId="4607E8BC" w14:textId="77777777" w:rsidR="004B2146" w:rsidRDefault="007E04C3">
      <w:pPr>
        <w:numPr>
          <w:ilvl w:val="0"/>
          <w:numId w:val="5"/>
        </w:numPr>
        <w:shd w:val="clear" w:color="auto" w:fill="FFFFFF"/>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Metodika “Publiskā finansējuma ikgadējais uzraudzības nodrošināšanas un atgūšanas mehānisms Eiropas Savienības kohēzijas politikas programmas 2021. – 2027. gadam 1.1.1. specifiskā atbalsta </w:t>
      </w:r>
      <w:r>
        <w:rPr>
          <w:rFonts w:ascii="Times New Roman" w:hAnsi="Times New Roman" w:cs="Times New Roman"/>
          <w:sz w:val="24"/>
          <w:szCs w:val="24"/>
        </w:rPr>
        <w:t>mērķa "Pētniecības un inovāciju kapacitātes stiprināšana un progresīvu tehnoloģiju ieviešana kopējā P&amp;A sistēmā" 1.1.1.2. pasākuma "RIS3 pētniecības un inovācijas centri" projektos” (turpmāk – metodika) nosaka pamatprincipus 1.1.1.2. pasākuma projektu ikgadējai PSD uzraudzībai un nelikumīga komercdarbības atbalsta atgūšanai, ja tiek pārsniegts PSD noteiktais apjoms 1.1.1.2. pasākuma projektā iegādātās pētniecības infrastruktūras amortizācijas periodā (turpmāk – ikgadējās uzraudzības periods) vai kombinēta a</w:t>
      </w:r>
      <w:r>
        <w:rPr>
          <w:rFonts w:ascii="Times New Roman" w:hAnsi="Times New Roman" w:cs="Times New Roman"/>
          <w:sz w:val="24"/>
          <w:szCs w:val="24"/>
        </w:rPr>
        <w:t xml:space="preserve">tbalsta projekta gadījumā saimnieciskās darbības īpatsvars ir lielāks nekā valsts atbalsta piešķiršanas dienā prognozēts. </w:t>
      </w:r>
    </w:p>
    <w:p w14:paraId="4607E8BD" w14:textId="77777777" w:rsidR="004B2146" w:rsidRDefault="004B2146">
      <w:pPr>
        <w:shd w:val="clear" w:color="auto" w:fill="FFFFFF"/>
        <w:spacing w:after="0"/>
        <w:ind w:firstLine="709"/>
        <w:jc w:val="both"/>
        <w:rPr>
          <w:rFonts w:ascii="Times New Roman" w:hAnsi="Times New Roman" w:cs="Times New Roman"/>
          <w:sz w:val="24"/>
          <w:szCs w:val="24"/>
        </w:rPr>
      </w:pPr>
    </w:p>
    <w:p w14:paraId="4607E8BE" w14:textId="77777777" w:rsidR="004B2146" w:rsidRDefault="007E04C3">
      <w:pPr>
        <w:numPr>
          <w:ilvl w:val="0"/>
          <w:numId w:val="5"/>
        </w:numPr>
        <w:shd w:val="clear" w:color="auto" w:fill="FFFFFF"/>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Metodika izstrādāta, balstoties uz iepriekšējo pieredzi, pārbaužu un revīziju rezultātiem un ieteikumiem, kā arī pareizas finanšu pārvaldības principiem, ievērojot šādus normatīvos aktus, dokumentus un skaidrojošos materiālus: </w:t>
      </w:r>
    </w:p>
    <w:p w14:paraId="4607E8BF" w14:textId="77777777" w:rsidR="004B2146" w:rsidRDefault="007E04C3">
      <w:pPr>
        <w:numPr>
          <w:ilvl w:val="1"/>
          <w:numId w:val="5"/>
        </w:numPr>
        <w:shd w:val="clear" w:color="auto" w:fill="FFFFFF"/>
        <w:spacing w:after="0"/>
        <w:ind w:left="1843" w:hanging="709"/>
        <w:jc w:val="both"/>
        <w:rPr>
          <w:rFonts w:ascii="Times New Roman" w:hAnsi="Times New Roman" w:cs="Times New Roman"/>
          <w:sz w:val="24"/>
          <w:szCs w:val="24"/>
        </w:rPr>
      </w:pPr>
      <w:r>
        <w:rPr>
          <w:rFonts w:ascii="Times New Roman" w:hAnsi="Times New Roman" w:cs="Times New Roman"/>
          <w:sz w:val="24"/>
          <w:szCs w:val="24"/>
        </w:rPr>
        <w:t>MK noteikumi Nr. 88;</w:t>
      </w:r>
    </w:p>
    <w:p w14:paraId="4607E8C0" w14:textId="77777777" w:rsidR="004B2146" w:rsidRDefault="007E04C3">
      <w:pPr>
        <w:numPr>
          <w:ilvl w:val="1"/>
          <w:numId w:val="5"/>
        </w:numPr>
        <w:shd w:val="clear" w:color="auto" w:fill="FFFFFF"/>
        <w:spacing w:after="0"/>
        <w:ind w:left="1843" w:hanging="709"/>
        <w:jc w:val="both"/>
        <w:rPr>
          <w:rFonts w:ascii="Times New Roman" w:hAnsi="Times New Roman" w:cs="Times New Roman"/>
          <w:sz w:val="24"/>
          <w:szCs w:val="24"/>
        </w:rPr>
      </w:pPr>
      <w:r>
        <w:rPr>
          <w:rFonts w:ascii="Times New Roman" w:hAnsi="Times New Roman" w:cs="Times New Roman"/>
          <w:sz w:val="24"/>
          <w:szCs w:val="24"/>
        </w:rPr>
        <w:t xml:space="preserve">Līgums par Eiropas Savienības darbību; </w:t>
      </w:r>
    </w:p>
    <w:p w14:paraId="4607E8C1" w14:textId="77777777" w:rsidR="004B2146" w:rsidRDefault="007E04C3">
      <w:pPr>
        <w:numPr>
          <w:ilvl w:val="1"/>
          <w:numId w:val="5"/>
        </w:numPr>
        <w:shd w:val="clear" w:color="auto" w:fill="FFFFFF"/>
        <w:spacing w:after="0"/>
        <w:ind w:left="1843" w:hanging="709"/>
        <w:jc w:val="both"/>
        <w:rPr>
          <w:rFonts w:ascii="Times New Roman" w:hAnsi="Times New Roman" w:cs="Times New Roman"/>
          <w:sz w:val="24"/>
          <w:szCs w:val="24"/>
        </w:rPr>
      </w:pPr>
      <w:r>
        <w:rPr>
          <w:rFonts w:ascii="Times New Roman" w:hAnsi="Times New Roman" w:cs="Times New Roman"/>
          <w:sz w:val="24"/>
          <w:szCs w:val="24"/>
        </w:rPr>
        <w:t>Komisijas Regula Nr. 651/2014;</w:t>
      </w:r>
    </w:p>
    <w:p w14:paraId="4607E8C2" w14:textId="77777777" w:rsidR="004B2146" w:rsidRDefault="007E04C3">
      <w:pPr>
        <w:numPr>
          <w:ilvl w:val="1"/>
          <w:numId w:val="5"/>
        </w:numPr>
        <w:shd w:val="clear" w:color="auto" w:fill="FFFFFF"/>
        <w:spacing w:after="0"/>
        <w:ind w:left="1843" w:hanging="709"/>
        <w:jc w:val="both"/>
      </w:pPr>
      <w:r>
        <w:rPr>
          <w:rFonts w:ascii="Times New Roman" w:hAnsi="Times New Roman" w:cs="Times New Roman"/>
          <w:sz w:val="24"/>
          <w:szCs w:val="24"/>
        </w:rPr>
        <w:t>Komisijas paziņojums par Līguma par Eiropas Savienības darbību 107. panta 1. punktā minēto valsts atbalsta jēdzienu (2016/C 262/01)</w:t>
      </w:r>
      <w:r>
        <w:rPr>
          <w:rFonts w:ascii="Times New Roman" w:hAnsi="Times New Roman" w:cs="Times New Roman"/>
          <w:sz w:val="24"/>
          <w:szCs w:val="24"/>
          <w:vertAlign w:val="superscript"/>
        </w:rPr>
        <w:footnoteReference w:id="6"/>
      </w:r>
      <w:r>
        <w:rPr>
          <w:rFonts w:ascii="Times New Roman" w:hAnsi="Times New Roman" w:cs="Times New Roman"/>
          <w:sz w:val="24"/>
          <w:szCs w:val="24"/>
        </w:rPr>
        <w:t>;</w:t>
      </w:r>
    </w:p>
    <w:p w14:paraId="4607E8C3" w14:textId="77777777" w:rsidR="004B2146" w:rsidRDefault="007E04C3">
      <w:pPr>
        <w:numPr>
          <w:ilvl w:val="1"/>
          <w:numId w:val="5"/>
        </w:numPr>
        <w:shd w:val="clear" w:color="auto" w:fill="FFFFFF"/>
        <w:spacing w:after="0"/>
        <w:ind w:left="1843" w:hanging="709"/>
        <w:jc w:val="both"/>
      </w:pPr>
      <w:r>
        <w:rPr>
          <w:rFonts w:ascii="Times New Roman" w:hAnsi="Times New Roman" w:cs="Times New Roman"/>
          <w:sz w:val="24"/>
          <w:szCs w:val="24"/>
        </w:rPr>
        <w:t>Komisijas paziņojums “Pētniecībai, izstrādei un inovācijai piešķiramā valsts atbalsta nostādnes” (Eiropas Savienības Oficiālais Vēstnesis, 2022. gada 28. oktobris, Nr. C 414/1)</w:t>
      </w:r>
      <w:r>
        <w:rPr>
          <w:rFonts w:ascii="Times New Roman" w:hAnsi="Times New Roman" w:cs="Times New Roman"/>
          <w:sz w:val="24"/>
          <w:szCs w:val="24"/>
          <w:vertAlign w:val="superscript"/>
        </w:rPr>
        <w:footnoteReference w:id="7"/>
      </w:r>
      <w:r>
        <w:rPr>
          <w:rFonts w:ascii="Times New Roman" w:hAnsi="Times New Roman" w:cs="Times New Roman"/>
          <w:sz w:val="24"/>
          <w:szCs w:val="24"/>
        </w:rPr>
        <w:t>;</w:t>
      </w:r>
    </w:p>
    <w:p w14:paraId="4607E8C4" w14:textId="77777777" w:rsidR="004B2146" w:rsidRDefault="007E04C3">
      <w:pPr>
        <w:numPr>
          <w:ilvl w:val="1"/>
          <w:numId w:val="5"/>
        </w:numPr>
        <w:shd w:val="clear" w:color="auto" w:fill="FFFFFF"/>
        <w:spacing w:after="0"/>
        <w:ind w:left="1843" w:hanging="709"/>
        <w:jc w:val="both"/>
        <w:rPr>
          <w:rFonts w:ascii="Times New Roman" w:hAnsi="Times New Roman" w:cs="Times New Roman"/>
          <w:sz w:val="24"/>
          <w:szCs w:val="24"/>
        </w:rPr>
      </w:pPr>
      <w:r>
        <w:rPr>
          <w:rFonts w:ascii="Times New Roman" w:hAnsi="Times New Roman" w:cs="Times New Roman"/>
          <w:sz w:val="24"/>
          <w:szCs w:val="24"/>
        </w:rPr>
        <w:t>Konkurences Ģenerāldirektorāta e-</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Aid WIKI sistēmā (turpmāk – e-</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Aid WIKI sistēma) sniegtie skaidrojumi par atgūšanas mehānismu un atgūstamā publiskā finansējuma aprēķināšanas metodiku;</w:t>
      </w:r>
    </w:p>
    <w:p w14:paraId="4607E8C5" w14:textId="77777777" w:rsidR="004B2146" w:rsidRDefault="007E04C3">
      <w:pPr>
        <w:numPr>
          <w:ilvl w:val="1"/>
          <w:numId w:val="5"/>
        </w:numPr>
        <w:shd w:val="clear" w:color="auto" w:fill="FFFFFF"/>
        <w:spacing w:after="0"/>
        <w:ind w:left="1843" w:hanging="709"/>
        <w:jc w:val="both"/>
      </w:pPr>
      <w:r>
        <w:rPr>
          <w:rFonts w:ascii="Times New Roman" w:hAnsi="Times New Roman" w:cs="Times New Roman"/>
          <w:sz w:val="24"/>
          <w:szCs w:val="24"/>
        </w:rPr>
        <w:t>Finanšu ministrijas skaidrojošais materiāls par PSD (</w:t>
      </w:r>
      <w:proofErr w:type="spellStart"/>
      <w:r>
        <w:rPr>
          <w:rFonts w:ascii="Times New Roman" w:hAnsi="Times New Roman" w:cs="Times New Roman"/>
          <w:sz w:val="24"/>
          <w:szCs w:val="24"/>
        </w:rPr>
        <w:t>ancillary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activity</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footnoteReference w:id="8"/>
      </w:r>
      <w:r>
        <w:rPr>
          <w:rFonts w:ascii="Times New Roman" w:hAnsi="Times New Roman" w:cs="Times New Roman"/>
          <w:sz w:val="24"/>
          <w:szCs w:val="24"/>
        </w:rPr>
        <w:t>.</w:t>
      </w:r>
    </w:p>
    <w:p w14:paraId="4607E8C6" w14:textId="77777777" w:rsidR="004B2146" w:rsidRDefault="004B2146">
      <w:pPr>
        <w:shd w:val="clear" w:color="auto" w:fill="FFFFFF"/>
        <w:spacing w:after="0"/>
        <w:ind w:firstLine="66"/>
        <w:jc w:val="both"/>
        <w:rPr>
          <w:rFonts w:ascii="Times New Roman" w:hAnsi="Times New Roman" w:cs="Times New Roman"/>
          <w:sz w:val="24"/>
          <w:szCs w:val="24"/>
        </w:rPr>
      </w:pPr>
    </w:p>
    <w:p w14:paraId="4607E8C7" w14:textId="77777777" w:rsidR="004B2146" w:rsidRDefault="007E04C3">
      <w:pPr>
        <w:numPr>
          <w:ilvl w:val="0"/>
          <w:numId w:val="5"/>
        </w:numPr>
        <w:shd w:val="clear" w:color="auto" w:fill="FFFFFF"/>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1.1.1.2. pasākuma projekta PSD uzraudzību un nelikumīgā komercdarbības atbalsta atgūšanu veic Centrālā </w:t>
      </w:r>
      <w:r>
        <w:rPr>
          <w:rFonts w:ascii="Times New Roman" w:hAnsi="Times New Roman" w:cs="Times New Roman"/>
          <w:sz w:val="24"/>
          <w:szCs w:val="24"/>
        </w:rPr>
        <w:t>finanšu un līgumu aģentūra kā sadarbības iestāde (turpmāk – sadarbības iestāde) atbilstoši MK noteikumu Nr. 88 43. un 44.punktā. punktā noteiktajam.</w:t>
      </w:r>
    </w:p>
    <w:p w14:paraId="4607E8C8" w14:textId="77777777" w:rsidR="004B2146" w:rsidRDefault="004B2146">
      <w:pPr>
        <w:shd w:val="clear" w:color="auto" w:fill="FFFFFF"/>
        <w:spacing w:after="0"/>
        <w:ind w:firstLine="709"/>
        <w:jc w:val="both"/>
        <w:rPr>
          <w:rFonts w:ascii="Times New Roman" w:hAnsi="Times New Roman" w:cs="Times New Roman"/>
          <w:sz w:val="24"/>
          <w:szCs w:val="24"/>
        </w:rPr>
      </w:pPr>
    </w:p>
    <w:p w14:paraId="4607E8C9" w14:textId="77777777" w:rsidR="004B2146" w:rsidRDefault="007E04C3">
      <w:pPr>
        <w:numPr>
          <w:ilvl w:val="0"/>
          <w:numId w:val="5"/>
        </w:numPr>
        <w:spacing w:after="0"/>
        <w:ind w:left="0" w:firstLine="709"/>
        <w:jc w:val="both"/>
      </w:pPr>
      <w:r>
        <w:rPr>
          <w:rFonts w:ascii="Times New Roman" w:hAnsi="Times New Roman" w:cs="Times New Roman"/>
          <w:sz w:val="24"/>
          <w:szCs w:val="24"/>
        </w:rPr>
        <w:t>Projekta ikgadējās uzraudzības periodu pētniecības organizācija nosaka atbilstoši pētniecības infrastruktūras amortizācijas periodam, kas sākas ar vienošanos par projekta īstenošanu noslēgšanu un nepārsniedz projekta dzīves cikla laiku (10 gadi atbilstoši MK noteikumu 59. punktam).</w:t>
      </w:r>
    </w:p>
    <w:p w14:paraId="4607E8CA" w14:textId="77777777" w:rsidR="004B2146" w:rsidRDefault="004B2146">
      <w:pPr>
        <w:shd w:val="clear" w:color="auto" w:fill="FFFFFF"/>
        <w:spacing w:after="0"/>
        <w:jc w:val="both"/>
      </w:pPr>
    </w:p>
    <w:p w14:paraId="4607E8CB" w14:textId="77777777" w:rsidR="004B2146" w:rsidRDefault="007E04C3">
      <w:pPr>
        <w:shd w:val="clear" w:color="auto" w:fill="FFFFFF"/>
        <w:spacing w:after="0"/>
        <w:jc w:val="both"/>
      </w:pPr>
      <w:r>
        <w:rPr>
          <w:rFonts w:ascii="Times New Roman" w:eastAsia="Times New Roman" w:hAnsi="Times New Roman" w:cs="Times New Roman"/>
          <w:b/>
          <w:bCs/>
          <w:sz w:val="24"/>
          <w:szCs w:val="24"/>
        </w:rPr>
        <w:t>III. Prasības pētniecības organizācijai ikgadējās uzraudzības nodrošināšanai</w:t>
      </w:r>
    </w:p>
    <w:p w14:paraId="4607E8CC" w14:textId="77777777" w:rsidR="004B2146" w:rsidRDefault="004B2146">
      <w:pPr>
        <w:spacing w:after="0"/>
        <w:ind w:firstLine="720"/>
        <w:jc w:val="center"/>
        <w:rPr>
          <w:rFonts w:ascii="Times New Roman" w:eastAsia="Times New Roman" w:hAnsi="Times New Roman" w:cs="Times New Roman"/>
          <w:b/>
          <w:sz w:val="24"/>
          <w:szCs w:val="24"/>
        </w:rPr>
      </w:pPr>
    </w:p>
    <w:p w14:paraId="4607E8CD" w14:textId="77777777" w:rsidR="004B2146" w:rsidRDefault="007E04C3">
      <w:pPr>
        <w:pStyle w:val="ListParagraph"/>
        <w:numPr>
          <w:ilvl w:val="0"/>
          <w:numId w:val="5"/>
        </w:numPr>
        <w:tabs>
          <w:tab w:val="left" w:pos="426"/>
          <w:tab w:val="left" w:pos="1134"/>
        </w:tabs>
        <w:spacing w:after="0"/>
        <w:ind w:left="0" w:right="-1" w:firstLine="720"/>
        <w:jc w:val="both"/>
      </w:pPr>
      <w:r>
        <w:rPr>
          <w:rFonts w:ascii="Times New Roman" w:hAnsi="Times New Roman" w:cs="Times New Roman"/>
          <w:sz w:val="24"/>
          <w:szCs w:val="24"/>
        </w:rPr>
        <w:t xml:space="preserve">Lai, saskaņā ar MK noteikumu Nr. </w:t>
      </w:r>
      <w:bookmarkStart w:id="5" w:name="_Hlk189063833"/>
      <w:r>
        <w:rPr>
          <w:rFonts w:ascii="Times New Roman" w:hAnsi="Times New Roman" w:cs="Times New Roman"/>
          <w:sz w:val="24"/>
          <w:szCs w:val="24"/>
        </w:rPr>
        <w:t xml:space="preserve">88 </w:t>
      </w:r>
      <w:bookmarkEnd w:id="5"/>
      <w:r>
        <w:fldChar w:fldCharType="begin"/>
      </w:r>
      <w:r>
        <w:instrText xml:space="preserve"> HYPERLINK  "https://likumi.lv/ta/id/356674" </w:instrText>
      </w:r>
      <w:r>
        <w:fldChar w:fldCharType="separate"/>
      </w:r>
      <w:r>
        <w:rPr>
          <w:rFonts w:ascii="Times New Roman" w:hAnsi="Times New Roman" w:cs="Times New Roman"/>
          <w:sz w:val="24"/>
          <w:szCs w:val="24"/>
        </w:rPr>
        <w:t>42.</w:t>
      </w:r>
      <w:r>
        <w:fldChar w:fldCharType="end"/>
      </w:r>
      <w:r>
        <w:rPr>
          <w:rFonts w:ascii="Times New Roman" w:hAnsi="Times New Roman" w:cs="Times New Roman"/>
          <w:sz w:val="24"/>
          <w:szCs w:val="24"/>
        </w:rPr>
        <w:t xml:space="preserve"> punktā noteikto, 1.1.1.2. pasākuma atbalsts ar saimniecisko darbību nesaistīta projekta vai projekta daļas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ietvaros netiktu kvalificēts kā komercdarbības atbalsts, pētniecības infrastruktūrā, kuru izmanto pētniecības organizācijas darbībai, kurai nav saimnieciska rakstura, ir pieļaujama PSD veikšana ne vairāk kā 20 % apmērā no attiecīgās pētniecības infrastruktūras gada jaudas laika vai finanšu izteiksmē</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14:paraId="4607E8CE" w14:textId="77777777" w:rsidR="004B2146" w:rsidRDefault="004B2146">
      <w:pPr>
        <w:pStyle w:val="ListParagraph"/>
        <w:tabs>
          <w:tab w:val="left" w:pos="426"/>
          <w:tab w:val="left" w:pos="1134"/>
        </w:tabs>
        <w:spacing w:after="0"/>
        <w:ind w:right="-1"/>
        <w:jc w:val="both"/>
        <w:rPr>
          <w:rFonts w:ascii="Times New Roman" w:hAnsi="Times New Roman" w:cs="Times New Roman"/>
          <w:sz w:val="24"/>
          <w:szCs w:val="24"/>
        </w:rPr>
      </w:pPr>
    </w:p>
    <w:p w14:paraId="4607E8CF" w14:textId="77777777" w:rsidR="004B2146" w:rsidRDefault="007E04C3">
      <w:pPr>
        <w:pStyle w:val="ListParagraph"/>
        <w:numPr>
          <w:ilvl w:val="0"/>
          <w:numId w:val="5"/>
        </w:numPr>
        <w:tabs>
          <w:tab w:val="left" w:pos="426"/>
          <w:tab w:val="left" w:pos="1134"/>
        </w:tabs>
        <w:spacing w:after="0"/>
        <w:ind w:left="0" w:right="-1" w:firstLine="720"/>
        <w:jc w:val="both"/>
      </w:pPr>
      <w:r>
        <w:rPr>
          <w:rFonts w:ascii="Times New Roman" w:hAnsi="Times New Roman" w:cs="Times New Roman"/>
          <w:sz w:val="24"/>
          <w:szCs w:val="24"/>
        </w:rPr>
        <w:t xml:space="preserve">Ja pētniecības organizācija veic gan darbību, kurai nav saimnieciska rakstura, gan saimniecisku  darbību, tā nodala </w:t>
      </w:r>
      <w:r>
        <w:rPr>
          <w:rFonts w:ascii="Times New Roman" w:hAnsi="Times New Roman" w:cs="Times New Roman"/>
          <w:sz w:val="24"/>
          <w:szCs w:val="24"/>
        </w:rPr>
        <w:t xml:space="preserve">darbību veidus un to izmaksas, finansējumu un ieņēmumus tā, </w:t>
      </w:r>
      <w:r>
        <w:rPr>
          <w:rFonts w:ascii="Times New Roman" w:hAnsi="Times New Roman" w:cs="Times New Roman"/>
          <w:sz w:val="24"/>
          <w:szCs w:val="24"/>
        </w:rPr>
        <w:lastRenderedPageBreak/>
        <w:t xml:space="preserve">lai efektīvi novērstu saimnieciskās darbības </w:t>
      </w:r>
      <w:proofErr w:type="spellStart"/>
      <w:r>
        <w:rPr>
          <w:rFonts w:ascii="Times New Roman" w:hAnsi="Times New Roman" w:cs="Times New Roman"/>
          <w:sz w:val="24"/>
          <w:szCs w:val="24"/>
        </w:rPr>
        <w:t>šķērssubsidēšanu</w:t>
      </w:r>
      <w:proofErr w:type="spellEnd"/>
      <w:r>
        <w:rPr>
          <w:rFonts w:ascii="Times New Roman" w:hAnsi="Times New Roman" w:cs="Times New Roman"/>
          <w:sz w:val="24"/>
          <w:szCs w:val="24"/>
        </w:rPr>
        <w:t xml:space="preserve"> darbību un ar tām saistīto  finanšu plūsmu ietvaros saskaņā ar MK noteikumu Nr. 88 27.3. apakšpunktu.</w:t>
      </w:r>
    </w:p>
    <w:p w14:paraId="4607E8D0" w14:textId="77777777" w:rsidR="004B2146" w:rsidRDefault="004B2146">
      <w:pPr>
        <w:spacing w:after="0"/>
        <w:rPr>
          <w:rFonts w:ascii="Times New Roman" w:hAnsi="Times New Roman" w:cs="Times New Roman"/>
          <w:sz w:val="24"/>
          <w:szCs w:val="24"/>
        </w:rPr>
      </w:pPr>
    </w:p>
    <w:p w14:paraId="4607E8D1" w14:textId="77777777" w:rsidR="004B2146" w:rsidRDefault="007E04C3">
      <w:pPr>
        <w:pStyle w:val="ListParagraph"/>
        <w:numPr>
          <w:ilvl w:val="0"/>
          <w:numId w:val="5"/>
        </w:numPr>
        <w:tabs>
          <w:tab w:val="left" w:pos="426"/>
          <w:tab w:val="left" w:pos="1134"/>
        </w:tabs>
        <w:spacing w:after="0"/>
        <w:ind w:left="0" w:right="-1" w:firstLine="720"/>
        <w:jc w:val="both"/>
      </w:pPr>
      <w:r>
        <w:rPr>
          <w:rFonts w:ascii="Times New Roman" w:hAnsi="Times New Roman" w:cs="Times New Roman"/>
          <w:sz w:val="24"/>
          <w:szCs w:val="24"/>
        </w:rPr>
        <w:t xml:space="preserve">1.1.1.2. pasākuma projektā ir pieļaujamas pētniecības infrastruktūras attīstības izmaksas saskaņā ar MK noteikumu Nr. 88. 35.3. apakšpunktu. </w:t>
      </w:r>
    </w:p>
    <w:p w14:paraId="4607E8D2" w14:textId="77777777" w:rsidR="004B2146" w:rsidRDefault="004B2146">
      <w:pPr>
        <w:pStyle w:val="ListParagraph"/>
        <w:tabs>
          <w:tab w:val="left" w:pos="426"/>
          <w:tab w:val="left" w:pos="1134"/>
        </w:tabs>
        <w:spacing w:after="0"/>
        <w:ind w:right="-1"/>
        <w:jc w:val="both"/>
        <w:rPr>
          <w:rFonts w:ascii="Times New Roman" w:hAnsi="Times New Roman" w:cs="Times New Roman"/>
          <w:sz w:val="24"/>
          <w:szCs w:val="24"/>
        </w:rPr>
      </w:pPr>
    </w:p>
    <w:p w14:paraId="4607E8D3" w14:textId="77777777" w:rsidR="004B2146" w:rsidRDefault="007E04C3">
      <w:pPr>
        <w:pStyle w:val="ListParagraph"/>
        <w:numPr>
          <w:ilvl w:val="0"/>
          <w:numId w:val="5"/>
        </w:numPr>
        <w:tabs>
          <w:tab w:val="left" w:pos="426"/>
          <w:tab w:val="left" w:pos="1134"/>
        </w:tabs>
        <w:spacing w:after="0"/>
        <w:ind w:left="0" w:right="-1" w:firstLine="709"/>
        <w:jc w:val="both"/>
      </w:pPr>
      <w:r>
        <w:rPr>
          <w:rFonts w:ascii="Times New Roman" w:hAnsi="Times New Roman" w:cs="Times New Roman"/>
          <w:sz w:val="24"/>
          <w:szCs w:val="24"/>
        </w:rPr>
        <w:t xml:space="preserve">Ja 1.1.1.2. pasākuma projekta īstenošanas rezultātā iegādāto pētniecības infrastruktūru paredzēts izmantot PSD veikšanai, pētniecības organizācijai finanšu vadības un grāmatvedības politikas aprakstā ir jābūt ietvertai kārtībai, kurā PSD ikgadējās uzraudzības nodrošināšanai ir iekļauta vismaz šāda informācija: </w:t>
      </w:r>
    </w:p>
    <w:p w14:paraId="4607E8D4" w14:textId="77777777" w:rsidR="004B2146" w:rsidRDefault="007E04C3">
      <w:pPr>
        <w:pStyle w:val="ListParagraph"/>
        <w:numPr>
          <w:ilvl w:val="1"/>
          <w:numId w:val="5"/>
        </w:numPr>
        <w:tabs>
          <w:tab w:val="left" w:pos="426"/>
        </w:tabs>
        <w:spacing w:after="0"/>
        <w:ind w:left="709" w:right="-1" w:firstLine="567"/>
        <w:jc w:val="both"/>
        <w:rPr>
          <w:rFonts w:ascii="Times New Roman" w:hAnsi="Times New Roman" w:cs="Times New Roman"/>
          <w:sz w:val="24"/>
          <w:szCs w:val="24"/>
        </w:rPr>
      </w:pPr>
      <w:r>
        <w:rPr>
          <w:rFonts w:ascii="Times New Roman" w:hAnsi="Times New Roman" w:cs="Times New Roman"/>
          <w:sz w:val="24"/>
          <w:szCs w:val="24"/>
        </w:rPr>
        <w:t>kārtība, kādā pētniecības organizācija nodala projekta īstenošanas finanšu plūsmas no citām pētniecības organizācijas darbībām un finanšu plūsmām projekta īstenošanas laikā un pētniecības infrastruktūras ikgadējās uzraudzības periodā, tai skaitā:</w:t>
      </w:r>
    </w:p>
    <w:p w14:paraId="4607E8D5" w14:textId="77777777" w:rsidR="004B2146" w:rsidRDefault="007E04C3">
      <w:pPr>
        <w:pStyle w:val="ListParagraph"/>
        <w:numPr>
          <w:ilvl w:val="2"/>
          <w:numId w:val="5"/>
        </w:numPr>
        <w:tabs>
          <w:tab w:val="left" w:pos="-2978"/>
        </w:tabs>
        <w:spacing w:after="0"/>
        <w:ind w:left="2268" w:right="-1" w:hanging="708"/>
        <w:jc w:val="both"/>
        <w:rPr>
          <w:rFonts w:ascii="Times New Roman" w:hAnsi="Times New Roman" w:cs="Times New Roman"/>
          <w:sz w:val="24"/>
          <w:szCs w:val="24"/>
        </w:rPr>
      </w:pPr>
      <w:r>
        <w:rPr>
          <w:rFonts w:ascii="Times New Roman" w:hAnsi="Times New Roman" w:cs="Times New Roman"/>
          <w:sz w:val="24"/>
          <w:szCs w:val="24"/>
        </w:rPr>
        <w:t>ar saimniecisku darbību nesaistītu pamatdarbību un ar tām saistītās finanšu plūsmas nodalīšana no saimnieciskām pamatdarbībām un ar tām saistītām finanšu plūsmām;</w:t>
      </w:r>
    </w:p>
    <w:p w14:paraId="4607E8D6" w14:textId="77777777" w:rsidR="004B2146" w:rsidRDefault="007E04C3">
      <w:pPr>
        <w:pStyle w:val="ListParagraph"/>
        <w:numPr>
          <w:ilvl w:val="2"/>
          <w:numId w:val="5"/>
        </w:numPr>
        <w:tabs>
          <w:tab w:val="left" w:pos="-2978"/>
        </w:tabs>
        <w:spacing w:after="0"/>
        <w:ind w:left="2268" w:right="-1" w:hanging="708"/>
        <w:jc w:val="both"/>
        <w:rPr>
          <w:rFonts w:ascii="Times New Roman" w:hAnsi="Times New Roman" w:cs="Times New Roman"/>
          <w:sz w:val="24"/>
          <w:szCs w:val="24"/>
        </w:rPr>
      </w:pPr>
      <w:r>
        <w:rPr>
          <w:rFonts w:ascii="Times New Roman" w:hAnsi="Times New Roman" w:cs="Times New Roman"/>
          <w:sz w:val="24"/>
          <w:szCs w:val="24"/>
        </w:rPr>
        <w:t xml:space="preserve">pamatdarbības un ar tām saistītās finanšu plūsmas nodalīšana no pārējām institūcijas darbībām – papildpakalpojumiem un ierobežotas jomas darbības, un ar tām saistītajām finanšu </w:t>
      </w:r>
      <w:r>
        <w:rPr>
          <w:rFonts w:ascii="Times New Roman" w:hAnsi="Times New Roman" w:cs="Times New Roman"/>
          <w:sz w:val="24"/>
          <w:szCs w:val="24"/>
        </w:rPr>
        <w:t>plūsmām;</w:t>
      </w:r>
    </w:p>
    <w:p w14:paraId="4607E8D7" w14:textId="77777777" w:rsidR="004B2146" w:rsidRDefault="007E04C3">
      <w:pPr>
        <w:pStyle w:val="ListParagraph"/>
        <w:tabs>
          <w:tab w:val="left" w:pos="426"/>
        </w:tabs>
        <w:spacing w:after="0"/>
        <w:ind w:left="709" w:right="-1" w:firstLine="567"/>
        <w:jc w:val="both"/>
      </w:pPr>
      <w:r>
        <w:rPr>
          <w:rFonts w:ascii="Times New Roman" w:hAnsi="Times New Roman" w:cs="Times New Roman"/>
          <w:sz w:val="24"/>
          <w:szCs w:val="24"/>
        </w:rPr>
        <w:t>8.2. ir noteikta PSD jaudas aprēķina metode laika vai finanšu izteiksmē un skaidrojums, kā nosaka (aprēķina) PSD iedalīto jaudu laika vai finanšu izteiksmē. Pētniecības organizācija izvēlas vienu no pētniecības infrastruktūras jaudas aprēķina metodēm (finanšu vai laika), kuru nepieciešamības gadījumā drīkst mainīt vienu reizi līdz projekta noslēguma maksājuma pieprasījuma apstiprināšanai sadarbības iestādē. Pēc projekta noslēguma maksājuma pieprasījuma apstiprināšanai sadarbības iestādē izvēlētā PSD aprēķin</w:t>
      </w:r>
      <w:r>
        <w:rPr>
          <w:rFonts w:ascii="Times New Roman" w:hAnsi="Times New Roman" w:cs="Times New Roman"/>
          <w:sz w:val="24"/>
          <w:szCs w:val="24"/>
        </w:rPr>
        <w:t>a metode tiek piemērota un nevar tikt mainīta visā pētniecības infrastruktūras ikgadējās uzraudzības periodā. Ja pētniecības organizācijai ir iegādātas vairākas pētniecības infrastruktūras vienības, katrai pētniecības infrastruktūras vienībai var noteikt citu PSD aprēķina metodi. Ja projekta ietvaros vairākas pētniecības organizācijas (finansējuma saņēmējs un sadarbības partneris) iegādājas pētniecības infrastruktūru, katrai pētniecības organizācijai var būt atšķirīga PSD aprēķina veids. Aprēķins veicams at</w:t>
      </w:r>
      <w:r>
        <w:rPr>
          <w:rFonts w:ascii="Times New Roman" w:hAnsi="Times New Roman" w:cs="Times New Roman"/>
          <w:sz w:val="24"/>
          <w:szCs w:val="24"/>
        </w:rPr>
        <w:t>bilstoši sākotnēji izvēlētajam veidam laika vai finanšu izteiksmē;</w:t>
      </w:r>
    </w:p>
    <w:p w14:paraId="4607E8D8" w14:textId="77777777" w:rsidR="004B2146" w:rsidRDefault="007E04C3">
      <w:pPr>
        <w:pStyle w:val="ListParagraph"/>
        <w:tabs>
          <w:tab w:val="left" w:pos="426"/>
        </w:tabs>
        <w:spacing w:after="0"/>
        <w:ind w:left="709" w:right="-1" w:firstLine="567"/>
        <w:jc w:val="both"/>
        <w:rPr>
          <w:rFonts w:ascii="Times New Roman" w:hAnsi="Times New Roman" w:cs="Times New Roman"/>
          <w:sz w:val="24"/>
          <w:szCs w:val="24"/>
        </w:rPr>
      </w:pPr>
      <w:r>
        <w:rPr>
          <w:rFonts w:ascii="Times New Roman" w:hAnsi="Times New Roman" w:cs="Times New Roman"/>
          <w:sz w:val="24"/>
          <w:szCs w:val="24"/>
        </w:rPr>
        <w:t>8.3. ir noteikts PSD ikgadējās uzraudzības periods – atbilstoši pētniecības infrastruktūras amortizācijas periodam;</w:t>
      </w:r>
    </w:p>
    <w:p w14:paraId="4607E8D9" w14:textId="77777777" w:rsidR="004B2146" w:rsidRDefault="007E04C3">
      <w:pPr>
        <w:pStyle w:val="ListParagraph"/>
        <w:tabs>
          <w:tab w:val="left" w:pos="426"/>
        </w:tabs>
        <w:spacing w:after="0"/>
        <w:ind w:left="709" w:right="-1" w:firstLine="567"/>
        <w:jc w:val="both"/>
        <w:rPr>
          <w:rFonts w:ascii="Times New Roman" w:hAnsi="Times New Roman" w:cs="Times New Roman"/>
          <w:sz w:val="24"/>
          <w:szCs w:val="24"/>
        </w:rPr>
      </w:pPr>
      <w:r>
        <w:rPr>
          <w:rFonts w:ascii="Times New Roman" w:hAnsi="Times New Roman" w:cs="Times New Roman"/>
          <w:sz w:val="24"/>
          <w:szCs w:val="24"/>
        </w:rPr>
        <w:t>8.4. PSD jēdziens un veidi, tai skaitā darbības, kuru īstenošanai tiek izmantota projekta ietvaros iegādātā pētniecības infrastruktūra;</w:t>
      </w:r>
    </w:p>
    <w:p w14:paraId="4607E8DA" w14:textId="77777777" w:rsidR="004B2146" w:rsidRDefault="007E04C3">
      <w:pPr>
        <w:pStyle w:val="ListParagraph"/>
        <w:tabs>
          <w:tab w:val="left" w:pos="426"/>
        </w:tabs>
        <w:spacing w:after="0"/>
        <w:ind w:left="709" w:right="-1" w:firstLine="567"/>
        <w:jc w:val="both"/>
      </w:pPr>
      <w:r>
        <w:rPr>
          <w:rFonts w:ascii="Times New Roman" w:hAnsi="Times New Roman" w:cs="Times New Roman"/>
          <w:sz w:val="24"/>
          <w:szCs w:val="24"/>
        </w:rPr>
        <w:t xml:space="preserve">8.5. PSD uzraudzības un kontroles kārtība, lai nodrošinātu atbilstību vienošanās par projekta īstenošanu un MK noteikumu Nr. 88 </w:t>
      </w:r>
      <w:hyperlink r:id="rId7" w:history="1">
        <w:r>
          <w:rPr>
            <w:rFonts w:ascii="Times New Roman" w:hAnsi="Times New Roman" w:cs="Times New Roman"/>
          </w:rPr>
          <w:t>42.</w:t>
        </w:r>
      </w:hyperlink>
      <w:r>
        <w:rPr>
          <w:rFonts w:ascii="Times New Roman" w:hAnsi="Times New Roman" w:cs="Times New Roman"/>
          <w:sz w:val="24"/>
          <w:szCs w:val="24"/>
        </w:rPr>
        <w:t xml:space="preserve"> punkta nosacījumiem;</w:t>
      </w:r>
    </w:p>
    <w:p w14:paraId="4607E8DB" w14:textId="77777777" w:rsidR="004B2146" w:rsidRDefault="007E04C3">
      <w:pPr>
        <w:pStyle w:val="ListParagraph"/>
        <w:tabs>
          <w:tab w:val="left" w:pos="426"/>
        </w:tabs>
        <w:spacing w:after="0"/>
        <w:ind w:left="709" w:right="-1" w:firstLine="567"/>
        <w:jc w:val="both"/>
        <w:rPr>
          <w:rFonts w:ascii="Times New Roman" w:hAnsi="Times New Roman" w:cs="Times New Roman"/>
          <w:sz w:val="24"/>
          <w:szCs w:val="24"/>
        </w:rPr>
      </w:pPr>
      <w:r>
        <w:rPr>
          <w:rFonts w:ascii="Times New Roman" w:hAnsi="Times New Roman" w:cs="Times New Roman"/>
          <w:sz w:val="24"/>
          <w:szCs w:val="24"/>
        </w:rPr>
        <w:t>8.6. nelikumīgā komercdarbības atbalsta atmaksas kārtība (tajā skaitā, finanšu avots), gadījumā, ja pētniecības organizācija, sadarbības iestāde vai cita uzraugošā iestāde ir konstatējusi komercdarbības kontroles normu pārkāpumu.</w:t>
      </w:r>
    </w:p>
    <w:p w14:paraId="4607E8DC" w14:textId="77777777" w:rsidR="004B2146" w:rsidRDefault="004B2146">
      <w:pPr>
        <w:pStyle w:val="ListParagraph"/>
        <w:tabs>
          <w:tab w:val="left" w:pos="426"/>
        </w:tabs>
        <w:spacing w:after="0"/>
        <w:ind w:left="709" w:right="-1"/>
        <w:jc w:val="both"/>
        <w:rPr>
          <w:rFonts w:ascii="Times New Roman" w:hAnsi="Times New Roman" w:cs="Times New Roman"/>
          <w:sz w:val="24"/>
          <w:szCs w:val="24"/>
        </w:rPr>
      </w:pPr>
    </w:p>
    <w:p w14:paraId="4607E8DD" w14:textId="77777777" w:rsidR="004B2146" w:rsidRDefault="007E04C3">
      <w:pPr>
        <w:pStyle w:val="ListParagraph"/>
        <w:numPr>
          <w:ilvl w:val="0"/>
          <w:numId w:val="5"/>
        </w:numPr>
        <w:tabs>
          <w:tab w:val="left" w:pos="426"/>
          <w:tab w:val="left" w:pos="709"/>
          <w:tab w:val="left" w:pos="993"/>
        </w:tabs>
        <w:spacing w:after="0"/>
        <w:ind w:left="0" w:right="-1"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Šīs metodikas 8. punktā minētajai pētniecības organizācijas kārtībai ir jābūt izstrādātai un apstiprinātai ne vēlāk kā līdz pirmā pārskata PSD uzraudzībai (metodikas pielikums) sagatavošanas termiņam, kas noteikts šīs metodikas 10. punktā. </w:t>
      </w:r>
    </w:p>
    <w:p w14:paraId="4607E8DE" w14:textId="77777777" w:rsidR="004B2146" w:rsidRDefault="004B2146">
      <w:pPr>
        <w:pStyle w:val="ListParagraph"/>
        <w:tabs>
          <w:tab w:val="left" w:pos="426"/>
          <w:tab w:val="left" w:pos="709"/>
          <w:tab w:val="left" w:pos="993"/>
        </w:tabs>
        <w:spacing w:after="0"/>
        <w:ind w:left="709" w:right="-1"/>
        <w:jc w:val="both"/>
        <w:rPr>
          <w:rFonts w:ascii="Times New Roman" w:eastAsia="Times New Roman" w:hAnsi="Times New Roman" w:cs="Times New Roman"/>
          <w:sz w:val="24"/>
          <w:szCs w:val="24"/>
        </w:rPr>
      </w:pPr>
    </w:p>
    <w:p w14:paraId="4607E8DF" w14:textId="77777777" w:rsidR="004B2146" w:rsidRDefault="007E04C3">
      <w:pPr>
        <w:pStyle w:val="ListParagraph"/>
        <w:numPr>
          <w:ilvl w:val="0"/>
          <w:numId w:val="5"/>
        </w:numPr>
        <w:tabs>
          <w:tab w:val="left" w:pos="426"/>
          <w:tab w:val="left" w:pos="709"/>
          <w:tab w:val="left" w:pos="993"/>
        </w:tabs>
        <w:spacing w:after="0"/>
        <w:ind w:left="0" w:right="-1" w:firstLine="709"/>
        <w:jc w:val="both"/>
      </w:pPr>
      <w:r>
        <w:rPr>
          <w:rFonts w:ascii="Times New Roman" w:eastAsia="Times New Roman" w:hAnsi="Times New Roman" w:cs="Times New Roman"/>
          <w:sz w:val="24"/>
          <w:szCs w:val="24"/>
        </w:rPr>
        <w:t xml:space="preserve">Pētniecības organizācijai ir pienākums par katru kalendāro gadu, pēc vienošanās par projekta īstenošanu noslēgšanas infrastruktūras projekta dzīves ciklā, sagatavot pārskatu par papildinošas saimnieciskās darbības rezultātiem atbilstoši šīs metodikas pielikumā pievienotajai veidlapai (izvēloties atbilstošo aprēķina metodi) un nodrošināt minēto pārskatu </w:t>
      </w:r>
      <w:r>
        <w:rPr>
          <w:rFonts w:ascii="Times New Roman" w:eastAsia="Times New Roman" w:hAnsi="Times New Roman" w:cs="Times New Roman"/>
          <w:sz w:val="24"/>
          <w:szCs w:val="24"/>
        </w:rPr>
        <w:lastRenderedPageBreak/>
        <w:t>(turpmāk – pārskats) un aprēķinus pamatojošo dokumentu pieejamību papildinošās saimnieciskās darbības uzraudzībai.</w:t>
      </w:r>
    </w:p>
    <w:p w14:paraId="4607E8E0" w14:textId="77777777" w:rsidR="004B2146" w:rsidRDefault="004B2146">
      <w:pPr>
        <w:tabs>
          <w:tab w:val="left" w:pos="426"/>
          <w:tab w:val="left" w:pos="709"/>
          <w:tab w:val="left" w:pos="993"/>
        </w:tabs>
        <w:spacing w:after="0"/>
        <w:ind w:right="-1"/>
        <w:jc w:val="both"/>
        <w:rPr>
          <w:rFonts w:ascii="Times New Roman" w:eastAsia="Times New Roman" w:hAnsi="Times New Roman" w:cs="Times New Roman"/>
          <w:sz w:val="24"/>
          <w:szCs w:val="24"/>
        </w:rPr>
      </w:pPr>
    </w:p>
    <w:p w14:paraId="4607E8E1" w14:textId="77777777" w:rsidR="004B2146" w:rsidRDefault="007E04C3">
      <w:pPr>
        <w:pStyle w:val="ListParagraph"/>
        <w:numPr>
          <w:ilvl w:val="0"/>
          <w:numId w:val="5"/>
        </w:numPr>
        <w:tabs>
          <w:tab w:val="left" w:pos="426"/>
          <w:tab w:val="left" w:pos="709"/>
          <w:tab w:val="left" w:pos="993"/>
        </w:tabs>
        <w:spacing w:after="0"/>
        <w:ind w:left="0" w:right="-1" w:firstLine="568"/>
        <w:jc w:val="both"/>
      </w:pPr>
      <w:r>
        <w:rPr>
          <w:rFonts w:ascii="Times New Roman" w:eastAsia="Times New Roman" w:hAnsi="Times New Roman" w:cs="Times New Roman"/>
          <w:sz w:val="24"/>
          <w:szCs w:val="24"/>
        </w:rPr>
        <w:t xml:space="preserve">Pētniecības organizācijai visā modernizētās pētniecības </w:t>
      </w:r>
      <w:r>
        <w:rPr>
          <w:rFonts w:ascii="Times New Roman" w:hAnsi="Times New Roman" w:cs="Times New Roman"/>
          <w:sz w:val="24"/>
          <w:szCs w:val="24"/>
          <w:shd w:val="clear" w:color="auto" w:fill="FFFFFF"/>
        </w:rPr>
        <w:t xml:space="preserve">infrastruktūras ikgadējās uzraudzības periodā </w:t>
      </w:r>
      <w:r>
        <w:rPr>
          <w:rFonts w:ascii="Times New Roman" w:eastAsia="Times New Roman" w:hAnsi="Times New Roman" w:cs="Times New Roman"/>
          <w:sz w:val="24"/>
          <w:szCs w:val="24"/>
        </w:rPr>
        <w:t>ir pienākums šīs metodikas 10.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punktā minēto pārskatu, pārskatā iekļauto aprēķinu pamatojošos dokumentu</w:t>
      </w:r>
      <w:r>
        <w:rPr>
          <w:rFonts w:ascii="Times New Roman" w:hAnsi="Times New Roman" w:cs="Times New Roman"/>
          <w:sz w:val="24"/>
          <w:szCs w:val="24"/>
        </w:rPr>
        <w:t xml:space="preserve"> </w:t>
      </w:r>
      <w:r>
        <w:rPr>
          <w:rFonts w:ascii="Times New Roman" w:eastAsia="Times New Roman" w:hAnsi="Times New Roman" w:cs="Times New Roman"/>
          <w:sz w:val="24"/>
          <w:szCs w:val="24"/>
        </w:rPr>
        <w:t>oriģinālus vai normatīvajos aktos par dokumentu izstrādāšanu un noformēšanu noteiktajā kārtībā apliecinātas to kopijas un citu PSD uzraudzībai nepieciešamo informāciju uzglabāt un uzkrāt tādā veidā, lai nepieciešamības gadījumā varētu nodrošināt tiem piekļuvi un spēt tos uzrādīt sadarbības iestādei vai citām kompetentajām ES fondu uzraudzībā iesaistītajām inst</w:t>
      </w:r>
      <w:r>
        <w:rPr>
          <w:rFonts w:ascii="Times New Roman" w:eastAsia="Times New Roman" w:hAnsi="Times New Roman" w:cs="Times New Roman"/>
          <w:sz w:val="24"/>
          <w:szCs w:val="24"/>
        </w:rPr>
        <w:t xml:space="preserve">itūcijām. </w:t>
      </w:r>
    </w:p>
    <w:p w14:paraId="4607E8E2" w14:textId="77777777" w:rsidR="004B2146" w:rsidRDefault="004B2146">
      <w:pPr>
        <w:pStyle w:val="ListParagraph"/>
        <w:tabs>
          <w:tab w:val="left" w:pos="426"/>
          <w:tab w:val="left" w:pos="709"/>
          <w:tab w:val="left" w:pos="993"/>
        </w:tabs>
        <w:spacing w:after="0"/>
        <w:ind w:left="568" w:right="-1"/>
        <w:jc w:val="both"/>
        <w:rPr>
          <w:rFonts w:ascii="Times New Roman" w:eastAsia="Times New Roman" w:hAnsi="Times New Roman" w:cs="Times New Roman"/>
          <w:sz w:val="24"/>
          <w:szCs w:val="24"/>
        </w:rPr>
      </w:pPr>
    </w:p>
    <w:p w14:paraId="4607E8E3" w14:textId="77777777" w:rsidR="004B2146" w:rsidRDefault="007E04C3">
      <w:pPr>
        <w:pStyle w:val="ListParagraph"/>
        <w:numPr>
          <w:ilvl w:val="0"/>
          <w:numId w:val="5"/>
        </w:numPr>
        <w:tabs>
          <w:tab w:val="left" w:pos="426"/>
          <w:tab w:val="left" w:pos="709"/>
          <w:tab w:val="left" w:pos="993"/>
        </w:tabs>
        <w:spacing w:after="0"/>
        <w:ind w:left="0" w:right="-1"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Pētniecības organizācija PSD iedalītās jaudas aprēķinus laika vai finanšu izteiksmē  veic, pamatojoties uz ticamiem un izsekojamiem datiem, kas izriet no </w:t>
      </w:r>
      <w:r>
        <w:rPr>
          <w:rFonts w:ascii="Times New Roman" w:eastAsia="Times New Roman" w:hAnsi="Times New Roman" w:cs="Times New Roman"/>
          <w:sz w:val="24"/>
          <w:szCs w:val="24"/>
        </w:rPr>
        <w:t>pētniecības organizācijas uzskaites datiem vai resursu vadības sistēmas finanšu, personāla un pamatdarbības procesu uzskaitei un nodrošina, ka uzskaite par PSD ierobežojuma ievērošanu ir pierādāma ar atbilstošiem apliecinošiem dokumentiem.</w:t>
      </w:r>
    </w:p>
    <w:p w14:paraId="4607E8E4" w14:textId="77777777" w:rsidR="004B2146" w:rsidRDefault="004B2146">
      <w:pPr>
        <w:tabs>
          <w:tab w:val="left" w:pos="426"/>
          <w:tab w:val="left" w:pos="709"/>
          <w:tab w:val="left" w:pos="993"/>
        </w:tabs>
        <w:spacing w:after="0"/>
        <w:ind w:right="-1"/>
        <w:jc w:val="both"/>
        <w:rPr>
          <w:rFonts w:ascii="Times New Roman" w:eastAsia="Times New Roman" w:hAnsi="Times New Roman" w:cs="Times New Roman"/>
          <w:sz w:val="24"/>
          <w:szCs w:val="24"/>
        </w:rPr>
      </w:pPr>
    </w:p>
    <w:p w14:paraId="4607E8E5" w14:textId="77777777" w:rsidR="004B2146" w:rsidRDefault="007E04C3">
      <w:pPr>
        <w:pStyle w:val="ListParagraph"/>
        <w:numPr>
          <w:ilvl w:val="0"/>
          <w:numId w:val="5"/>
        </w:numPr>
        <w:tabs>
          <w:tab w:val="left" w:pos="426"/>
          <w:tab w:val="left" w:pos="709"/>
          <w:tab w:val="left" w:pos="993"/>
        </w:tabs>
        <w:spacing w:after="0"/>
        <w:ind w:left="0" w:right="-1" w:firstLine="568"/>
        <w:jc w:val="both"/>
      </w:pPr>
      <w:r>
        <w:rPr>
          <w:rFonts w:ascii="Times New Roman" w:eastAsia="Times New Roman" w:hAnsi="Times New Roman" w:cs="Times New Roman"/>
          <w:sz w:val="24"/>
          <w:szCs w:val="24"/>
        </w:rPr>
        <w:t xml:space="preserve">Ja pētniecības organizācija ikgadējās uzraudzības periodā konstatē, ka ir pārsniegts MK noteikumu Nr. 88 42. punktā minētais 20 % ierobežojums no pētniecības infrastruktūras kopējās gada jaudas laika vai finanšu izteiksmē vai konstatē, ka pētniecības infrastruktūra tiek izmantota citai saimnieciskai darbībai, kas nav uzskatāma par PSD, tā saskaņā ar vienošanos par projekta īstenošanu noteiktajā termiņā iesniedz sadarbības iestādē pārskatu un ziņojumu par konstatēto pārkāpumu (turpmāk </w:t>
      </w:r>
      <w:r>
        <w:rPr>
          <w:rFonts w:ascii="Times New Roman" w:hAnsi="Times New Roman" w:cs="Times New Roman"/>
          <w:sz w:val="24"/>
          <w:szCs w:val="24"/>
        </w:rPr>
        <w:t>–</w:t>
      </w:r>
      <w:r>
        <w:rPr>
          <w:rFonts w:ascii="Times New Roman" w:eastAsia="Times New Roman" w:hAnsi="Times New Roman" w:cs="Times New Roman"/>
          <w:sz w:val="24"/>
          <w:szCs w:val="24"/>
        </w:rPr>
        <w:t xml:space="preserve"> ziņojums) atbilstoši MK noteikumu Nr. 88 44. punktā noteiktajam. </w:t>
      </w:r>
    </w:p>
    <w:p w14:paraId="4607E8E6" w14:textId="77777777" w:rsidR="004B2146" w:rsidRDefault="004B2146">
      <w:pPr>
        <w:spacing w:after="0"/>
        <w:ind w:firstLine="720"/>
        <w:jc w:val="center"/>
        <w:rPr>
          <w:rFonts w:ascii="Times New Roman" w:eastAsia="Times New Roman" w:hAnsi="Times New Roman" w:cs="Times New Roman"/>
          <w:b/>
          <w:sz w:val="24"/>
          <w:szCs w:val="24"/>
        </w:rPr>
      </w:pPr>
    </w:p>
    <w:p w14:paraId="4607E8E7" w14:textId="77777777" w:rsidR="004B2146" w:rsidRDefault="007E04C3">
      <w:pPr>
        <w:spacing w:after="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PSD uzraudzības pamatprincipi</w:t>
      </w:r>
    </w:p>
    <w:p w14:paraId="4607E8E8" w14:textId="77777777" w:rsidR="004B2146" w:rsidRDefault="004B2146">
      <w:pPr>
        <w:spacing w:after="0"/>
        <w:ind w:firstLine="720"/>
        <w:jc w:val="center"/>
        <w:rPr>
          <w:rFonts w:ascii="Times New Roman" w:eastAsia="Times New Roman" w:hAnsi="Times New Roman" w:cs="Times New Roman"/>
          <w:b/>
          <w:sz w:val="24"/>
          <w:szCs w:val="24"/>
        </w:rPr>
      </w:pPr>
    </w:p>
    <w:p w14:paraId="4607E8E9" w14:textId="77777777" w:rsidR="004B2146" w:rsidRDefault="007E04C3">
      <w:pPr>
        <w:numPr>
          <w:ilvl w:val="0"/>
          <w:numId w:val="5"/>
        </w:numPr>
        <w:tabs>
          <w:tab w:val="left" w:pos="426"/>
          <w:tab w:val="left" w:pos="1134"/>
        </w:tabs>
        <w:ind w:left="0" w:firstLine="720"/>
        <w:jc w:val="both"/>
      </w:pPr>
      <w:r>
        <w:rPr>
          <w:rFonts w:ascii="Times New Roman" w:eastAsia="Times New Roman" w:hAnsi="Times New Roman" w:cs="Times New Roman"/>
          <w:sz w:val="24"/>
          <w:szCs w:val="24"/>
        </w:rPr>
        <w:t xml:space="preserve">Sadarbības iestāde saskaņā ar šo metodiku nodrošina veikto investīciju atbilstības uzraudzību visā pētniecības infrastruktūras ikgadējās uzraudzības periodā atbilstoši MK noteikumu Nr. 88 </w:t>
      </w:r>
      <w:hyperlink r:id="rId8" w:history="1">
        <w:r>
          <w:rPr>
            <w:rFonts w:ascii="Times New Roman" w:eastAsia="Times New Roman" w:hAnsi="Times New Roman" w:cs="Times New Roman"/>
            <w:sz w:val="24"/>
            <w:szCs w:val="24"/>
          </w:rPr>
          <w:t>43.</w:t>
        </w:r>
      </w:hyperlink>
      <w:r>
        <w:rPr>
          <w:rFonts w:ascii="Times New Roman" w:eastAsia="Times New Roman" w:hAnsi="Times New Roman" w:cs="Times New Roman"/>
          <w:sz w:val="24"/>
          <w:szCs w:val="24"/>
        </w:rPr>
        <w:t xml:space="preserve"> un </w:t>
      </w:r>
      <w:hyperlink r:id="rId9" w:history="1">
        <w:r>
          <w:rPr>
            <w:rFonts w:ascii="Times New Roman" w:eastAsia="Times New Roman" w:hAnsi="Times New Roman" w:cs="Times New Roman"/>
            <w:sz w:val="24"/>
            <w:szCs w:val="24"/>
          </w:rPr>
          <w:t>44.</w:t>
        </w:r>
      </w:hyperlink>
      <w:r>
        <w:rPr>
          <w:rFonts w:ascii="Times New Roman" w:eastAsia="Times New Roman" w:hAnsi="Times New Roman" w:cs="Times New Roman"/>
          <w:sz w:val="24"/>
          <w:szCs w:val="24"/>
        </w:rPr>
        <w:t xml:space="preserve"> punktā noteiktajam. </w:t>
      </w:r>
    </w:p>
    <w:p w14:paraId="4607E8EA" w14:textId="77777777" w:rsidR="004B2146" w:rsidRDefault="007E04C3">
      <w:pPr>
        <w:numPr>
          <w:ilvl w:val="0"/>
          <w:numId w:val="5"/>
        </w:numPr>
        <w:tabs>
          <w:tab w:val="left" w:pos="426"/>
          <w:tab w:val="left" w:pos="1134"/>
        </w:tabs>
        <w:spacing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Sadarbības iestāde veic izlases veida pārbaudes PSD nosacījumu ievērošanas uzraudzībai pie noslēguma maksājuma pieprasījuma un pētniecības infrastruktūras ikgadējās uzraudzības perioda beigās, nosakot izlases veida pārbaužu apjomu atbilstoši projektu riska līmenim.</w:t>
      </w:r>
    </w:p>
    <w:p w14:paraId="4607E8EB" w14:textId="77777777" w:rsidR="004B2146" w:rsidRDefault="007E04C3">
      <w:pPr>
        <w:numPr>
          <w:ilvl w:val="0"/>
          <w:numId w:val="5"/>
        </w:numPr>
        <w:tabs>
          <w:tab w:val="left" w:pos="426"/>
          <w:tab w:val="left" w:pos="1134"/>
        </w:tabs>
        <w:spacing w:before="240"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Sadarbības iestādei ir tiesības pētniecības organizācijai pieprasīt iesniegt PSD pārskatus projekta visa ikgadējās uzraudzības perioda laikā, tai skaitā gadījumos, kad saņemta informācija par PSD nosacījumu pārkāpumu no kompetentām iestādēm vai no trešajām personām. </w:t>
      </w:r>
    </w:p>
    <w:p w14:paraId="4607E8EC" w14:textId="77777777" w:rsidR="004B2146" w:rsidRDefault="007E04C3">
      <w:pPr>
        <w:numPr>
          <w:ilvl w:val="0"/>
          <w:numId w:val="5"/>
        </w:numPr>
        <w:tabs>
          <w:tab w:val="left" w:pos="426"/>
          <w:tab w:val="left" w:pos="1134"/>
        </w:tabs>
        <w:spacing w:before="240" w:after="0"/>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Saņemot metodikas 13. punktā minēto pētniecības organizācijas pārskatu un ziņojumu, veicot metodikas 15. punktā noteiktās izlases veida pārbaudes vai saņemot informāciju atbilstoši metodikas 16. punktam, sadarbības iestāde izvērtē tās atbilstību, ņemot vērā MK noteikumos Nr. 88 noteikto, vienošanās par projekta īstenošanu noteikto un šajā metodikā norādīto, tai skaitā: </w:t>
      </w:r>
    </w:p>
    <w:p w14:paraId="4607E8ED" w14:textId="77777777" w:rsidR="004B2146" w:rsidRDefault="007E04C3">
      <w:pPr>
        <w:tabs>
          <w:tab w:val="left" w:pos="426"/>
          <w:tab w:val="left" w:pos="710"/>
        </w:tabs>
        <w:spacing w:after="0"/>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17.1. izvērtē pētniecības infrastruktūras ekspluatācijas darbību raksturu (PSD, darbība, kurai nav saimniecisks raksturs); </w:t>
      </w:r>
    </w:p>
    <w:p w14:paraId="4607E8EE" w14:textId="77777777" w:rsidR="004B2146" w:rsidRDefault="007E04C3">
      <w:pPr>
        <w:tabs>
          <w:tab w:val="left" w:pos="426"/>
          <w:tab w:val="left" w:pos="710"/>
        </w:tabs>
        <w:spacing w:after="0"/>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17.2. veic PSD aprēķina atbilstības </w:t>
      </w:r>
      <w:r>
        <w:rPr>
          <w:rFonts w:ascii="Times New Roman" w:eastAsia="Times New Roman" w:hAnsi="Times New Roman" w:cs="Times New Roman"/>
          <w:sz w:val="24"/>
          <w:szCs w:val="24"/>
        </w:rPr>
        <w:t>pārbaudi;</w:t>
      </w:r>
    </w:p>
    <w:p w14:paraId="4607E8EF" w14:textId="77777777" w:rsidR="004B2146" w:rsidRDefault="007E04C3">
      <w:pPr>
        <w:tabs>
          <w:tab w:val="left" w:pos="426"/>
          <w:tab w:val="left" w:pos="710"/>
        </w:tabs>
        <w:spacing w:after="0"/>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17.3. nepieciešamības gadījumā pieprasa informācijas precizēšanu, paskaidrojumus vai papildinājumus, tai skaitā pētniecības organizācijas grāmatvedības politiku vai kārtību;</w:t>
      </w:r>
    </w:p>
    <w:p w14:paraId="4607E8F0" w14:textId="77777777" w:rsidR="004B2146" w:rsidRDefault="007E04C3">
      <w:pPr>
        <w:tabs>
          <w:tab w:val="left" w:pos="426"/>
          <w:tab w:val="left" w:pos="709"/>
        </w:tabs>
        <w:spacing w:after="0"/>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17.4. piemēro publiskā finansējuma atgūšanas mehānismu, kas skaidrots šīs metodikas V. sadaļā, ja kādā no kalendārajiem gadiem pētniecības infrastruktūras ikgadējās uzraudzības periodā tiek konstatēts, ka PSD iedalītā jauda laika vai finanšu izteiksmē pārsniedz 20 % no pētniecības infrastruktūras kopējās gada jaudas laika vai finanšu izteiksmē.</w:t>
      </w:r>
    </w:p>
    <w:p w14:paraId="4607E8F1" w14:textId="77777777" w:rsidR="004B2146" w:rsidRDefault="007E04C3">
      <w:pPr>
        <w:tabs>
          <w:tab w:val="left" w:pos="426"/>
          <w:tab w:val="left" w:pos="709"/>
        </w:tabs>
        <w:spacing w:before="24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Ja sadarbības iestādei rodas šaubas par pētniecības organizācijas sniegto datu ticamību, pētniecības organizācijai ar dokumentiem (līgumi, rēķini, izdrukas no grāmatvedības reģistriem, grāmatvedības politikas u.c.) ir jāpierāda, ka tās sniegtā informācija ir patiesa. </w:t>
      </w:r>
    </w:p>
    <w:p w14:paraId="4607E8F2" w14:textId="77777777" w:rsidR="004B2146" w:rsidRDefault="007E04C3">
      <w:pPr>
        <w:tabs>
          <w:tab w:val="left" w:pos="426"/>
          <w:tab w:val="left" w:pos="709"/>
        </w:tabs>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Pamata informācija, kas var tikt izmantota izvērtējot iesniegto </w:t>
      </w:r>
      <w:bookmarkStart w:id="6" w:name="_Hlk188450815"/>
      <w:r>
        <w:rPr>
          <w:rFonts w:ascii="Times New Roman" w:eastAsia="Times New Roman" w:hAnsi="Times New Roman" w:cs="Times New Roman"/>
          <w:sz w:val="24"/>
          <w:szCs w:val="24"/>
        </w:rPr>
        <w:t>pētniecības organizācijas</w:t>
      </w:r>
      <w:bookmarkEnd w:id="6"/>
      <w:r>
        <w:rPr>
          <w:rFonts w:ascii="Times New Roman" w:eastAsia="Times New Roman" w:hAnsi="Times New Roman" w:cs="Times New Roman"/>
          <w:sz w:val="24"/>
          <w:szCs w:val="24"/>
        </w:rPr>
        <w:t xml:space="preserve"> ziņojumu un pārskatu:</w:t>
      </w:r>
    </w:p>
    <w:p w14:paraId="4607E8F3" w14:textId="77777777" w:rsidR="004B2146" w:rsidRDefault="007E04C3">
      <w:pPr>
        <w:tabs>
          <w:tab w:val="left" w:pos="426"/>
          <w:tab w:val="left" w:pos="1418"/>
        </w:tabs>
        <w:spacing w:after="0"/>
        <w:ind w:left="1276"/>
        <w:jc w:val="both"/>
      </w:pPr>
      <w:r>
        <w:rPr>
          <w:rFonts w:ascii="Times New Roman" w:hAnsi="Times New Roman" w:cs="Times New Roman"/>
          <w:sz w:val="24"/>
          <w:szCs w:val="24"/>
        </w:rPr>
        <w:tab/>
        <w:t xml:space="preserve">19.1. šīs metodikas 13. punktā minētais pētniecības organizācijas pārskats un ziņojums, kā arī atbilstoši metodikas 17.3. apakšpunkta pieprasījumam pētniecības organizācijas sniegtā papildus un precizētā informācija; </w:t>
      </w:r>
    </w:p>
    <w:p w14:paraId="4607E8F4" w14:textId="77777777" w:rsidR="004B2146" w:rsidRDefault="007E04C3">
      <w:pPr>
        <w:tabs>
          <w:tab w:val="left" w:pos="426"/>
          <w:tab w:val="left" w:pos="1418"/>
        </w:tabs>
        <w:spacing w:after="0"/>
        <w:ind w:left="1276"/>
        <w:jc w:val="both"/>
      </w:pPr>
      <w:r>
        <w:rPr>
          <w:rFonts w:ascii="Times New Roman" w:hAnsi="Times New Roman" w:cs="Times New Roman"/>
          <w:sz w:val="24"/>
          <w:szCs w:val="24"/>
        </w:rPr>
        <w:tab/>
        <w:t>19.2. pētniecības organizācijas kārtība PSD uzraudzībai, kas izstrādāta atbilstoši metodikas 8. punktā noteiktajam (grāmatvedības politikas apraksts);</w:t>
      </w:r>
    </w:p>
    <w:p w14:paraId="4607E8F5" w14:textId="77777777" w:rsidR="004B2146" w:rsidRDefault="007E04C3">
      <w:pPr>
        <w:tabs>
          <w:tab w:val="left" w:pos="426"/>
          <w:tab w:val="left" w:pos="1418"/>
        </w:tabs>
        <w:spacing w:after="0"/>
        <w:ind w:left="1276"/>
        <w:jc w:val="both"/>
      </w:pPr>
      <w:r>
        <w:rPr>
          <w:rFonts w:ascii="Times New Roman" w:hAnsi="Times New Roman" w:cs="Times New Roman"/>
          <w:sz w:val="24"/>
          <w:szCs w:val="24"/>
        </w:rPr>
        <w:tab/>
        <w:t>19.3. apgrozījuma pārskats par konkrētu pārskata gadu, kur raksturo pētniecības organizācijas finanšu plūsmas sadalījumā pa izdevumu ekonomiskās klasifikācijas kodiem (ja attiecināms) un darbību veidiem, ievērojot to raksturu;</w:t>
      </w:r>
    </w:p>
    <w:p w14:paraId="4607E8F6" w14:textId="77777777" w:rsidR="004B2146" w:rsidRDefault="007E04C3">
      <w:pPr>
        <w:tabs>
          <w:tab w:val="left" w:pos="426"/>
          <w:tab w:val="left" w:pos="1418"/>
        </w:tabs>
        <w:spacing w:after="0"/>
        <w:ind w:left="1276"/>
        <w:jc w:val="both"/>
      </w:pPr>
      <w:r>
        <w:rPr>
          <w:rFonts w:ascii="Times New Roman" w:hAnsi="Times New Roman" w:cs="Times New Roman"/>
          <w:sz w:val="24"/>
          <w:szCs w:val="24"/>
        </w:rPr>
        <w:tab/>
        <w:t>19.4. budžeta izpildes pārskats, kas sagatavots atbilstoši Ministru kabineta noteikumiem par Gada pārskata sagatavošanas kārtību</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Gada pārskati ir publiski pieejama informācija, kuru var salīdzināt ar </w:t>
      </w:r>
      <w:r>
        <w:rPr>
          <w:rFonts w:ascii="Times New Roman" w:eastAsia="Times New Roman" w:hAnsi="Times New Roman" w:cs="Times New Roman"/>
          <w:sz w:val="24"/>
          <w:szCs w:val="24"/>
        </w:rPr>
        <w:t>pētniecības organizācijas</w:t>
      </w:r>
      <w:r>
        <w:rPr>
          <w:rFonts w:ascii="Times New Roman" w:hAnsi="Times New Roman" w:cs="Times New Roman"/>
          <w:sz w:val="24"/>
          <w:szCs w:val="24"/>
        </w:rPr>
        <w:t xml:space="preserve"> iesniegto informāciju, piemēram, ieņēmumu apjomu, veidus, pozīcijas “citi ieņēmumi” vai “iepriekš neklasificētie ieņēmumi”, tādējādi izvērtējot, vai norādītais ieņēmumu apmērs ir atbilstošs. Vienlaikus uzraudzības pārbaudes procesā jāņem vērā, ka informācija, ko iesniedz </w:t>
      </w:r>
      <w:r>
        <w:rPr>
          <w:rFonts w:ascii="Times New Roman" w:eastAsia="Times New Roman" w:hAnsi="Times New Roman" w:cs="Times New Roman"/>
          <w:sz w:val="24"/>
          <w:szCs w:val="24"/>
        </w:rPr>
        <w:t>pētniecības organizācija</w:t>
      </w:r>
      <w:r>
        <w:rPr>
          <w:rFonts w:ascii="Times New Roman" w:hAnsi="Times New Roman" w:cs="Times New Roman"/>
          <w:sz w:val="24"/>
          <w:szCs w:val="24"/>
        </w:rPr>
        <w:t>, ne vienmēr ir salīdzināma ar</w:t>
      </w:r>
      <w:r>
        <w:rPr>
          <w:rFonts w:ascii="Times New Roman" w:hAnsi="Times New Roman" w:cs="Times New Roman"/>
          <w:color w:val="000000"/>
          <w:sz w:val="24"/>
          <w:szCs w:val="24"/>
        </w:rPr>
        <w:t xml:space="preserve"> publiski pieejamo informāciju (ja budžeta izpildes veidlapā tiek norādīta informācija </w:t>
      </w:r>
      <w:r>
        <w:rPr>
          <w:rFonts w:ascii="Times New Roman" w:hAnsi="Times New Roman" w:cs="Times New Roman"/>
          <w:color w:val="000000"/>
          <w:sz w:val="24"/>
          <w:szCs w:val="24"/>
        </w:rPr>
        <w:t>pēc naudas plūsmas principa, bet iesniegta ir informācija pēc uzkrāšanas principa);</w:t>
      </w:r>
    </w:p>
    <w:p w14:paraId="4607E8F7" w14:textId="77777777" w:rsidR="004B2146" w:rsidRDefault="007E04C3">
      <w:pPr>
        <w:tabs>
          <w:tab w:val="left" w:pos="426"/>
          <w:tab w:val="left" w:pos="1418"/>
        </w:tabs>
        <w:spacing w:after="0"/>
        <w:ind w:left="1276"/>
        <w:jc w:val="both"/>
      </w:pPr>
      <w:r>
        <w:rPr>
          <w:rFonts w:ascii="Times New Roman" w:hAnsi="Times New Roman" w:cs="Times New Roman"/>
          <w:sz w:val="24"/>
          <w:szCs w:val="24"/>
        </w:rPr>
        <w:tab/>
        <w:t>19.5. dati no uzskaites sistēmas finanšu, personāla un pamatdarbības procesu uzskaitei (ja tāda pētniecības organizācijā ir un ja attiecināms);</w:t>
      </w:r>
    </w:p>
    <w:p w14:paraId="4607E8F8" w14:textId="77777777" w:rsidR="004B2146" w:rsidRDefault="007E04C3">
      <w:pPr>
        <w:tabs>
          <w:tab w:val="left" w:pos="426"/>
          <w:tab w:val="left" w:pos="1418"/>
        </w:tabs>
        <w:ind w:left="1276"/>
        <w:jc w:val="both"/>
      </w:pPr>
      <w:r>
        <w:rPr>
          <w:rFonts w:ascii="Times New Roman" w:hAnsi="Times New Roman" w:cs="Times New Roman"/>
          <w:color w:val="000000"/>
          <w:sz w:val="24"/>
          <w:szCs w:val="24"/>
        </w:rPr>
        <w:tab/>
        <w:t>19.6. cita informācija, kas sadarbības iestādei ir pieejama pārbaudes brīdī (informācija, kas pieprasīta no pētniecības organizācijas, publiski pieejama informācija, informācija, kas saņemta no trešās puses, audita un revīziju ziņojumi u.c.).</w:t>
      </w:r>
    </w:p>
    <w:p w14:paraId="4607E8F9" w14:textId="77777777" w:rsidR="004B2146" w:rsidRDefault="007E04C3">
      <w:pPr>
        <w:tabs>
          <w:tab w:val="left" w:pos="426"/>
          <w:tab w:val="left" w:pos="1134"/>
        </w:tabs>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Nepieciešamības gadījumā sadarbības iestāde var veikt pārbaudi pētniecības organizācijā, lai gūtu pārliecību par pētniecības organizācijas iesniegto datu atbilstību pētniecības organizācijas grāmatvedības politikā vai kārtībā noteiktajam, civiltiesiskajā līgumā vai vienošanās par projekta īstenošanu noteiktajam un MK noteikumu Nr. 88 prasībām. Sadarbības iestāde izvērtē nepieciešamību veikt pārbaudi projekta īstenošanas vietā, ja pētniecības organizācijas iesniegtā informācija un publiski pieejamā infor</w:t>
      </w:r>
      <w:r>
        <w:rPr>
          <w:rFonts w:ascii="Times New Roman" w:eastAsia="Times New Roman" w:hAnsi="Times New Roman" w:cs="Times New Roman"/>
          <w:sz w:val="24"/>
          <w:szCs w:val="24"/>
        </w:rPr>
        <w:t>mācija atšķiras vai pētniecības organizācijas iesniegtā informācija nerada pārliecību par tās atbilstību prasībām un pētniecības organizācijas papildus sniegtie paskaidrojumi nerada pārliecība par informācijas atbilstību civiltiesiskajā līgumā vai vienošanās par projekta īstenošanu noteiktajam un MK noteikumu Nr. 88 prasībām.</w:t>
      </w:r>
    </w:p>
    <w:p w14:paraId="4607E8FA" w14:textId="77777777" w:rsidR="004B2146" w:rsidRDefault="007E04C3">
      <w:pPr>
        <w:tabs>
          <w:tab w:val="left" w:pos="426"/>
          <w:tab w:val="left" w:pos="1134"/>
        </w:tabs>
        <w:spacing w:after="0"/>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Pārbaudes projekta īstenošanas vietā veikšanas kārtību nosaka sadarbības iestādes iekšējie </w:t>
      </w:r>
      <w:r>
        <w:rPr>
          <w:rFonts w:ascii="Times New Roman" w:eastAsia="Times New Roman" w:hAnsi="Times New Roman" w:cs="Times New Roman"/>
          <w:sz w:val="24"/>
          <w:szCs w:val="24"/>
        </w:rPr>
        <w:t>noteikumi.</w:t>
      </w:r>
    </w:p>
    <w:p w14:paraId="4607E8FB" w14:textId="77777777" w:rsidR="004B2146" w:rsidRDefault="004B2146">
      <w:pPr>
        <w:tabs>
          <w:tab w:val="left" w:pos="426"/>
          <w:tab w:val="left" w:pos="1134"/>
        </w:tabs>
        <w:spacing w:after="0"/>
        <w:ind w:firstLine="851"/>
        <w:jc w:val="both"/>
        <w:rPr>
          <w:rFonts w:ascii="Times New Roman" w:eastAsia="Times New Roman" w:hAnsi="Times New Roman" w:cs="Times New Roman"/>
          <w:sz w:val="24"/>
          <w:szCs w:val="24"/>
        </w:rPr>
      </w:pPr>
    </w:p>
    <w:p w14:paraId="4607E8FC" w14:textId="77777777" w:rsidR="004B2146" w:rsidRDefault="007E04C3">
      <w:pPr>
        <w:spacing w:after="0"/>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V. Atgūšanas mehānisms 1.1.1.2. pasākuma projekta darbībai, kurai nav saimnieciska rakstura</w:t>
      </w:r>
    </w:p>
    <w:p w14:paraId="4607E8FD" w14:textId="77777777" w:rsidR="004B2146" w:rsidRDefault="004B2146">
      <w:pPr>
        <w:spacing w:after="0"/>
        <w:ind w:firstLine="720"/>
        <w:jc w:val="center"/>
        <w:rPr>
          <w:rFonts w:ascii="Times New Roman" w:hAnsi="Times New Roman" w:cs="Times New Roman"/>
          <w:sz w:val="24"/>
          <w:szCs w:val="24"/>
        </w:rPr>
      </w:pPr>
    </w:p>
    <w:p w14:paraId="4607E8FE" w14:textId="77777777" w:rsidR="004B2146" w:rsidRDefault="007E04C3">
      <w:pPr>
        <w:spacing w:after="0"/>
        <w:ind w:firstLine="720"/>
        <w:jc w:val="both"/>
      </w:pPr>
      <w:r>
        <w:rPr>
          <w:rFonts w:ascii="Times New Roman" w:hAnsi="Times New Roman" w:cs="Times New Roman"/>
          <w:sz w:val="24"/>
          <w:szCs w:val="24"/>
        </w:rPr>
        <w:t xml:space="preserve">22. Sadarbības iestāde </w:t>
      </w:r>
      <w:r>
        <w:rPr>
          <w:rFonts w:ascii="Times New Roman" w:eastAsia="Times New Roman" w:hAnsi="Times New Roman" w:cs="Times New Roman"/>
          <w:sz w:val="24"/>
          <w:szCs w:val="24"/>
        </w:rPr>
        <w:t xml:space="preserve">pētniecības organizācijai </w:t>
      </w:r>
      <w:r>
        <w:rPr>
          <w:rFonts w:ascii="Times New Roman" w:hAnsi="Times New Roman" w:cs="Times New Roman"/>
          <w:sz w:val="24"/>
          <w:szCs w:val="24"/>
        </w:rPr>
        <w:t xml:space="preserve">piemēro nelikumīgā komercdarbības atbalsta atgūšanas mehānismu, ja pētniecības infrastruktūras, kas ir paredzēta  darbībai, kurai nav saimnieciska rakstura (ar saimniecisku darbību nesaistīts 1.1.1.2. projekts vai projekta daļa),  izmantojums PSD īstenošanai pārsniedz 20 % no  šīs pētniecības infrastruktūras kopējās gada jaudas laika vai finanšu izteiksmē (atbilstoši </w:t>
      </w:r>
      <w:r>
        <w:rPr>
          <w:rFonts w:ascii="Times New Roman" w:eastAsia="Times New Roman" w:hAnsi="Times New Roman" w:cs="Times New Roman"/>
          <w:sz w:val="24"/>
          <w:szCs w:val="24"/>
        </w:rPr>
        <w:t xml:space="preserve">pētniecības organizācijas </w:t>
      </w:r>
      <w:r>
        <w:rPr>
          <w:rFonts w:ascii="Times New Roman" w:hAnsi="Times New Roman" w:cs="Times New Roman"/>
          <w:sz w:val="24"/>
          <w:szCs w:val="24"/>
        </w:rPr>
        <w:t>izvēlētai uzskaites metodei). Nelikumīgā komercdarbības atbalsta atgūšanas mehānisma atgūš</w:t>
      </w:r>
      <w:r>
        <w:rPr>
          <w:rFonts w:ascii="Times New Roman" w:hAnsi="Times New Roman" w:cs="Times New Roman"/>
          <w:sz w:val="24"/>
          <w:szCs w:val="24"/>
        </w:rPr>
        <w:t xml:space="preserve">anas procedūru piemēro arī tad, ja konstatēts, ka tiek veikta cita saimnieciskā darbība </w:t>
      </w:r>
      <w:r>
        <w:rPr>
          <w:rFonts w:ascii="Times New Roman" w:eastAsia="Times New Roman" w:hAnsi="Times New Roman" w:cs="Times New Roman"/>
          <w:sz w:val="24"/>
          <w:szCs w:val="24"/>
        </w:rPr>
        <w:t>pētniecības infrastruktūrā, kura ir paredzēta tikai darbības, kurai nav saimnieciska rakstura, veikšanai.</w:t>
      </w:r>
    </w:p>
    <w:p w14:paraId="4607E8FF" w14:textId="77777777" w:rsidR="004B2146" w:rsidRDefault="007E04C3">
      <w:pPr>
        <w:spacing w:before="240" w:after="0"/>
        <w:ind w:firstLine="720"/>
        <w:jc w:val="both"/>
      </w:pPr>
      <w:r>
        <w:rPr>
          <w:rFonts w:ascii="Times New Roman" w:hAnsi="Times New Roman" w:cs="Times New Roman"/>
          <w:sz w:val="24"/>
          <w:szCs w:val="24"/>
        </w:rPr>
        <w:t xml:space="preserve">23. </w:t>
      </w:r>
      <w:r>
        <w:rPr>
          <w:rFonts w:ascii="Times New Roman" w:hAnsi="Times New Roman" w:cs="Times New Roman"/>
          <w:sz w:val="24"/>
          <w:szCs w:val="24"/>
          <w:shd w:val="clear" w:color="auto" w:fill="FFFFFF"/>
        </w:rPr>
        <w:t xml:space="preserve">Ja sadarbības iestāde konstatē, ka ir pārkāptas </w:t>
      </w:r>
      <w:r>
        <w:rPr>
          <w:rFonts w:ascii="Times New Roman" w:eastAsia="Times New Roman" w:hAnsi="Times New Roman" w:cs="Times New Roman"/>
          <w:sz w:val="24"/>
          <w:szCs w:val="24"/>
        </w:rPr>
        <w:t xml:space="preserve">MK noteikumu Nr. 88 </w:t>
      </w:r>
      <w:r>
        <w:rPr>
          <w:rFonts w:ascii="Times New Roman" w:hAnsi="Times New Roman" w:cs="Times New Roman"/>
          <w:sz w:val="24"/>
          <w:szCs w:val="24"/>
          <w:shd w:val="clear" w:color="auto" w:fill="FFFFFF"/>
        </w:rPr>
        <w:t xml:space="preserve">noteiktās komercdarbības atbalsta kontroles normas, </w:t>
      </w:r>
      <w:r>
        <w:rPr>
          <w:rFonts w:ascii="Times New Roman" w:eastAsia="Times New Roman" w:hAnsi="Times New Roman" w:cs="Times New Roman"/>
          <w:sz w:val="24"/>
          <w:szCs w:val="24"/>
        </w:rPr>
        <w:t xml:space="preserve">pētniecības organizācijai </w:t>
      </w:r>
      <w:r>
        <w:rPr>
          <w:rFonts w:ascii="Times New Roman" w:hAnsi="Times New Roman" w:cs="Times New Roman"/>
          <w:sz w:val="24"/>
          <w:szCs w:val="24"/>
          <w:shd w:val="clear" w:color="auto" w:fill="FFFFFF"/>
        </w:rPr>
        <w:t xml:space="preserve">ir pienākums atmaksāt </w:t>
      </w:r>
      <w:r>
        <w:rPr>
          <w:rFonts w:ascii="Times New Roman" w:hAnsi="Times New Roman" w:cs="Times New Roman"/>
          <w:sz w:val="24"/>
          <w:szCs w:val="24"/>
          <w:shd w:val="clear" w:color="auto" w:fill="FFFFFF"/>
        </w:rPr>
        <w:t>sadarbības iestādei saņemto nelikumīgo komercdarbības atbalstu kopā ar procentiem no līdzekļiem, kas ir brīvi no komercdarbības atbalsta, atbilstoši </w:t>
      </w:r>
      <w:hyperlink r:id="rId10" w:history="1">
        <w:r>
          <w:rPr>
            <w:rStyle w:val="Hyperlink"/>
            <w:rFonts w:ascii="Times New Roman" w:hAnsi="Times New Roman" w:cs="Times New Roman"/>
            <w:color w:val="auto"/>
            <w:sz w:val="24"/>
            <w:szCs w:val="24"/>
            <w:shd w:val="clear" w:color="auto" w:fill="FFFFFF"/>
          </w:rPr>
          <w:t>Komercdarbības atbalsta kontroles likuma</w:t>
        </w:r>
      </w:hyperlink>
      <w:r>
        <w:rPr>
          <w:rStyle w:val="FootnoteReference"/>
          <w:rFonts w:ascii="Times New Roman" w:hAnsi="Times New Roman" w:cs="Times New Roman"/>
        </w:rPr>
        <w:footnoteReference w:id="12"/>
      </w:r>
      <w:r>
        <w:rPr>
          <w:rFonts w:ascii="Times New Roman" w:hAnsi="Times New Roman" w:cs="Times New Roman"/>
          <w:sz w:val="24"/>
          <w:szCs w:val="24"/>
          <w:shd w:val="clear" w:color="auto" w:fill="FFFFFF"/>
        </w:rPr>
        <w:t> IV vai V nodaļas nosacījumiem.</w:t>
      </w:r>
    </w:p>
    <w:p w14:paraId="4607E900" w14:textId="77777777" w:rsidR="004B2146" w:rsidRDefault="007E04C3">
      <w:pPr>
        <w:spacing w:before="240"/>
        <w:ind w:firstLine="720"/>
        <w:jc w:val="both"/>
      </w:pPr>
      <w:r>
        <w:rPr>
          <w:rFonts w:ascii="Times New Roman" w:eastAsia="Times New Roman" w:hAnsi="Times New Roman" w:cs="Times New Roman"/>
          <w:sz w:val="24"/>
          <w:szCs w:val="24"/>
        </w:rPr>
        <w:t xml:space="preserve">24. Atgūstamā publiskā finansējuma </w:t>
      </w:r>
      <w:r>
        <w:rPr>
          <w:rFonts w:ascii="Times New Roman" w:eastAsia="Times New Roman" w:hAnsi="Times New Roman" w:cs="Times New Roman"/>
          <w:color w:val="000000"/>
          <w:sz w:val="24"/>
          <w:szCs w:val="24"/>
        </w:rPr>
        <w:t xml:space="preserve">(ja J &gt;20 %) </w:t>
      </w:r>
      <w:r>
        <w:rPr>
          <w:rFonts w:ascii="Times New Roman" w:eastAsia="Times New Roman" w:hAnsi="Times New Roman" w:cs="Times New Roman"/>
          <w:sz w:val="24"/>
          <w:szCs w:val="24"/>
        </w:rPr>
        <w:t>aprēķina (bez procentiem) kārtība:</w:t>
      </w:r>
    </w:p>
    <w:p w14:paraId="4607E901" w14:textId="77777777" w:rsidR="004B2146" w:rsidRDefault="007E04C3">
      <w:pPr>
        <w:widowControl w:val="0"/>
        <w:spacing w:after="0"/>
        <w:jc w:val="center"/>
      </w:pPr>
      <m:oMathPara>
        <m:oMathParaPr>
          <m:jc m:val="center"/>
        </m:oMathParaPr>
        <m:oMath>
          <m:r>
            <m:rPr>
              <m:sty m:val="bi"/>
            </m:rPr>
            <w:rPr>
              <w:rFonts w:ascii="Cambria Math" w:hAnsi="Cambria Math"/>
            </w:rPr>
            <m:t>A</m:t>
          </m:r>
          <m:r>
            <w:rPr>
              <w:rFonts w:ascii="Cambria Math" w:hAnsi="Cambria Math"/>
            </w:rPr>
            <m:t>=</m:t>
          </m:r>
          <m:f>
            <m:fPr>
              <m:type m:val="lin"/>
              <m:ctrlPr>
                <w:rPr>
                  <w:rFonts w:ascii="Cambria Math" w:hAnsi="Cambria Math"/>
                </w:rPr>
              </m:ctrlPr>
            </m:fPr>
            <m:num>
              <m:r>
                <m:rPr>
                  <m:sty m:val="bi"/>
                </m:rPr>
                <w:rPr>
                  <w:rFonts w:ascii="Cambria Math" w:hAnsi="Cambria Math"/>
                </w:rPr>
                <m:t>J</m:t>
              </m:r>
              <m:r>
                <m:rPr>
                  <m:sty m:val="bi"/>
                </m:rPr>
                <w:rPr>
                  <w:rFonts w:ascii="Cambria Math" w:hAnsi="Cambria Math"/>
                </w:rPr>
                <m:t>*</m:t>
              </m:r>
              <m:r>
                <m:rPr>
                  <m:sty m:val="bi"/>
                </m:rPr>
                <w:rPr>
                  <w:rFonts w:ascii="Cambria Math" w:hAnsi="Cambria Math"/>
                </w:rPr>
                <m:t>F</m:t>
              </m:r>
            </m:num>
            <m:den>
              <m:r>
                <m:rPr>
                  <m:sty m:val="bi"/>
                </m:rPr>
                <w:rPr>
                  <w:rFonts w:ascii="Cambria Math" w:hAnsi="Cambria Math"/>
                </w:rPr>
                <m:t>P</m:t>
              </m:r>
            </m:den>
          </m:f>
        </m:oMath>
      </m:oMathPara>
    </w:p>
    <w:p w14:paraId="4607E902" w14:textId="77777777" w:rsidR="004B2146" w:rsidRDefault="007E04C3">
      <w:pPr>
        <w:widowControl w:val="0"/>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 atgūstamais publiskais finansējums; </w:t>
      </w:r>
    </w:p>
    <w:p w14:paraId="4607E903" w14:textId="77777777" w:rsidR="004B2146" w:rsidRDefault="007E04C3">
      <w:pPr>
        <w:widowControl w:val="0"/>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 jaudas apmērs konkrētajā ikgadējās uzraudzības pārskata periodā;</w:t>
      </w:r>
    </w:p>
    <w:p w14:paraId="4607E904" w14:textId="77777777" w:rsidR="004B2146" w:rsidRDefault="007E04C3">
      <w:pPr>
        <w:widowControl w:val="0"/>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publiskais finansējums infrastruktūras attīstībai</w:t>
      </w:r>
    </w:p>
    <w:p w14:paraId="4607E905" w14:textId="77777777" w:rsidR="004B2146" w:rsidRDefault="007E04C3">
      <w:pPr>
        <w:widowControl w:val="0"/>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 – pārskata perioda kopējais ilgums (infrastruktūras amortizācijas periods).</w:t>
      </w:r>
    </w:p>
    <w:p w14:paraId="4607E906" w14:textId="77777777" w:rsidR="004B2146" w:rsidRDefault="004B2146">
      <w:pPr>
        <w:widowControl w:val="0"/>
        <w:spacing w:after="0"/>
        <w:ind w:firstLine="720"/>
        <w:jc w:val="both"/>
        <w:rPr>
          <w:rFonts w:ascii="Times New Roman" w:eastAsia="Times New Roman" w:hAnsi="Times New Roman" w:cs="Times New Roman"/>
          <w:color w:val="000000"/>
          <w:sz w:val="24"/>
          <w:szCs w:val="24"/>
        </w:rPr>
      </w:pPr>
    </w:p>
    <w:p w14:paraId="4607E907" w14:textId="77777777" w:rsidR="004B2146" w:rsidRDefault="007E04C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Piemērs:</w:t>
      </w:r>
    </w:p>
    <w:tbl>
      <w:tblPr>
        <w:tblW w:w="9061" w:type="dxa"/>
        <w:tblCellMar>
          <w:left w:w="10" w:type="dxa"/>
          <w:right w:w="10" w:type="dxa"/>
        </w:tblCellMar>
        <w:tblLook w:val="0000" w:firstRow="0" w:lastRow="0" w:firstColumn="0" w:lastColumn="0" w:noHBand="0" w:noVBand="0"/>
      </w:tblPr>
      <w:tblGrid>
        <w:gridCol w:w="2547"/>
        <w:gridCol w:w="1417"/>
        <w:gridCol w:w="1276"/>
        <w:gridCol w:w="1276"/>
        <w:gridCol w:w="1276"/>
        <w:gridCol w:w="1269"/>
      </w:tblGrid>
      <w:tr w:rsidR="004B2146" w14:paraId="4607E90A" w14:textId="77777777">
        <w:tblPrEx>
          <w:tblCellMar>
            <w:top w:w="0" w:type="dxa"/>
            <w:bottom w:w="0" w:type="dxa"/>
          </w:tblCellMar>
        </w:tblPrEx>
        <w:tc>
          <w:tcPr>
            <w:tcW w:w="651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7E908" w14:textId="77777777" w:rsidR="004B2146" w:rsidRDefault="007E04C3">
            <w:pPr>
              <w:spacing w:after="0"/>
              <w:jc w:val="both"/>
              <w:rPr>
                <w:rFonts w:ascii="Times New Roman" w:eastAsia="Times New Roman" w:hAnsi="Times New Roman" w:cs="Times New Roman"/>
                <w:iCs/>
              </w:rPr>
            </w:pPr>
            <w:r>
              <w:rPr>
                <w:rFonts w:ascii="Times New Roman" w:eastAsia="Times New Roman" w:hAnsi="Times New Roman" w:cs="Times New Roman"/>
                <w:iCs/>
              </w:rPr>
              <w:t xml:space="preserve">Publiskais finansējums </w:t>
            </w:r>
            <w:r>
              <w:rPr>
                <w:rFonts w:ascii="Times New Roman" w:eastAsia="Times New Roman" w:hAnsi="Times New Roman" w:cs="Times New Roman"/>
                <w:iCs/>
              </w:rPr>
              <w:t>pētniecības infrastruktūras vienības attīstībai</w:t>
            </w:r>
          </w:p>
        </w:tc>
        <w:tc>
          <w:tcPr>
            <w:tcW w:w="254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09" w14:textId="77777777" w:rsidR="004B2146" w:rsidRDefault="007E04C3">
            <w:pPr>
              <w:spacing w:after="0"/>
              <w:jc w:val="both"/>
              <w:rPr>
                <w:rFonts w:ascii="Times New Roman" w:eastAsia="Times New Roman" w:hAnsi="Times New Roman" w:cs="Times New Roman"/>
                <w:iCs/>
              </w:rPr>
            </w:pPr>
            <w:r>
              <w:rPr>
                <w:rFonts w:ascii="Times New Roman" w:eastAsia="Times New Roman" w:hAnsi="Times New Roman" w:cs="Times New Roman"/>
                <w:iCs/>
              </w:rPr>
              <w:t>F =  500 000 EUR</w:t>
            </w:r>
          </w:p>
        </w:tc>
      </w:tr>
      <w:tr w:rsidR="004B2146" w14:paraId="4607E90D" w14:textId="77777777">
        <w:tblPrEx>
          <w:tblCellMar>
            <w:top w:w="0" w:type="dxa"/>
            <w:bottom w:w="0" w:type="dxa"/>
          </w:tblCellMar>
        </w:tblPrEx>
        <w:tc>
          <w:tcPr>
            <w:tcW w:w="651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7E90B" w14:textId="77777777" w:rsidR="004B2146" w:rsidRDefault="007E04C3">
            <w:pPr>
              <w:spacing w:after="0"/>
              <w:jc w:val="both"/>
              <w:rPr>
                <w:rFonts w:ascii="Times New Roman" w:eastAsia="Times New Roman" w:hAnsi="Times New Roman" w:cs="Times New Roman"/>
                <w:iCs/>
              </w:rPr>
            </w:pPr>
            <w:r>
              <w:rPr>
                <w:rFonts w:ascii="Times New Roman" w:eastAsia="Times New Roman" w:hAnsi="Times New Roman" w:cs="Times New Roman"/>
                <w:iCs/>
              </w:rPr>
              <w:t>Pētniecības infrastruktūras ikgadējās uzraudzības periods</w:t>
            </w:r>
          </w:p>
        </w:tc>
        <w:tc>
          <w:tcPr>
            <w:tcW w:w="254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0C" w14:textId="77777777" w:rsidR="004B2146" w:rsidRDefault="007E04C3">
            <w:pPr>
              <w:spacing w:after="0"/>
              <w:jc w:val="both"/>
              <w:rPr>
                <w:rFonts w:ascii="Times New Roman" w:eastAsia="Times New Roman" w:hAnsi="Times New Roman" w:cs="Times New Roman"/>
                <w:iCs/>
              </w:rPr>
            </w:pPr>
            <w:r>
              <w:rPr>
                <w:rFonts w:ascii="Times New Roman" w:eastAsia="Times New Roman" w:hAnsi="Times New Roman" w:cs="Times New Roman"/>
                <w:iCs/>
              </w:rPr>
              <w:t>P = 10 gadi</w:t>
            </w:r>
          </w:p>
        </w:tc>
      </w:tr>
      <w:tr w:rsidR="004B2146" w14:paraId="4607E914" w14:textId="77777777">
        <w:tblPrEx>
          <w:tblCellMar>
            <w:top w:w="0" w:type="dxa"/>
            <w:bottom w:w="0" w:type="dxa"/>
          </w:tblCellMar>
        </w:tblPrEx>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0E" w14:textId="77777777" w:rsidR="004B2146" w:rsidRDefault="007E04C3">
            <w:pPr>
              <w:spacing w:after="0"/>
              <w:jc w:val="both"/>
              <w:rPr>
                <w:rFonts w:ascii="Times New Roman" w:eastAsia="Times New Roman" w:hAnsi="Times New Roman" w:cs="Times New Roman"/>
                <w:iCs/>
              </w:rPr>
            </w:pPr>
            <w:r>
              <w:rPr>
                <w:rFonts w:ascii="Times New Roman" w:eastAsia="Times New Roman" w:hAnsi="Times New Roman" w:cs="Times New Roman"/>
                <w:iCs/>
              </w:rPr>
              <w:t>Pētniecības infrastruktūras ikgadējās uzraudzības perioda gads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0F"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2025.gads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0"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2026.gads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1"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2027.gads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2"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2028.gads</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3"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2029.gads</w:t>
            </w:r>
          </w:p>
        </w:tc>
      </w:tr>
      <w:tr w:rsidR="004B2146" w14:paraId="4607E91B" w14:textId="77777777">
        <w:tblPrEx>
          <w:tblCellMar>
            <w:top w:w="0" w:type="dxa"/>
            <w:bottom w:w="0" w:type="dxa"/>
          </w:tblCellMar>
        </w:tblPrEx>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15" w14:textId="77777777" w:rsidR="004B2146" w:rsidRDefault="007E04C3">
            <w:pPr>
              <w:spacing w:after="0"/>
              <w:jc w:val="both"/>
              <w:rPr>
                <w:rFonts w:ascii="Times New Roman" w:eastAsia="Times New Roman" w:hAnsi="Times New Roman" w:cs="Times New Roman"/>
                <w:iCs/>
              </w:rPr>
            </w:pPr>
            <w:r>
              <w:rPr>
                <w:rFonts w:ascii="Times New Roman" w:eastAsia="Times New Roman" w:hAnsi="Times New Roman" w:cs="Times New Roman"/>
                <w:iCs/>
              </w:rPr>
              <w:t>Saimnieciskai darbībai iedalītā jauda (J)</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6"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15 %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7"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15 %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8"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9"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15 %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1A"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25 %</w:t>
            </w:r>
          </w:p>
        </w:tc>
      </w:tr>
      <w:tr w:rsidR="004B2146" w14:paraId="4607E91E" w14:textId="77777777">
        <w:tblPrEx>
          <w:tblCellMar>
            <w:top w:w="0" w:type="dxa"/>
            <w:bottom w:w="0" w:type="dxa"/>
          </w:tblCellMar>
        </w:tblPrEx>
        <w:tc>
          <w:tcPr>
            <w:tcW w:w="906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1C" w14:textId="77777777" w:rsidR="004B2146" w:rsidRDefault="007E04C3">
            <w:pPr>
              <w:spacing w:after="0"/>
              <w:jc w:val="center"/>
              <w:rPr>
                <w:rFonts w:ascii="Times New Roman" w:eastAsia="Times New Roman" w:hAnsi="Times New Roman" w:cs="Times New Roman"/>
                <w:b/>
                <w:bCs/>
                <w:iCs/>
              </w:rPr>
            </w:pPr>
            <w:r>
              <w:rPr>
                <w:rFonts w:ascii="Times New Roman" w:eastAsia="Times New Roman" w:hAnsi="Times New Roman" w:cs="Times New Roman"/>
                <w:b/>
                <w:bCs/>
                <w:iCs/>
              </w:rPr>
              <w:t>Atgūstamā publiskā finansējumu A (ja J &gt;20 %) aprēķinā izmantojamā formula</w:t>
            </w:r>
          </w:p>
          <w:p w14:paraId="4607E91D" w14:textId="77777777" w:rsidR="004B2146" w:rsidRDefault="007E04C3">
            <w:pPr>
              <w:spacing w:after="0"/>
              <w:jc w:val="center"/>
            </w:pPr>
            <w:r>
              <w:rPr>
                <w:rFonts w:ascii="Times New Roman" w:eastAsia="Times New Roman" w:hAnsi="Times New Roman" w:cs="Times New Roman"/>
                <w:b/>
                <w:bCs/>
                <w:iCs/>
              </w:rPr>
              <w:t>A=(J*F) ⁄ P</w:t>
            </w:r>
          </w:p>
        </w:tc>
      </w:tr>
      <w:tr w:rsidR="004B2146" w14:paraId="4607E925" w14:textId="77777777">
        <w:tblPrEx>
          <w:tblCellMar>
            <w:top w:w="0" w:type="dxa"/>
            <w:bottom w:w="0" w:type="dxa"/>
          </w:tblCellMar>
        </w:tblPrEx>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1F" w14:textId="77777777" w:rsidR="004B2146" w:rsidRDefault="007E04C3">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Atgūstamā publiskā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20"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21"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22"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15 000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23"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0</w:t>
            </w:r>
          </w:p>
        </w:tc>
        <w:tc>
          <w:tcPr>
            <w:tcW w:w="1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E924" w14:textId="77777777" w:rsidR="004B2146" w:rsidRDefault="007E04C3">
            <w:pPr>
              <w:spacing w:after="0"/>
              <w:jc w:val="center"/>
              <w:rPr>
                <w:rFonts w:ascii="Times New Roman" w:eastAsia="Times New Roman" w:hAnsi="Times New Roman" w:cs="Times New Roman"/>
                <w:iCs/>
              </w:rPr>
            </w:pPr>
            <w:r>
              <w:rPr>
                <w:rFonts w:ascii="Times New Roman" w:eastAsia="Times New Roman" w:hAnsi="Times New Roman" w:cs="Times New Roman"/>
                <w:iCs/>
              </w:rPr>
              <w:t>12 500</w:t>
            </w:r>
          </w:p>
        </w:tc>
      </w:tr>
    </w:tbl>
    <w:p w14:paraId="4607E926" w14:textId="77777777" w:rsidR="004B2146" w:rsidRDefault="004B2146">
      <w:pPr>
        <w:spacing w:after="0"/>
        <w:jc w:val="both"/>
        <w:rPr>
          <w:rFonts w:ascii="Times New Roman" w:eastAsia="Times New Roman" w:hAnsi="Times New Roman" w:cs="Times New Roman"/>
          <w:i/>
          <w:sz w:val="24"/>
          <w:szCs w:val="24"/>
        </w:rPr>
      </w:pPr>
    </w:p>
    <w:tbl>
      <w:tblPr>
        <w:tblW w:w="9061" w:type="dxa"/>
        <w:tblCellMar>
          <w:left w:w="10" w:type="dxa"/>
          <w:right w:w="10" w:type="dxa"/>
        </w:tblCellMar>
        <w:tblLook w:val="0000" w:firstRow="0" w:lastRow="0" w:firstColumn="0" w:lastColumn="0" w:noHBand="0" w:noVBand="0"/>
      </w:tblPr>
      <w:tblGrid>
        <w:gridCol w:w="9061"/>
      </w:tblGrid>
      <w:tr w:rsidR="004B2146" w14:paraId="4607E92F" w14:textId="77777777">
        <w:tblPrEx>
          <w:tblCellMar>
            <w:top w:w="0" w:type="dxa"/>
            <w:bottom w:w="0" w:type="dxa"/>
          </w:tblCellMar>
        </w:tblPrEx>
        <w:tc>
          <w:tcPr>
            <w:tcW w:w="9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E927" w14:textId="77777777" w:rsidR="004B2146" w:rsidRDefault="007E04C3">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Apraksts.</w:t>
            </w:r>
          </w:p>
          <w:p w14:paraId="4607E928" w14:textId="77777777" w:rsidR="004B2146" w:rsidRDefault="007E04C3">
            <w:pPr>
              <w:spacing w:after="0"/>
              <w:ind w:left="45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ab/>
              <w:t xml:space="preserve">1.1.1.2. pasākuma projekta </w:t>
            </w:r>
            <w:r>
              <w:rPr>
                <w:rFonts w:ascii="Times New Roman" w:eastAsia="Times New Roman" w:hAnsi="Times New Roman" w:cs="Times New Roman"/>
                <w:iCs/>
                <w:sz w:val="24"/>
                <w:szCs w:val="24"/>
              </w:rPr>
              <w:t xml:space="preserve">ietvaros iegādātās pētniecības infrastruktūras vienības publiskā finansējuma apmērs 500 000 euro; </w:t>
            </w:r>
          </w:p>
          <w:p w14:paraId="4607E929" w14:textId="77777777" w:rsidR="004B2146" w:rsidRDefault="007E04C3">
            <w:pPr>
              <w:spacing w:after="0"/>
              <w:ind w:left="45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ab/>
              <w:t>ikgadējās uzraudzības periods, kas vienāds ar pētniecības infrastruktūras ikgadējās uzraudzības periodu, ir 10 gadi;</w:t>
            </w:r>
          </w:p>
          <w:p w14:paraId="4607E92A" w14:textId="77777777" w:rsidR="004B2146" w:rsidRDefault="007E04C3">
            <w:pPr>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Konstatējums ikgadējās uzraudzības pārskata periodā:</w:t>
            </w:r>
          </w:p>
          <w:p w14:paraId="4607E92B" w14:textId="77777777" w:rsidR="004B2146" w:rsidRDefault="007E04C3">
            <w:pPr>
              <w:spacing w:after="0"/>
              <w:jc w:val="both"/>
            </w:pPr>
            <w:r>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ab/>
              <w:t xml:space="preserve">pēcuzraudzības periodā vienā no ikgadējās uzraudzības pārskata gadiem (2027.g.) PSD veikta 30 % apmērā no kopējās iegādātās pētniecības infrastruktūras jaudas konkrētajā pārskata gadā un vienā no pārskata gadiem (2029.g.) PSD veikta 25 % apmērā no kopējās infrastruktūras jaudas konkrētajā pārskata gadā. </w:t>
            </w:r>
            <w:r>
              <w:rPr>
                <w:rFonts w:ascii="Times New Roman" w:eastAsia="Times New Roman" w:hAnsi="Times New Roman" w:cs="Times New Roman"/>
                <w:b/>
                <w:bCs/>
                <w:iCs/>
                <w:sz w:val="24"/>
                <w:szCs w:val="24"/>
              </w:rPr>
              <w:t xml:space="preserve">!!! Tādējādi 30 % no publiskā finansējuma, kas attiecināms uz 2027. gadu un 25 % no publiskā finansējuma, kas attiecināms uz 2029. gadu, ir izmantoti saimnieciskas darbības veikšanai un ir </w:t>
            </w:r>
            <w:r>
              <w:rPr>
                <w:rFonts w:ascii="Times New Roman" w:eastAsia="Times New Roman" w:hAnsi="Times New Roman" w:cs="Times New Roman"/>
                <w:b/>
                <w:bCs/>
                <w:iCs/>
                <w:sz w:val="24"/>
                <w:szCs w:val="24"/>
              </w:rPr>
              <w:lastRenderedPageBreak/>
              <w:t>atgūstami (ir jāa</w:t>
            </w:r>
            <w:r>
              <w:rPr>
                <w:rFonts w:ascii="Times New Roman" w:eastAsia="Times New Roman" w:hAnsi="Times New Roman" w:cs="Times New Roman"/>
                <w:b/>
                <w:bCs/>
                <w:iCs/>
                <w:sz w:val="24"/>
                <w:szCs w:val="24"/>
              </w:rPr>
              <w:t>tgūst visa saimnieciskajai darbībai izlietotā publiskā finansējuma daļa, nevis tikai daļa, kas pārsniedz 20%.)</w:t>
            </w:r>
          </w:p>
          <w:p w14:paraId="4607E92C" w14:textId="77777777" w:rsidR="004B2146" w:rsidRDefault="007E04C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Aprēķins atgūstamajam finansējumam:</w:t>
            </w:r>
          </w:p>
          <w:p w14:paraId="4607E92D" w14:textId="77777777" w:rsidR="004B2146" w:rsidRDefault="007E04C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[atgūstamais publiskais finansējums 2027. gads] = 0,3 x 500 000 euro/10 gadi  = 15 000 euro (plus atgūšanas procenti). </w:t>
            </w:r>
          </w:p>
          <w:p w14:paraId="4607E92E" w14:textId="77777777" w:rsidR="004B2146" w:rsidRDefault="007E04C3">
            <w:p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[atgūstamais publiskais finansējums 2029. gads] = 0,25 x 500 000 euro/10 gadi  = 12 500  euro (plus atgūšanas procenti).</w:t>
            </w:r>
          </w:p>
        </w:tc>
      </w:tr>
    </w:tbl>
    <w:p w14:paraId="4607E930" w14:textId="77777777" w:rsidR="004B2146" w:rsidRDefault="004B2146">
      <w:pPr>
        <w:spacing w:after="0"/>
        <w:jc w:val="both"/>
        <w:rPr>
          <w:rFonts w:ascii="Times New Roman" w:hAnsi="Times New Roman" w:cs="Times New Roman"/>
          <w:color w:val="414142"/>
          <w:sz w:val="24"/>
          <w:szCs w:val="24"/>
          <w:shd w:val="clear" w:color="auto" w:fill="FFFFFF"/>
        </w:rPr>
      </w:pPr>
    </w:p>
    <w:p w14:paraId="4607E931" w14:textId="77777777" w:rsidR="004B2146" w:rsidRDefault="004B2146">
      <w:pPr>
        <w:spacing w:after="0"/>
        <w:ind w:firstLine="720"/>
        <w:jc w:val="both"/>
        <w:rPr>
          <w:rFonts w:ascii="Times New Roman" w:hAnsi="Times New Roman" w:cs="Times New Roman"/>
          <w:color w:val="414142"/>
          <w:sz w:val="24"/>
          <w:szCs w:val="24"/>
          <w:shd w:val="clear" w:color="auto" w:fill="FFFFFF"/>
        </w:rPr>
      </w:pPr>
    </w:p>
    <w:p w14:paraId="4607E932" w14:textId="77777777" w:rsidR="004B2146" w:rsidRDefault="007E04C3">
      <w:pPr>
        <w:spacing w:after="0"/>
        <w:ind w:firstLine="720"/>
        <w:jc w:val="both"/>
      </w:pPr>
      <w:r>
        <w:rPr>
          <w:rFonts w:ascii="Times New Roman" w:hAnsi="Times New Roman" w:cs="Times New Roman"/>
          <w:color w:val="414142"/>
          <w:sz w:val="24"/>
          <w:szCs w:val="24"/>
          <w:shd w:val="clear" w:color="auto" w:fill="FFFFFF"/>
        </w:rPr>
        <w:t xml:space="preserve">25. </w:t>
      </w:r>
      <w:r>
        <w:rPr>
          <w:rFonts w:ascii="Times New Roman" w:eastAsia="Times New Roman" w:hAnsi="Times New Roman" w:cs="Times New Roman"/>
          <w:sz w:val="24"/>
          <w:szCs w:val="24"/>
        </w:rPr>
        <w:t xml:space="preserve">Pētniecības organizācijai </w:t>
      </w:r>
      <w:r>
        <w:rPr>
          <w:rFonts w:ascii="Times New Roman" w:hAnsi="Times New Roman" w:cs="Times New Roman"/>
          <w:sz w:val="24"/>
          <w:szCs w:val="24"/>
          <w:shd w:val="clear" w:color="auto" w:fill="FFFFFF"/>
        </w:rPr>
        <w:t xml:space="preserve">ir pienākums atmaksāt atgūstamo finansējumu kopā ar procentiem, kādus </w:t>
      </w:r>
      <w:r>
        <w:rPr>
          <w:rFonts w:ascii="Times New Roman" w:hAnsi="Times New Roman" w:cs="Times New Roman"/>
          <w:sz w:val="24"/>
          <w:szCs w:val="24"/>
          <w:shd w:val="clear" w:color="auto" w:fill="FFFFFF"/>
        </w:rPr>
        <w:t>publicē Eiropas Komisija saskaņā ar Komisijas regulas Nr. </w:t>
      </w:r>
      <w:hyperlink r:id="rId11" w:history="1">
        <w:r>
          <w:rPr>
            <w:rStyle w:val="Hyperlink"/>
            <w:rFonts w:ascii="Times New Roman" w:hAnsi="Times New Roman" w:cs="Times New Roman"/>
            <w:color w:val="auto"/>
            <w:sz w:val="24"/>
            <w:szCs w:val="24"/>
            <w:shd w:val="clear" w:color="auto" w:fill="FFFFFF"/>
          </w:rPr>
          <w:t>794/2004</w:t>
        </w:r>
      </w:hyperlink>
      <w:r>
        <w:rPr>
          <w:rFonts w:ascii="Times New Roman" w:hAnsi="Times New Roman" w:cs="Times New Roman"/>
          <w:sz w:val="24"/>
          <w:szCs w:val="24"/>
          <w:shd w:val="clear" w:color="auto" w:fill="FFFFFF"/>
        </w:rPr>
        <w:t> 10. pantu, tiem pieskaitot 100 bāzes punktus, no dienas, kad nelikumīgs komercdarbības atbalsts tika nodots labuma saņēmēja rīcībā, līdz tā atgūšanas dienai, ievērojot Komisijas regulas Nr. </w:t>
      </w:r>
      <w:hyperlink r:id="rId12" w:history="1">
        <w:r>
          <w:rPr>
            <w:rStyle w:val="Hyperlink"/>
            <w:rFonts w:ascii="Times New Roman" w:hAnsi="Times New Roman" w:cs="Times New Roman"/>
            <w:color w:val="auto"/>
            <w:sz w:val="24"/>
            <w:szCs w:val="24"/>
            <w:shd w:val="clear" w:color="auto" w:fill="FFFFFF"/>
          </w:rPr>
          <w:t>794/2004</w:t>
        </w:r>
      </w:hyperlink>
      <w:r>
        <w:rPr>
          <w:rFonts w:ascii="Times New Roman" w:hAnsi="Times New Roman" w:cs="Times New Roman"/>
          <w:sz w:val="24"/>
          <w:szCs w:val="24"/>
          <w:shd w:val="clear" w:color="auto" w:fill="FFFFFF"/>
        </w:rPr>
        <w:t> 11. pantā noteikto procentu likmes piemērošanas metodi.</w:t>
      </w:r>
    </w:p>
    <w:p w14:paraId="4607E933" w14:textId="77777777" w:rsidR="004B2146" w:rsidRDefault="007E04C3">
      <w:pPr>
        <w:spacing w:before="400" w:after="40"/>
        <w:ind w:left="360" w:hanging="360"/>
        <w:jc w:val="center"/>
      </w:pPr>
      <w:r>
        <w:rPr>
          <w:rFonts w:ascii="Times New Roman" w:eastAsia="Times New Roman" w:hAnsi="Times New Roman" w:cs="Times New Roman"/>
          <w:b/>
          <w:bCs/>
          <w:sz w:val="24"/>
          <w:szCs w:val="24"/>
        </w:rPr>
        <w:t xml:space="preserve">VI. </w:t>
      </w:r>
      <w:r>
        <w:rPr>
          <w:rFonts w:ascii="Times New Roman" w:eastAsia="Times New Roman" w:hAnsi="Times New Roman" w:cs="Times New Roman"/>
          <w:color w:val="306785"/>
          <w:sz w:val="36"/>
          <w:szCs w:val="36"/>
        </w:rPr>
        <w:t xml:space="preserve"> </w:t>
      </w:r>
      <w:r>
        <w:rPr>
          <w:rFonts w:ascii="Times New Roman" w:eastAsia="Times New Roman" w:hAnsi="Times New Roman" w:cs="Times New Roman"/>
          <w:b/>
          <w:bCs/>
          <w:sz w:val="24"/>
          <w:szCs w:val="24"/>
        </w:rPr>
        <w:t>Kombinēta atbalsta projekta ar saimniecisko darbību saistīta projekta daļa</w:t>
      </w:r>
    </w:p>
    <w:p w14:paraId="4607E934" w14:textId="77777777" w:rsidR="004B2146" w:rsidRDefault="004B2146">
      <w:pPr>
        <w:spacing w:after="0"/>
        <w:ind w:firstLine="720"/>
        <w:jc w:val="both"/>
        <w:rPr>
          <w:rFonts w:ascii="Times New Roman" w:eastAsia="Times New Roman" w:hAnsi="Times New Roman" w:cs="Times New Roman"/>
          <w:sz w:val="24"/>
          <w:szCs w:val="24"/>
        </w:rPr>
      </w:pPr>
    </w:p>
    <w:p w14:paraId="4607E935" w14:textId="77777777" w:rsidR="004B2146" w:rsidRDefault="007E04C3">
      <w:pPr>
        <w:spacing w:after="0"/>
        <w:ind w:firstLine="720"/>
        <w:jc w:val="both"/>
      </w:pPr>
      <w:r>
        <w:rPr>
          <w:rFonts w:ascii="Times New Roman" w:eastAsia="Times New Roman" w:hAnsi="Times New Roman" w:cs="Times New Roman"/>
          <w:sz w:val="24"/>
          <w:szCs w:val="24"/>
        </w:rPr>
        <w:t>26. Kombinēta atbalsta projekta ar saimniecisko darbību saistītai projekta daļai publiskā finansējuma atbalsta intensitāte nepārsniedz Komisijas regulas Nr. 651/2014 26. panta 6. punktā noteikto robežvērtību, t.i., 50 %</w:t>
      </w:r>
      <w:r>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no projekta attiecināmajām izmaksām;</w:t>
      </w:r>
    </w:p>
    <w:p w14:paraId="4607E936" w14:textId="77777777" w:rsidR="004B2146" w:rsidRDefault="007E04C3">
      <w:pPr>
        <w:shd w:val="clear" w:color="auto" w:fill="FFFFFF"/>
        <w:spacing w:before="240" w:after="0"/>
        <w:ind w:firstLine="720"/>
        <w:jc w:val="both"/>
      </w:pPr>
      <w:r>
        <w:rPr>
          <w:rFonts w:ascii="Times New Roman" w:eastAsia="Times New Roman" w:hAnsi="Times New Roman" w:cs="Times New Roman"/>
          <w:sz w:val="24"/>
          <w:szCs w:val="24"/>
        </w:rPr>
        <w:t>27. Īstenojot kombinēta atbalsta projektu, veic vidējās svērtās publiskā finansējuma intensitātes aprēķināšanas pamatojumu un vidējās svērtās publiskā finansējuma intensitātes aprēķinu (MK noteikumu Nr. 88 1. pielikums), ko veic atbilstoši MK noteikumu Nr. 88 2. pielikumā minētajai kombinēta atbalsta veida projekta, finansējuma saņēmēja un sadarbības partnera daļas vidējās svērtās publiskā finansējuma intensitātes aprēķināšanas metodikai.</w:t>
      </w:r>
    </w:p>
    <w:p w14:paraId="4607E937" w14:textId="77777777" w:rsidR="004B2146" w:rsidRDefault="007E04C3">
      <w:pPr>
        <w:spacing w:before="240" w:after="0"/>
        <w:ind w:firstLine="720"/>
      </w:pPr>
      <w:r>
        <w:rPr>
          <w:rFonts w:ascii="Times New Roman" w:eastAsia="Times New Roman" w:hAnsi="Times New Roman" w:cs="Times New Roman"/>
          <w:sz w:val="24"/>
          <w:szCs w:val="24"/>
        </w:rPr>
        <w:t>28. Kombinēta atbalsta projekta gadījumā tiek nošķirta projekta daļa, kas ietver saimnieciskas darbības no projekta daļas, kas neietver saimnieciskas darbības.</w:t>
      </w:r>
    </w:p>
    <w:p w14:paraId="4607E938" w14:textId="77777777" w:rsidR="004B2146" w:rsidRDefault="007E04C3">
      <w:pPr>
        <w:spacing w:before="240"/>
        <w:ind w:firstLine="709"/>
        <w:jc w:val="both"/>
        <w:rPr>
          <w:rFonts w:ascii="Times New Roman" w:hAnsi="Times New Roman" w:cs="Times New Roman"/>
          <w:sz w:val="24"/>
          <w:szCs w:val="24"/>
        </w:rPr>
      </w:pPr>
      <w:r>
        <w:rPr>
          <w:rFonts w:ascii="Times New Roman" w:hAnsi="Times New Roman" w:cs="Times New Roman"/>
          <w:sz w:val="24"/>
          <w:szCs w:val="24"/>
        </w:rPr>
        <w:t>29. Materiālo aktīvu, tostarp zinātniskā aparatūra, aprīkojums, instrumentu komplekti, informācijas un komunikāciju tehnoloģijas infrastruktūra, lietojuma ikgadējo uzraudzību var veikt pa aktīvu attīstības blokiem, ja aktīvi ir savstarpēji saistīti, iegādāti attīstības bloka ietvaros atbilstoši projekta iesniegumā paredzētajam, un attīstības bloka aktīvi veido vienu iekārtu komplektu konkrētam pētniecības virzienam. Ar saimniecisko darbību saistītu un ar saimniecisko darbību nesaistītu izmantojumu  aktīviem</w:t>
      </w:r>
      <w:r>
        <w:rPr>
          <w:rFonts w:ascii="Times New Roman" w:hAnsi="Times New Roman" w:cs="Times New Roman"/>
          <w:sz w:val="24"/>
          <w:szCs w:val="24"/>
        </w:rPr>
        <w:t xml:space="preserve"> aprēķina no šo aktīvu noslodzēm mašīnstundās, t.i. lieto jaudas laika izteiksmi un, izmantojot uzkrātos datus, nosaka faktisko aktīvu kopas, kas iegādāta viena projekta ietvaros, izmantošanas attiecību saimnieciskām darbībām.</w:t>
      </w:r>
    </w:p>
    <w:p w14:paraId="4607E939" w14:textId="77777777" w:rsidR="004B2146" w:rsidRDefault="007E04C3">
      <w:pPr>
        <w:shd w:val="clear" w:color="auto" w:fill="FFFFFF"/>
        <w:ind w:firstLine="709"/>
        <w:jc w:val="both"/>
      </w:pPr>
      <w:r>
        <w:rPr>
          <w:rFonts w:ascii="Times New Roman" w:hAnsi="Times New Roman" w:cs="Times New Roman"/>
          <w:sz w:val="24"/>
          <w:szCs w:val="24"/>
        </w:rPr>
        <w:t xml:space="preserve">30. Tā kā kombinēta tipa projektos tiek izmantoti vidējie svērtie lielumi, lai pārliecinātos, ka projektā visa projekta dzīves cikla laikā (10 gadi atbilstoši MK noteikumu 59. punktam) </w:t>
      </w:r>
      <w:r>
        <w:rPr>
          <w:rFonts w:ascii="Times New Roman" w:hAnsi="Times New Roman" w:cs="Times New Roman"/>
          <w:sz w:val="24"/>
          <w:szCs w:val="24"/>
        </w:rPr>
        <w:t>saimnieciskās darbības proporcija nepārsniedz to saimnieciskās daļas īpatsvaru, kas tika paredzēta projekta iesnieguma apstiprināšanas brīdī, tiek veikta uzraudzība, piemērojot faktiskās saimnieciskās darbības izmantošanas proporcijas pret jaudu (iekārtas kapacitāte izteikta stundās). Kombinēta projekta gadījumā jālieto vienota pieeja metodes aprēķinam, gan saimnieciskai, gan nesaimnieciskai daļai jālieto viena metode (laika).</w:t>
      </w:r>
    </w:p>
    <w:p w14:paraId="4607E93A" w14:textId="77777777" w:rsidR="004B2146" w:rsidRDefault="007E04C3">
      <w:pPr>
        <w:ind w:firstLine="720"/>
        <w:jc w:val="both"/>
      </w:pPr>
      <w:r>
        <w:rPr>
          <w:rFonts w:ascii="Times New Roman" w:eastAsia="Times New Roman" w:hAnsi="Times New Roman" w:cs="Times New Roman"/>
          <w:sz w:val="24"/>
          <w:szCs w:val="24"/>
        </w:rPr>
        <w:lastRenderedPageBreak/>
        <w:t>31. Jaukta izmantojuma gadījumā saimnieciskas darbības daļai aktīvu lietojuma gada norma, izteikta stundās amortizācijas periodā, nedrīkst pārsniegt saimnieciskās darbības procentuālo lielumu, kāds bija noteikts uz atbalsta piešķiršanas brīdi.</w:t>
      </w:r>
    </w:p>
    <w:p w14:paraId="4607E93B" w14:textId="77777777" w:rsidR="004B2146" w:rsidRDefault="007E04C3">
      <w:pPr>
        <w:ind w:firstLine="709"/>
        <w:jc w:val="both"/>
      </w:pPr>
      <w:r>
        <w:rPr>
          <w:rFonts w:ascii="Times New Roman" w:hAnsi="Times New Roman" w:cs="Times New Roman"/>
          <w:sz w:val="24"/>
          <w:szCs w:val="24"/>
        </w:rPr>
        <w:t xml:space="preserve">32. Ar saimniecisko darbību saistītas projekta daļas ietvaros ir pieļaujamas aktīvu izmantojuma svārstības gadu ietvaros. Finansējuma saņēmējs veic ikgadēju saimnieciskās darbības īpatsvara uzraudzību, bet, izmantojot </w:t>
      </w:r>
      <w:proofErr w:type="spellStart"/>
      <w:r>
        <w:rPr>
          <w:rFonts w:ascii="Times New Roman" w:hAnsi="Times New Roman" w:cs="Times New Roman"/>
          <w:sz w:val="24"/>
          <w:szCs w:val="24"/>
        </w:rPr>
        <w:t>pašdeklarācijas</w:t>
      </w:r>
      <w:proofErr w:type="spellEnd"/>
      <w:r>
        <w:rPr>
          <w:rFonts w:ascii="Times New Roman" w:hAnsi="Times New Roman" w:cs="Times New Roman"/>
          <w:sz w:val="24"/>
          <w:szCs w:val="24"/>
        </w:rPr>
        <w:t xml:space="preserve"> principu, ziņo sadarbības iestādei, ja tiek pārsniegts valsts atbalsta piešķiršanas dienā prognozētais saimniecisko pamatdarbību īpatsvars. Atgūstamā valsts atbalsta aprēķinu veic un nelikumīgi saņemto publisko finansējumu atgūst vienu reizi projekta dzīves cikla perioda beigās.</w:t>
      </w:r>
    </w:p>
    <w:p w14:paraId="4607E93C" w14:textId="77777777" w:rsidR="004B2146" w:rsidRDefault="007E04C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Atgūstamā valsts atbalsta aprēķinu veic un nelikumīgi saņemto publisko finansējumu atgūst, ja kombinēta atbalsta projekta ar saimniecisku darbību saistītas projekta daļas ietvaros modernizētās pētniecības infrastruktūras izmantojums saimniecisko pamatdarbību īstenošanai pārsniedz valsts atbalsta piešķiršanas dienā prognozēto saimniecisko pamatdarbību īpatsvaru.</w:t>
      </w:r>
    </w:p>
    <w:p w14:paraId="4607E93D" w14:textId="77777777" w:rsidR="004B2146" w:rsidRDefault="007E04C3">
      <w:pPr>
        <w:spacing w:before="24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Šīs metodikas 33. punktā minētajā gadījumā valsts atbalsta apmēru (A) par visu infrastruktūras amortizācijas periodu aprēķina, izmantojot šādu formulu: </w:t>
      </w:r>
    </w:p>
    <w:p w14:paraId="4607E93E" w14:textId="77777777" w:rsidR="004B2146" w:rsidRDefault="007E04C3">
      <w:pPr>
        <w:spacing w:before="60" w:after="60"/>
        <w:ind w:left="141"/>
        <w:jc w:val="center"/>
      </w:pPr>
      <w:r>
        <w:rPr>
          <w:rFonts w:ascii="Times New Roman" w:eastAsia="Times New Roman" w:hAnsi="Times New Roman" w:cs="Times New Roman"/>
          <w:b/>
          <w:bCs/>
          <w:i/>
          <w:iCs/>
          <w:sz w:val="24"/>
          <w:szCs w:val="24"/>
        </w:rPr>
        <w:t>A=F</w:t>
      </w:r>
      <w:r>
        <w:rPr>
          <w:rFonts w:ascii="Times New Roman" w:eastAsia="Times New Roman" w:hAnsi="Times New Roman" w:cs="Times New Roman"/>
          <w:b/>
          <w:bCs/>
          <w:i/>
          <w:iCs/>
          <w:sz w:val="24"/>
          <w:szCs w:val="24"/>
          <w:vertAlign w:val="subscript"/>
        </w:rPr>
        <w:t>K</w:t>
      </w:r>
      <w:r>
        <w:rPr>
          <w:rFonts w:ascii="Times New Roman" w:eastAsia="Times New Roman" w:hAnsi="Times New Roman" w:cs="Times New Roman"/>
          <w:b/>
          <w:bCs/>
          <w:i/>
          <w:iCs/>
          <w:sz w:val="24"/>
          <w:szCs w:val="24"/>
        </w:rPr>
        <w:t>*(S</w:t>
      </w:r>
      <w:r>
        <w:rPr>
          <w:rFonts w:ascii="Times New Roman" w:eastAsia="Times New Roman" w:hAnsi="Times New Roman" w:cs="Times New Roman"/>
          <w:b/>
          <w:bCs/>
          <w:i/>
          <w:iCs/>
          <w:sz w:val="24"/>
          <w:szCs w:val="24"/>
          <w:vertAlign w:val="subscript"/>
        </w:rPr>
        <w:t>F</w:t>
      </w:r>
      <w:r>
        <w:rPr>
          <w:rFonts w:ascii="Times New Roman" w:eastAsia="Times New Roman" w:hAnsi="Times New Roman" w:cs="Times New Roman"/>
          <w:b/>
          <w:bCs/>
          <w:i/>
          <w:iCs/>
          <w:sz w:val="24"/>
          <w:szCs w:val="24"/>
        </w:rPr>
        <w:t>-S</w:t>
      </w:r>
      <w:r>
        <w:rPr>
          <w:rFonts w:ascii="Times New Roman" w:eastAsia="Times New Roman" w:hAnsi="Times New Roman" w:cs="Times New Roman"/>
          <w:b/>
          <w:bCs/>
          <w:i/>
          <w:iCs/>
          <w:sz w:val="24"/>
          <w:szCs w:val="24"/>
          <w:vertAlign w:val="subscript"/>
        </w:rPr>
        <w:t>P</w:t>
      </w:r>
      <w:r>
        <w:rPr>
          <w:rFonts w:ascii="Times New Roman" w:eastAsia="Times New Roman" w:hAnsi="Times New Roman" w:cs="Times New Roman"/>
          <w:b/>
          <w:bCs/>
          <w:i/>
          <w:iCs/>
          <w:sz w:val="24"/>
          <w:szCs w:val="24"/>
        </w:rPr>
        <w:t>)*((K-I)+I/1.21*0.21</w:t>
      </w:r>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kur</w:t>
      </w:r>
    </w:p>
    <w:p w14:paraId="4607E93F" w14:textId="77777777" w:rsidR="004B2146" w:rsidRDefault="007E04C3">
      <w:pPr>
        <w:spacing w:before="60" w:after="60"/>
        <w:ind w:left="284"/>
        <w:jc w:val="both"/>
      </w:pPr>
      <w:r>
        <w:rPr>
          <w:rFonts w:ascii="Times New Roman" w:eastAsia="Times New Roman" w:hAnsi="Times New Roman" w:cs="Times New Roman"/>
          <w:i/>
          <w:iCs/>
          <w:sz w:val="24"/>
          <w:szCs w:val="24"/>
        </w:rPr>
        <w:t xml:space="preserve">A </w:t>
      </w:r>
      <w:r>
        <w:rPr>
          <w:rFonts w:ascii="Times New Roman" w:eastAsia="Times New Roman" w:hAnsi="Times New Roman" w:cs="Times New Roman"/>
          <w:sz w:val="24"/>
          <w:szCs w:val="24"/>
        </w:rPr>
        <w:t xml:space="preserve">– atgūstamais valsts atbalsta apmērs,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4607E940" w14:textId="77777777" w:rsidR="004B2146" w:rsidRDefault="007E04C3">
      <w:pPr>
        <w:spacing w:before="60" w:after="60"/>
        <w:ind w:left="284"/>
        <w:jc w:val="both"/>
      </w:pPr>
      <w:r>
        <w:rPr>
          <w:rFonts w:ascii="Times New Roman" w:eastAsia="Times New Roman" w:hAnsi="Times New Roman" w:cs="Times New Roman"/>
          <w:i/>
          <w:iCs/>
          <w:sz w:val="24"/>
          <w:szCs w:val="24"/>
        </w:rPr>
        <w:t>F</w:t>
      </w:r>
      <w:r>
        <w:rPr>
          <w:rFonts w:ascii="Times New Roman" w:eastAsia="Times New Roman" w:hAnsi="Times New Roman" w:cs="Times New Roman"/>
          <w:i/>
          <w:iCs/>
          <w:sz w:val="24"/>
          <w:szCs w:val="24"/>
          <w:vertAlign w:val="subscript"/>
        </w:rPr>
        <w:t>K</w:t>
      </w:r>
      <w:r>
        <w:rPr>
          <w:rFonts w:ascii="Times New Roman" w:eastAsia="Times New Roman" w:hAnsi="Times New Roman" w:cs="Times New Roman"/>
          <w:sz w:val="24"/>
          <w:szCs w:val="24"/>
        </w:rPr>
        <w:t xml:space="preserve"> – kopējās izmaksas, </w:t>
      </w:r>
      <w:r>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w:t>
      </w:r>
    </w:p>
    <w:p w14:paraId="4607E941" w14:textId="77777777" w:rsidR="004B2146" w:rsidRDefault="007E04C3">
      <w:pPr>
        <w:spacing w:before="60" w:after="60"/>
        <w:ind w:left="284"/>
        <w:jc w:val="both"/>
      </w:pPr>
      <w:r>
        <w:rPr>
          <w:rFonts w:ascii="Times New Roman" w:eastAsia="Times New Roman" w:hAnsi="Times New Roman" w:cs="Times New Roman"/>
          <w:i/>
          <w:iCs/>
          <w:sz w:val="24"/>
          <w:szCs w:val="24"/>
        </w:rPr>
        <w:t>I</w:t>
      </w:r>
      <w:r>
        <w:rPr>
          <w:rFonts w:ascii="Times New Roman" w:eastAsia="Times New Roman" w:hAnsi="Times New Roman" w:cs="Times New Roman"/>
          <w:sz w:val="24"/>
          <w:szCs w:val="24"/>
        </w:rPr>
        <w:t xml:space="preserve"> – publiskā finansējuma intensitāte saimnieciskai darbībai, %;</w:t>
      </w:r>
    </w:p>
    <w:p w14:paraId="4607E942" w14:textId="77777777" w:rsidR="004B2146" w:rsidRDefault="007E04C3">
      <w:pPr>
        <w:spacing w:before="60" w:after="60"/>
        <w:ind w:left="284"/>
        <w:jc w:val="both"/>
      </w:pPr>
      <w:r>
        <w:rPr>
          <w:rFonts w:ascii="Times New Roman" w:eastAsia="Times New Roman" w:hAnsi="Times New Roman" w:cs="Times New Roman"/>
          <w:i/>
          <w:iCs/>
          <w:sz w:val="24"/>
          <w:szCs w:val="24"/>
        </w:rPr>
        <w:t>K</w:t>
      </w:r>
      <w:r>
        <w:rPr>
          <w:rFonts w:ascii="Times New Roman" w:eastAsia="Times New Roman" w:hAnsi="Times New Roman" w:cs="Times New Roman"/>
          <w:sz w:val="24"/>
          <w:szCs w:val="24"/>
        </w:rPr>
        <w:t xml:space="preserve"> – publiskā finansējuma intensitāte nesaimnieciskai darbībai, %;</w:t>
      </w:r>
    </w:p>
    <w:p w14:paraId="4607E943" w14:textId="77777777" w:rsidR="004B2146" w:rsidRDefault="007E04C3">
      <w:pPr>
        <w:spacing w:before="60" w:after="60"/>
        <w:ind w:left="284"/>
        <w:jc w:val="both"/>
      </w:pPr>
      <w:r>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vertAlign w:val="subscript"/>
        </w:rPr>
        <w:t>P</w:t>
      </w:r>
      <w:r>
        <w:rPr>
          <w:rFonts w:ascii="Times New Roman" w:eastAsia="Times New Roman" w:hAnsi="Times New Roman" w:cs="Times New Roman"/>
          <w:sz w:val="24"/>
          <w:szCs w:val="24"/>
        </w:rPr>
        <w:t xml:space="preserve"> - valsts atbalsta piešķiršanas dienā prognozētais saimniecisko pamatdarbību </w:t>
      </w:r>
      <w:r>
        <w:rPr>
          <w:rFonts w:ascii="Times New Roman" w:eastAsia="Times New Roman" w:hAnsi="Times New Roman" w:cs="Times New Roman"/>
          <w:sz w:val="24"/>
          <w:szCs w:val="24"/>
        </w:rPr>
        <w:t>īpatsvars, %;</w:t>
      </w:r>
    </w:p>
    <w:p w14:paraId="4607E944" w14:textId="77777777" w:rsidR="004B2146" w:rsidRDefault="007E04C3">
      <w:pPr>
        <w:spacing w:before="60" w:after="60"/>
        <w:ind w:left="284"/>
        <w:jc w:val="both"/>
      </w:pPr>
      <w:r>
        <w:rPr>
          <w:rFonts w:ascii="Times New Roman" w:eastAsia="Times New Roman" w:hAnsi="Times New Roman" w:cs="Times New Roman"/>
          <w:i/>
          <w:iCs/>
          <w:sz w:val="24"/>
          <w:szCs w:val="24"/>
        </w:rPr>
        <w:t>S</w:t>
      </w:r>
      <w:r>
        <w:rPr>
          <w:rFonts w:ascii="Times New Roman" w:eastAsia="Times New Roman" w:hAnsi="Times New Roman" w:cs="Times New Roman"/>
          <w:i/>
          <w:iCs/>
          <w:sz w:val="24"/>
          <w:szCs w:val="24"/>
          <w:vertAlign w:val="subscript"/>
        </w:rPr>
        <w:t>F</w:t>
      </w:r>
      <w:r>
        <w:rPr>
          <w:rFonts w:ascii="Times New Roman" w:eastAsia="Times New Roman" w:hAnsi="Times New Roman" w:cs="Times New Roman"/>
          <w:sz w:val="24"/>
          <w:szCs w:val="24"/>
        </w:rPr>
        <w:t xml:space="preserve"> – vidējais svērtais saimniecisko darbību īpatsvars visā infrastruktūras amortizācijas periodā, %;</w:t>
      </w:r>
    </w:p>
    <w:p w14:paraId="4607E945" w14:textId="77777777" w:rsidR="004B2146" w:rsidRDefault="007E04C3">
      <w:pPr>
        <w:spacing w:before="60" w:after="60"/>
        <w:ind w:left="284"/>
        <w:jc w:val="both"/>
      </w:pPr>
      <w:r>
        <w:rPr>
          <w:rFonts w:ascii="Times New Roman" w:eastAsia="Times New Roman" w:hAnsi="Times New Roman" w:cs="Times New Roman"/>
          <w:i/>
          <w:iCs/>
          <w:sz w:val="24"/>
          <w:szCs w:val="24"/>
        </w:rPr>
        <w:t>1.21</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un</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0.21</w:t>
      </w:r>
      <w:r>
        <w:rPr>
          <w:rFonts w:ascii="Times New Roman" w:eastAsia="Times New Roman" w:hAnsi="Times New Roman" w:cs="Times New Roman"/>
          <w:sz w:val="24"/>
          <w:szCs w:val="24"/>
        </w:rPr>
        <w:t xml:space="preserve"> – PVN korekcija.</w:t>
      </w:r>
    </w:p>
    <w:p w14:paraId="4607E946" w14:textId="77777777" w:rsidR="004B2146" w:rsidRDefault="007E04C3">
      <w:pPr>
        <w:spacing w:before="240"/>
        <w:ind w:firstLine="709"/>
        <w:jc w:val="both"/>
      </w:pPr>
      <w:r>
        <w:rPr>
          <w:rFonts w:ascii="Times New Roman" w:eastAsia="Times New Roman" w:hAnsi="Times New Roman" w:cs="Times New Roman"/>
          <w:sz w:val="24"/>
          <w:szCs w:val="24"/>
        </w:rPr>
        <w:t>35. Šīs metodikas 34. punktā aprēķinātajam atgūstamā valsts atbalsta apmēram (A) pievieno nelikumības procentus. Nelikumības procentu likmes nosaka atbilstoši Paziņojumam par procentu likmēm</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Vienlaikus ievēro Komisijas regulas Nr. 794/2004 11. panta nosacījumus.</w:t>
      </w:r>
    </w:p>
    <w:p w14:paraId="4607E947" w14:textId="77777777" w:rsidR="004B2146" w:rsidRDefault="004B2146">
      <w:pPr>
        <w:spacing w:before="240"/>
        <w:ind w:firstLine="709"/>
        <w:jc w:val="both"/>
      </w:pPr>
    </w:p>
    <w:p w14:paraId="4607E948" w14:textId="77777777" w:rsidR="004B2146" w:rsidRDefault="007E04C3">
      <w:pPr>
        <w:spacing w:before="240"/>
        <w:jc w:val="both"/>
      </w:pPr>
      <w:r>
        <w:rPr>
          <w:rFonts w:ascii="Times New Roman" w:eastAsia="Times New Roman" w:hAnsi="Times New Roman" w:cs="Times New Roman"/>
          <w:sz w:val="24"/>
          <w:szCs w:val="24"/>
        </w:rPr>
        <w:t xml:space="preserve">Pielikums: </w:t>
      </w:r>
      <w:r>
        <w:rPr>
          <w:rFonts w:ascii="Times New Roman" w:hAnsi="Times New Roman" w:cs="Times New Roman"/>
          <w:sz w:val="24"/>
          <w:szCs w:val="24"/>
        </w:rPr>
        <w:t>Veidlapa PSD uzraudzībai finanšu vai laika izteiksmē uz 2 lpp.</w:t>
      </w:r>
    </w:p>
    <w:p w14:paraId="4607E949" w14:textId="77777777" w:rsidR="004B2146" w:rsidRDefault="004B2146">
      <w:pPr>
        <w:spacing w:before="240"/>
        <w:jc w:val="both"/>
      </w:pPr>
    </w:p>
    <w:sectPr w:rsidR="004B2146">
      <w:footerReference w:type="default" r:id="rId13"/>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E897" w14:textId="77777777" w:rsidR="007E04C3" w:rsidRDefault="007E04C3">
      <w:pPr>
        <w:spacing w:after="0"/>
      </w:pPr>
      <w:r>
        <w:separator/>
      </w:r>
    </w:p>
  </w:endnote>
  <w:endnote w:type="continuationSeparator" w:id="0">
    <w:p w14:paraId="4607E899" w14:textId="77777777" w:rsidR="007E04C3" w:rsidRDefault="007E0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E89B" w14:textId="77777777" w:rsidR="007E04C3" w:rsidRDefault="007E04C3">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p>
  <w:p w14:paraId="4607E89C" w14:textId="77777777" w:rsidR="007E04C3" w:rsidRDefault="007E04C3">
    <w:pPr>
      <w:pStyle w:val="Footer"/>
      <w:rPr>
        <w:rFonts w:ascii="Times New Roman" w:hAnsi="Times New Roman" w:cs="Times New Roman"/>
      </w:rPr>
    </w:pPr>
    <w:r>
      <w:rPr>
        <w:rFonts w:ascii="Times New Roman" w:hAnsi="Times New Roman" w:cs="Times New Roman"/>
      </w:rPr>
      <w:t>PSD_metodika_1.1.1.2.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7E893" w14:textId="77777777" w:rsidR="007E04C3" w:rsidRDefault="007E04C3">
      <w:pPr>
        <w:spacing w:after="0"/>
      </w:pPr>
      <w:r>
        <w:rPr>
          <w:color w:val="000000"/>
        </w:rPr>
        <w:separator/>
      </w:r>
    </w:p>
  </w:footnote>
  <w:footnote w:type="continuationSeparator" w:id="0">
    <w:p w14:paraId="4607E895" w14:textId="77777777" w:rsidR="007E04C3" w:rsidRDefault="007E04C3">
      <w:pPr>
        <w:spacing w:after="0"/>
      </w:pPr>
      <w:r>
        <w:continuationSeparator/>
      </w:r>
    </w:p>
  </w:footnote>
  <w:footnote w:id="1">
    <w:p w14:paraId="4607E893" w14:textId="77777777" w:rsidR="004B2146" w:rsidRDefault="007E04C3">
      <w:pPr>
        <w:spacing w:after="0"/>
      </w:pPr>
      <w:r>
        <w:rPr>
          <w:rStyle w:val="FootnoteReference"/>
        </w:rPr>
        <w:footnoteRef/>
      </w:r>
      <w:r>
        <w:rPr>
          <w:rFonts w:ascii="Times New Roman" w:hAnsi="Times New Roman" w:cs="Times New Roman"/>
          <w:sz w:val="20"/>
          <w:szCs w:val="20"/>
        </w:rPr>
        <w:t xml:space="preserve"> Pieejama: </w:t>
      </w:r>
      <w:hyperlink r:id="rId1" w:history="1">
        <w:r>
          <w:rPr>
            <w:rStyle w:val="Hyperlink"/>
            <w:rFonts w:ascii="Times New Roman" w:hAnsi="Times New Roman" w:cs="Times New Roman"/>
            <w:sz w:val="20"/>
            <w:szCs w:val="20"/>
          </w:rPr>
          <w:t>https://eur-lex.europa.eu/eli/reg/2014/651/oj/?locale=LV</w:t>
        </w:r>
      </w:hyperlink>
    </w:p>
  </w:footnote>
  <w:footnote w:id="2">
    <w:p w14:paraId="4607E894" w14:textId="77777777" w:rsidR="004B2146" w:rsidRDefault="007E04C3">
      <w:pPr>
        <w:pStyle w:val="FootnoteText"/>
        <w:jc w:val="both"/>
      </w:pPr>
      <w:r>
        <w:rPr>
          <w:rStyle w:val="FootnoteReference"/>
        </w:rPr>
        <w:footnoteRef/>
      </w:r>
      <w:r>
        <w:rPr>
          <w:rFonts w:ascii="Times New Roman" w:hAnsi="Times New Roman" w:cs="Times New Roman"/>
        </w:rPr>
        <w:t xml:space="preserve"> </w:t>
      </w:r>
      <w:r>
        <w:rPr>
          <w:rFonts w:ascii="Times New Roman" w:hAnsi="Times New Roman" w:cs="Times New Roman"/>
        </w:rPr>
        <w:t xml:space="preserve">Pieejams: </w:t>
      </w:r>
      <w:hyperlink r:id="rId2" w:history="1">
        <w:r>
          <w:rPr>
            <w:rStyle w:val="Hyperlink"/>
            <w:rFonts w:ascii="Times New Roman" w:hAnsi="Times New Roman" w:cs="Times New Roman"/>
          </w:rPr>
          <w:t>https://eur-lex.europa.eu/legal-content/LV/TXT/?uri=celex%3A12016ME%2FTXT</w:t>
        </w:r>
      </w:hyperlink>
      <w:r>
        <w:rPr>
          <w:rFonts w:ascii="Times New Roman" w:hAnsi="Times New Roman" w:cs="Times New Roman"/>
        </w:rPr>
        <w:t xml:space="preserve"> </w:t>
      </w:r>
    </w:p>
  </w:footnote>
  <w:footnote w:id="3">
    <w:p w14:paraId="4607E895" w14:textId="77777777" w:rsidR="004B2146" w:rsidRDefault="007E04C3">
      <w:pPr>
        <w:pStyle w:val="FootnoteText"/>
        <w:jc w:val="both"/>
      </w:pPr>
      <w:r>
        <w:rPr>
          <w:rStyle w:val="FootnoteReference"/>
        </w:rPr>
        <w:footnoteRef/>
      </w:r>
      <w:r>
        <w:rPr>
          <w:rFonts w:ascii="Times New Roman" w:hAnsi="Times New Roman" w:cs="Times New Roman"/>
        </w:rPr>
        <w:t xml:space="preserve"> </w:t>
      </w:r>
      <w:r>
        <w:rPr>
          <w:rFonts w:ascii="Times New Roman" w:hAnsi="Times New Roman" w:cs="Times New Roman"/>
        </w:rPr>
        <w:t xml:space="preserve">Pieejami: </w:t>
      </w:r>
      <w:hyperlink r:id="rId3" w:history="1">
        <w:r>
          <w:rPr>
            <w:rStyle w:val="Hyperlink"/>
          </w:rPr>
          <w:t>https://likumi.lv/ta/id/358429-eiropas-savienibas-kohezijas-politikas-programmas-2021-2027-gadam-1-1-1-specifiska-atbalsta-merka-petniecibas-un-inovaciju</w:t>
        </w:r>
      </w:hyperlink>
    </w:p>
  </w:footnote>
  <w:footnote w:id="4">
    <w:p w14:paraId="4607E896" w14:textId="77777777" w:rsidR="004B2146" w:rsidRDefault="007E04C3">
      <w:pPr>
        <w:pStyle w:val="FootnoteText"/>
      </w:pPr>
      <w:r>
        <w:rPr>
          <w:rStyle w:val="FootnoteReference"/>
        </w:rPr>
        <w:footnoteRef/>
      </w:r>
      <w:r>
        <w:rPr>
          <w:rFonts w:ascii="Times New Roman" w:hAnsi="Times New Roman" w:cs="Times New Roman"/>
        </w:rPr>
        <w:t xml:space="preserve">  </w:t>
      </w:r>
      <w:proofErr w:type="spellStart"/>
      <w:r>
        <w:rPr>
          <w:rFonts w:ascii="Times New Roman" w:hAnsi="Times New Roman" w:cs="Times New Roman"/>
        </w:rPr>
        <w:t>Līgumpētījumi</w:t>
      </w:r>
      <w:proofErr w:type="spellEnd"/>
      <w:r>
        <w:rPr>
          <w:rFonts w:ascii="Times New Roman" w:hAnsi="Times New Roman" w:cs="Times New Roman"/>
        </w:rPr>
        <w:t xml:space="preserve">, kuru veikšana ir tiek izmantoti tie paši resursi (iekārta un darba spēks). </w:t>
      </w:r>
      <w:r>
        <w:rPr>
          <w:rFonts w:ascii="Times New Roman" w:hAnsi="Times New Roman" w:cs="Times New Roman"/>
        </w:rPr>
        <w:t xml:space="preserve">Pētniecības organizācija </w:t>
      </w:r>
      <w:proofErr w:type="spellStart"/>
      <w:r>
        <w:rPr>
          <w:rFonts w:ascii="Times New Roman" w:hAnsi="Times New Roman" w:cs="Times New Roman"/>
        </w:rPr>
        <w:t>pasūta</w:t>
      </w:r>
      <w:proofErr w:type="spellEnd"/>
      <w:r>
        <w:rPr>
          <w:rFonts w:ascii="Times New Roman" w:hAnsi="Times New Roman" w:cs="Times New Roman"/>
        </w:rPr>
        <w:t xml:space="preserve"> noteikta veida pētījumu, kuram jāizmanto tā pati pētniecības infrastruktūra, kas nesaimnieciskajiem pētījumiem.</w:t>
      </w:r>
    </w:p>
  </w:footnote>
  <w:footnote w:id="5">
    <w:p w14:paraId="4607E897" w14:textId="77777777" w:rsidR="004B2146" w:rsidRDefault="007E04C3">
      <w:r>
        <w:rPr>
          <w:rStyle w:val="FootnoteReference"/>
        </w:rPr>
        <w:footnoteRef/>
      </w:r>
      <w:r>
        <w:rPr>
          <w:rFonts w:eastAsia="Cambria" w:cs="Cambria"/>
        </w:rPr>
        <w:t xml:space="preserve"> </w:t>
      </w:r>
      <w:r>
        <w:rPr>
          <w:rFonts w:eastAsia="Cambria" w:cs="Cambria"/>
          <w:sz w:val="20"/>
          <w:szCs w:val="20"/>
        </w:rPr>
        <w:t>Atbilstoši Eiropas Komisijas sniegtajam skaidrojumam e-</w:t>
      </w:r>
      <w:proofErr w:type="spellStart"/>
      <w:r>
        <w:rPr>
          <w:rFonts w:eastAsia="Cambria" w:cs="Cambria"/>
          <w:sz w:val="20"/>
          <w:szCs w:val="20"/>
        </w:rPr>
        <w:t>State</w:t>
      </w:r>
      <w:proofErr w:type="spellEnd"/>
      <w:r>
        <w:rPr>
          <w:rFonts w:eastAsia="Cambria" w:cs="Cambria"/>
          <w:sz w:val="20"/>
          <w:szCs w:val="20"/>
        </w:rPr>
        <w:t xml:space="preserve"> Aid </w:t>
      </w:r>
      <w:proofErr w:type="spellStart"/>
      <w:r>
        <w:rPr>
          <w:rFonts w:eastAsia="Cambria" w:cs="Cambria"/>
          <w:sz w:val="20"/>
          <w:szCs w:val="20"/>
        </w:rPr>
        <w:t>Wiki</w:t>
      </w:r>
      <w:proofErr w:type="spellEnd"/>
      <w:r>
        <w:rPr>
          <w:rFonts w:eastAsia="Cambria" w:cs="Cambria"/>
          <w:sz w:val="20"/>
          <w:szCs w:val="20"/>
        </w:rPr>
        <w:t xml:space="preserve"> sistēmā</w:t>
      </w:r>
    </w:p>
  </w:footnote>
  <w:footnote w:id="6">
    <w:p w14:paraId="4607E898" w14:textId="77777777" w:rsidR="004B2146" w:rsidRDefault="007E04C3">
      <w:pPr>
        <w:pStyle w:val="FootnoteText"/>
        <w:jc w:val="both"/>
      </w:pPr>
      <w:r>
        <w:rPr>
          <w:rStyle w:val="FootnoteReference"/>
        </w:rPr>
        <w:footnoteRef/>
      </w:r>
      <w:r>
        <w:rPr>
          <w:rFonts w:ascii="Times New Roman" w:hAnsi="Times New Roman" w:cs="Times New Roman"/>
        </w:rPr>
        <w:t xml:space="preserve">Pieejams:  </w:t>
      </w:r>
      <w:hyperlink r:id="rId4" w:history="1">
        <w:r>
          <w:rPr>
            <w:rStyle w:val="Hyperlink"/>
            <w:rFonts w:ascii="Times New Roman" w:hAnsi="Times New Roman" w:cs="Times New Roman"/>
          </w:rPr>
          <w:t>https://eur-lex.europa.eu/legal-content/LV/ALL/?uri=CELEX:52016XC0719(05)</w:t>
        </w:r>
      </w:hyperlink>
      <w:r>
        <w:rPr>
          <w:rFonts w:ascii="Times New Roman" w:hAnsi="Times New Roman" w:cs="Times New Roman"/>
        </w:rPr>
        <w:t xml:space="preserve"> </w:t>
      </w:r>
    </w:p>
  </w:footnote>
  <w:footnote w:id="7">
    <w:p w14:paraId="4607E899" w14:textId="77777777" w:rsidR="004B2146" w:rsidRDefault="007E04C3">
      <w:pPr>
        <w:spacing w:after="0"/>
        <w:jc w:val="both"/>
      </w:pPr>
      <w:r>
        <w:rPr>
          <w:rStyle w:val="FootnoteReference"/>
        </w:rPr>
        <w:footnoteRef/>
      </w:r>
      <w:r>
        <w:rPr>
          <w:rFonts w:ascii="Times New Roman" w:hAnsi="Times New Roman" w:cs="Times New Roman"/>
          <w:sz w:val="20"/>
          <w:szCs w:val="20"/>
        </w:rPr>
        <w:t xml:space="preserve"> </w:t>
      </w:r>
      <w:r>
        <w:rPr>
          <w:rFonts w:ascii="Times New Roman" w:hAnsi="Times New Roman" w:cs="Times New Roman"/>
          <w:sz w:val="20"/>
          <w:szCs w:val="20"/>
        </w:rPr>
        <w:t xml:space="preserve">Pieejams: </w:t>
      </w:r>
      <w:hyperlink r:id="rId5" w:history="1">
        <w:r>
          <w:rPr>
            <w:rStyle w:val="Hyperlink"/>
            <w:rFonts w:ascii="Times New Roman" w:hAnsi="Times New Roman" w:cs="Times New Roman"/>
            <w:sz w:val="20"/>
            <w:szCs w:val="20"/>
          </w:rPr>
          <w:t>https://eur-lex.europa.eu/legal-content/LV/TXT/HTML/?uri=OJ%3AC%3A2022%3A414%3AFU</w:t>
        </w:r>
      </w:hyperlink>
      <w:r>
        <w:rPr>
          <w:rFonts w:ascii="Times New Roman" w:hAnsi="Times New Roman" w:cs="Times New Roman"/>
          <w:sz w:val="20"/>
          <w:szCs w:val="20"/>
        </w:rPr>
        <w:t xml:space="preserve"> L</w:t>
      </w:r>
    </w:p>
  </w:footnote>
  <w:footnote w:id="8">
    <w:p w14:paraId="4607E89A" w14:textId="77777777" w:rsidR="004B2146" w:rsidRDefault="007E04C3">
      <w:pPr>
        <w:pStyle w:val="FootnoteText"/>
        <w:jc w:val="both"/>
      </w:pPr>
      <w:r>
        <w:rPr>
          <w:rStyle w:val="FootnoteReference"/>
        </w:rPr>
        <w:footnoteRef/>
      </w:r>
      <w:r>
        <w:rPr>
          <w:rFonts w:ascii="Times New Roman" w:hAnsi="Times New Roman" w:cs="Times New Roman"/>
        </w:rPr>
        <w:t xml:space="preserve"> </w:t>
      </w:r>
      <w:r>
        <w:rPr>
          <w:rFonts w:ascii="Times New Roman" w:hAnsi="Times New Roman" w:cs="Times New Roman"/>
        </w:rPr>
        <w:t xml:space="preserve">Pieejams: </w:t>
      </w:r>
      <w:hyperlink r:id="rId6" w:history="1">
        <w:r>
          <w:rPr>
            <w:rStyle w:val="Hyperlink"/>
            <w:rFonts w:ascii="Times New Roman" w:hAnsi="Times New Roman" w:cs="Times New Roman"/>
          </w:rPr>
          <w:t>https://www.fm.gov.lv/lv/media/504/download</w:t>
        </w:r>
      </w:hyperlink>
      <w:r>
        <w:rPr>
          <w:rFonts w:ascii="Times New Roman" w:hAnsi="Times New Roman" w:cs="Times New Roman"/>
        </w:rPr>
        <w:t xml:space="preserve"> </w:t>
      </w:r>
    </w:p>
  </w:footnote>
  <w:footnote w:id="9">
    <w:p w14:paraId="4607E89B" w14:textId="77777777" w:rsidR="004B2146" w:rsidRDefault="007E04C3">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rPr>
        <w:t>MK noteikumu Nr. 88 29.2.1. apakšpunkts.</w:t>
      </w:r>
    </w:p>
  </w:footnote>
  <w:footnote w:id="10">
    <w:p w14:paraId="4607E89C" w14:textId="77777777" w:rsidR="004B2146" w:rsidRDefault="007E04C3">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rPr>
        <w:t>Kombinēta projekta gadījumā tiek lietota tikai laika metode.</w:t>
      </w:r>
    </w:p>
  </w:footnote>
  <w:footnote w:id="11">
    <w:p w14:paraId="4607E89D" w14:textId="77777777" w:rsidR="004B2146" w:rsidRDefault="007E04C3">
      <w:pPr>
        <w:pStyle w:val="FootnoteText"/>
        <w:jc w:val="both"/>
      </w:pPr>
      <w:r>
        <w:rPr>
          <w:rStyle w:val="FootnoteReference"/>
        </w:rPr>
        <w:footnoteRef/>
      </w:r>
      <w:r>
        <w:rPr>
          <w:rFonts w:ascii="Times New Roman" w:hAnsi="Times New Roman" w:cs="Times New Roman"/>
        </w:rPr>
        <w:t xml:space="preserve"> </w:t>
      </w:r>
      <w:r>
        <w:rPr>
          <w:rFonts w:ascii="Times New Roman" w:hAnsi="Times New Roman" w:cs="Times New Roman"/>
        </w:rPr>
        <w:t xml:space="preserve">Ministru kabineta 2021. gada 28. septembra noteikumi Nr. 652 "Gada pārskata sagatavošanas kārtība". Pieejami: </w:t>
      </w:r>
      <w:hyperlink r:id="rId7" w:history="1">
        <w:r>
          <w:rPr>
            <w:rStyle w:val="Hyperlink"/>
            <w:rFonts w:ascii="Times New Roman" w:hAnsi="Times New Roman" w:cs="Times New Roman"/>
          </w:rPr>
          <w:t>https://likumi.lv/ta/id/326425</w:t>
        </w:r>
      </w:hyperlink>
      <w:r>
        <w:rPr>
          <w:rFonts w:ascii="Times New Roman" w:hAnsi="Times New Roman" w:cs="Times New Roman"/>
        </w:rPr>
        <w:t xml:space="preserve"> </w:t>
      </w:r>
    </w:p>
  </w:footnote>
  <w:footnote w:id="12">
    <w:p w14:paraId="4607E89E" w14:textId="77777777" w:rsidR="004B2146" w:rsidRDefault="007E04C3">
      <w:pPr>
        <w:pStyle w:val="FootnoteText"/>
      </w:pPr>
      <w:r>
        <w:rPr>
          <w:rStyle w:val="FootnoteReference"/>
        </w:rPr>
        <w:footnoteRef/>
      </w:r>
      <w:r>
        <w:t xml:space="preserve"> </w:t>
      </w:r>
      <w:r>
        <w:t>Komercdarbības atbalsta kontroles likums pieejams: https://likumi.lv/doc.php?id=267199</w:t>
      </w:r>
    </w:p>
  </w:footnote>
  <w:footnote w:id="13">
    <w:p w14:paraId="4607E89F" w14:textId="77777777" w:rsidR="004B2146" w:rsidRDefault="007E04C3">
      <w:pPr>
        <w:pStyle w:val="FootnoteText"/>
      </w:pPr>
      <w:r>
        <w:rPr>
          <w:rStyle w:val="FootnoteReference"/>
        </w:rPr>
        <w:footnoteRef/>
      </w:r>
      <w:r>
        <w:rPr>
          <w:rFonts w:ascii="Times New Roman" w:hAnsi="Times New Roman" w:cs="Times New Roman"/>
        </w:rPr>
        <w:t xml:space="preserve"> </w:t>
      </w:r>
      <w:r>
        <w:rPr>
          <w:rFonts w:ascii="Times New Roman" w:hAnsi="Times New Roman" w:cs="Times New Roman"/>
        </w:rPr>
        <w:t>MK noteikumu 53. punkts.</w:t>
      </w:r>
    </w:p>
  </w:footnote>
  <w:footnote w:id="14">
    <w:p w14:paraId="4607E8A0" w14:textId="77777777" w:rsidR="004B2146" w:rsidRDefault="007E04C3">
      <w:pPr>
        <w:spacing w:after="0"/>
        <w:jc w:val="both"/>
      </w:pPr>
      <w:r>
        <w:rPr>
          <w:rStyle w:val="FootnoteReference"/>
        </w:rPr>
        <w:footnoteRef/>
      </w:r>
      <w:r>
        <w:rPr>
          <w:rFonts w:ascii="Times New Roman" w:hAnsi="Times New Roman" w:cs="Times New Roman"/>
          <w:sz w:val="20"/>
          <w:szCs w:val="20"/>
        </w:rPr>
        <w:t xml:space="preserve"> </w:t>
      </w:r>
      <w:r>
        <w:rPr>
          <w:rFonts w:ascii="Times New Roman" w:hAnsi="Times New Roman" w:cs="Times New Roman"/>
          <w:sz w:val="20"/>
          <w:szCs w:val="20"/>
        </w:rPr>
        <w:t>I</w:t>
      </w:r>
      <w:r>
        <w:rPr>
          <w:rFonts w:ascii="Times New Roman" w:eastAsia="Times New Roman" w:hAnsi="Times New Roman" w:cs="Times New Roman"/>
          <w:sz w:val="20"/>
          <w:szCs w:val="20"/>
        </w:rPr>
        <w:t xml:space="preserve">nformācija par pašreizējām valsts atbalsta atgūšanas procentu likmēm ir pieejama paziņojumā par procentu likmēm, kas pieejams tīmekļa vietnē: </w:t>
      </w:r>
      <w:hyperlink r:id="rId8" w:history="1">
        <w:r>
          <w:rPr>
            <w:rFonts w:ascii="Times New Roman" w:eastAsia="Times New Roman" w:hAnsi="Times New Roman" w:cs="Times New Roman"/>
            <w:sz w:val="20"/>
            <w:szCs w:val="20"/>
          </w:rPr>
          <w:t>https://competition-policy.ec.europa.eu/state-aid/legislation/reference-discount-rates-and-recovery-interest-rates/reference-and-discount-rates_en</w:t>
        </w:r>
      </w:hyperlink>
      <w:r>
        <w:rPr>
          <w:rFonts w:ascii="Times New Roman" w:eastAsia="Times New Roman" w:hAnsi="Times New Roman" w:cs="Times New Roman"/>
          <w:sz w:val="20"/>
          <w:szCs w:val="20"/>
        </w:rPr>
        <w:t>.</w:t>
      </w:r>
    </w:p>
    <w:p w14:paraId="4607E8A1" w14:textId="77777777" w:rsidR="004B2146" w:rsidRDefault="004B21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3DF5"/>
    <w:multiLevelType w:val="multilevel"/>
    <w:tmpl w:val="62A032B0"/>
    <w:lvl w:ilvl="0">
      <w:start w:val="1"/>
      <w:numFmt w:val="decimal"/>
      <w:lvlText w:val="%1."/>
      <w:lvlJc w:val="left"/>
      <w:pPr>
        <w:ind w:left="928" w:hanging="360"/>
      </w:pPr>
      <w:rPr>
        <w:rFonts w:ascii="Times New Roman" w:hAnsi="Times New Roman" w:cs="Times New Roman"/>
        <w:sz w:val="24"/>
        <w:szCs w:val="24"/>
      </w:rPr>
    </w:lvl>
    <w:lvl w:ilvl="1">
      <w:start w:val="1"/>
      <w:numFmt w:val="decimal"/>
      <w:lvlText w:val="%1.%2."/>
      <w:lvlJc w:val="left"/>
      <w:pPr>
        <w:ind w:left="1778" w:hanging="360"/>
      </w:pPr>
      <w:rPr>
        <w:rFonts w:ascii="Times New Roman" w:hAnsi="Times New Roman" w:cs="Times New Roman"/>
        <w:sz w:val="24"/>
        <w:szCs w:val="24"/>
      </w:rPr>
    </w:lvl>
    <w:lvl w:ilvl="2">
      <w:start w:val="1"/>
      <w:numFmt w:val="decimal"/>
      <w:lvlText w:val="%1.%2.%3."/>
      <w:lvlJc w:val="left"/>
      <w:pPr>
        <w:ind w:left="2422"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2C655352"/>
    <w:multiLevelType w:val="multilevel"/>
    <w:tmpl w:val="4E7C42B8"/>
    <w:lvl w:ilvl="0">
      <w:numFmt w:val="bullet"/>
      <w:lvlText w:val="-"/>
      <w:lvlJc w:val="left"/>
      <w:pPr>
        <w:ind w:left="1980" w:hanging="360"/>
      </w:pPr>
      <w:rPr>
        <w:rFonts w:ascii="Times New Roman" w:eastAsia="MS Mincho" w:hAnsi="Times New Roman" w:cs="Times New Roman"/>
      </w:rPr>
    </w:lvl>
    <w:lvl w:ilvl="1">
      <w:numFmt w:val="bullet"/>
      <w:lvlText w:val="o"/>
      <w:lvlJc w:val="left"/>
      <w:pPr>
        <w:ind w:left="2700" w:hanging="360"/>
      </w:pPr>
      <w:rPr>
        <w:rFonts w:ascii="Courier New" w:hAnsi="Courier New" w:cs="Courier New"/>
      </w:rPr>
    </w:lvl>
    <w:lvl w:ilvl="2">
      <w:numFmt w:val="bullet"/>
      <w:lvlText w:val=""/>
      <w:lvlJc w:val="left"/>
      <w:pPr>
        <w:ind w:left="3420" w:hanging="360"/>
      </w:pPr>
      <w:rPr>
        <w:rFonts w:ascii="Wingdings" w:hAnsi="Wingdings"/>
      </w:rPr>
    </w:lvl>
    <w:lvl w:ilvl="3">
      <w:numFmt w:val="bullet"/>
      <w:lvlText w:val=""/>
      <w:lvlJc w:val="left"/>
      <w:pPr>
        <w:ind w:left="4140" w:hanging="360"/>
      </w:pPr>
      <w:rPr>
        <w:rFonts w:ascii="Symbol" w:hAnsi="Symbol"/>
      </w:rPr>
    </w:lvl>
    <w:lvl w:ilvl="4">
      <w:numFmt w:val="bullet"/>
      <w:lvlText w:val="o"/>
      <w:lvlJc w:val="left"/>
      <w:pPr>
        <w:ind w:left="4860" w:hanging="360"/>
      </w:pPr>
      <w:rPr>
        <w:rFonts w:ascii="Courier New" w:hAnsi="Courier New" w:cs="Courier New"/>
      </w:rPr>
    </w:lvl>
    <w:lvl w:ilvl="5">
      <w:numFmt w:val="bullet"/>
      <w:lvlText w:val=""/>
      <w:lvlJc w:val="left"/>
      <w:pPr>
        <w:ind w:left="5580" w:hanging="360"/>
      </w:pPr>
      <w:rPr>
        <w:rFonts w:ascii="Wingdings" w:hAnsi="Wingdings"/>
      </w:rPr>
    </w:lvl>
    <w:lvl w:ilvl="6">
      <w:numFmt w:val="bullet"/>
      <w:lvlText w:val=""/>
      <w:lvlJc w:val="left"/>
      <w:pPr>
        <w:ind w:left="6300" w:hanging="360"/>
      </w:pPr>
      <w:rPr>
        <w:rFonts w:ascii="Symbol" w:hAnsi="Symbol"/>
      </w:rPr>
    </w:lvl>
    <w:lvl w:ilvl="7">
      <w:numFmt w:val="bullet"/>
      <w:lvlText w:val="o"/>
      <w:lvlJc w:val="left"/>
      <w:pPr>
        <w:ind w:left="7020" w:hanging="360"/>
      </w:pPr>
      <w:rPr>
        <w:rFonts w:ascii="Courier New" w:hAnsi="Courier New" w:cs="Courier New"/>
      </w:rPr>
    </w:lvl>
    <w:lvl w:ilvl="8">
      <w:numFmt w:val="bullet"/>
      <w:lvlText w:val=""/>
      <w:lvlJc w:val="left"/>
      <w:pPr>
        <w:ind w:left="7740" w:hanging="360"/>
      </w:pPr>
      <w:rPr>
        <w:rFonts w:ascii="Wingdings" w:hAnsi="Wingdings"/>
      </w:rPr>
    </w:lvl>
  </w:abstractNum>
  <w:abstractNum w:abstractNumId="2" w15:restartNumberingAfterBreak="0">
    <w:nsid w:val="30014C43"/>
    <w:multiLevelType w:val="multilevel"/>
    <w:tmpl w:val="F098A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21B70BD"/>
    <w:multiLevelType w:val="multilevel"/>
    <w:tmpl w:val="B74A2FD2"/>
    <w:lvl w:ilvl="0">
      <w:start w:val="1"/>
      <w:numFmt w:val="lowerLetter"/>
      <w:lvlText w:val="%1)"/>
      <w:lvlJc w:val="left"/>
      <w:pPr>
        <w:ind w:left="1080" w:hanging="360"/>
      </w:pPr>
      <w:rPr>
        <w:rFonts w:ascii="Times New Roman" w:eastAsia="MS Mincho" w:hAnsi="Times New Roman" w:cs="Times New Roman"/>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38710D68"/>
    <w:multiLevelType w:val="multilevel"/>
    <w:tmpl w:val="11D437DE"/>
    <w:styleLink w:val="LFO11"/>
    <w:lvl w:ilvl="0">
      <w:numFmt w:val="bullet"/>
      <w:pStyle w:val="BulletA"/>
      <w:lvlText w:val=""/>
      <w:lvlJc w:val="left"/>
      <w:pPr>
        <w:ind w:left="1494" w:hanging="360"/>
      </w:pPr>
      <w:rPr>
        <w:rFonts w:ascii="Wingdings" w:hAnsi="Wingdings"/>
        <w:color w:val="943634"/>
        <w:sz w:val="24"/>
      </w:rPr>
    </w:lvl>
    <w:lvl w:ilvl="1">
      <w:numFmt w:val="bullet"/>
      <w:lvlText w:val="–"/>
      <w:lvlJc w:val="left"/>
      <w:pPr>
        <w:ind w:left="2648" w:hanging="360"/>
      </w:pPr>
      <w:rPr>
        <w:rFonts w:ascii="Times New Roman" w:eastAsia="MS Mincho" w:hAnsi="Times New Roman" w:cs="Times New Roman"/>
      </w:rPr>
    </w:lvl>
    <w:lvl w:ilvl="2">
      <w:numFmt w:val="bullet"/>
      <w:lvlText w:val=""/>
      <w:lvlJc w:val="left"/>
      <w:pPr>
        <w:ind w:left="3368" w:hanging="360"/>
      </w:pPr>
      <w:rPr>
        <w:rFonts w:ascii="Wingdings" w:hAnsi="Wingdings"/>
      </w:rPr>
    </w:lvl>
    <w:lvl w:ilvl="3">
      <w:numFmt w:val="bullet"/>
      <w:lvlText w:val=""/>
      <w:lvlJc w:val="left"/>
      <w:pPr>
        <w:ind w:left="4088" w:hanging="360"/>
      </w:pPr>
      <w:rPr>
        <w:rFonts w:ascii="Symbol" w:hAnsi="Symbol"/>
      </w:rPr>
    </w:lvl>
    <w:lvl w:ilvl="4">
      <w:numFmt w:val="bullet"/>
      <w:lvlText w:val="o"/>
      <w:lvlJc w:val="left"/>
      <w:pPr>
        <w:ind w:left="4808" w:hanging="360"/>
      </w:pPr>
      <w:rPr>
        <w:rFonts w:ascii="Courier New" w:hAnsi="Courier New" w:cs="Courier New"/>
      </w:rPr>
    </w:lvl>
    <w:lvl w:ilvl="5">
      <w:numFmt w:val="bullet"/>
      <w:lvlText w:val=""/>
      <w:lvlJc w:val="left"/>
      <w:pPr>
        <w:ind w:left="5528" w:hanging="360"/>
      </w:pPr>
      <w:rPr>
        <w:rFonts w:ascii="Wingdings" w:hAnsi="Wingdings"/>
      </w:rPr>
    </w:lvl>
    <w:lvl w:ilvl="6">
      <w:numFmt w:val="bullet"/>
      <w:lvlText w:val=""/>
      <w:lvlJc w:val="left"/>
      <w:pPr>
        <w:ind w:left="6248" w:hanging="360"/>
      </w:pPr>
      <w:rPr>
        <w:rFonts w:ascii="Symbol" w:hAnsi="Symbol"/>
      </w:rPr>
    </w:lvl>
    <w:lvl w:ilvl="7">
      <w:numFmt w:val="bullet"/>
      <w:lvlText w:val="o"/>
      <w:lvlJc w:val="left"/>
      <w:pPr>
        <w:ind w:left="6968" w:hanging="360"/>
      </w:pPr>
      <w:rPr>
        <w:rFonts w:ascii="Courier New" w:hAnsi="Courier New" w:cs="Courier New"/>
      </w:rPr>
    </w:lvl>
    <w:lvl w:ilvl="8">
      <w:numFmt w:val="bullet"/>
      <w:lvlText w:val=""/>
      <w:lvlJc w:val="left"/>
      <w:pPr>
        <w:ind w:left="7688" w:hanging="360"/>
      </w:pPr>
      <w:rPr>
        <w:rFonts w:ascii="Wingdings" w:hAnsi="Wingdings"/>
      </w:rPr>
    </w:lvl>
  </w:abstractNum>
  <w:num w:numId="1" w16cid:durableId="1640112008">
    <w:abstractNumId w:val="4"/>
  </w:num>
  <w:num w:numId="2" w16cid:durableId="196548786">
    <w:abstractNumId w:val="3"/>
  </w:num>
  <w:num w:numId="3" w16cid:durableId="131681732">
    <w:abstractNumId w:val="1"/>
  </w:num>
  <w:num w:numId="4" w16cid:durableId="1056322671">
    <w:abstractNumId w:val="2"/>
  </w:num>
  <w:num w:numId="5" w16cid:durableId="205364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B2146"/>
    <w:rsid w:val="004B2146"/>
    <w:rsid w:val="007E04C3"/>
    <w:rsid w:val="00FF2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E893"/>
  <w15:docId w15:val="{2BECFC47-D68B-4E39-98B4-F67F3280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DokChampa"/>
        <w:sz w:val="22"/>
        <w:szCs w:val="22"/>
        <w:lang w:val="lv-LV" w:eastAsia="lv-LV"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40"/>
      <w:outlineLvl w:val="0"/>
    </w:pPr>
    <w:rPr>
      <w:rFonts w:ascii="Calibri" w:eastAsia="MS Gothic" w:hAnsi="Calibri"/>
      <w:color w:val="244061"/>
      <w:sz w:val="36"/>
      <w:szCs w:val="36"/>
    </w:rPr>
  </w:style>
  <w:style w:type="paragraph" w:styleId="Heading2">
    <w:name w:val="heading 2"/>
    <w:basedOn w:val="Normal"/>
    <w:next w:val="Normal"/>
    <w:uiPriority w:val="9"/>
    <w:semiHidden/>
    <w:unhideWhenUsed/>
    <w:qFormat/>
    <w:pPr>
      <w:keepNext/>
      <w:keepLines/>
      <w:spacing w:before="40" w:after="0"/>
      <w:outlineLvl w:val="1"/>
    </w:pPr>
    <w:rPr>
      <w:rFonts w:ascii="Calibri" w:eastAsia="MS Gothic" w:hAnsi="Calibri"/>
      <w:color w:val="365F91"/>
      <w:sz w:val="32"/>
      <w:szCs w:val="32"/>
    </w:rPr>
  </w:style>
  <w:style w:type="paragraph" w:styleId="Heading3">
    <w:name w:val="heading 3"/>
    <w:basedOn w:val="Normal"/>
    <w:next w:val="Normal"/>
    <w:uiPriority w:val="9"/>
    <w:semiHidden/>
    <w:unhideWhenUsed/>
    <w:qFormat/>
    <w:pPr>
      <w:keepNext/>
      <w:keepLines/>
      <w:spacing w:before="40" w:after="0"/>
      <w:outlineLvl w:val="2"/>
    </w:pPr>
    <w:rPr>
      <w:rFonts w:ascii="Calibri" w:eastAsia="MS Gothic" w:hAnsi="Calibri"/>
      <w:color w:val="365F91"/>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libri" w:eastAsia="MS Gothic" w:hAnsi="Calibri"/>
      <w:color w:val="365F91"/>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Calibri" w:eastAsia="MS Gothic" w:hAnsi="Calibri"/>
      <w:caps/>
      <w:color w:val="365F91"/>
    </w:rPr>
  </w:style>
  <w:style w:type="paragraph" w:styleId="Heading6">
    <w:name w:val="heading 6"/>
    <w:basedOn w:val="Normal"/>
    <w:next w:val="Normal"/>
    <w:uiPriority w:val="9"/>
    <w:semiHidden/>
    <w:unhideWhenUsed/>
    <w:qFormat/>
    <w:pPr>
      <w:keepNext/>
      <w:keepLines/>
      <w:spacing w:before="40" w:after="0"/>
      <w:outlineLvl w:val="5"/>
    </w:pPr>
    <w:rPr>
      <w:rFonts w:ascii="Calibri" w:eastAsia="MS Gothic" w:hAnsi="Calibri"/>
      <w:i/>
      <w:iCs/>
      <w:caps/>
      <w:color w:val="244061"/>
    </w:rPr>
  </w:style>
  <w:style w:type="paragraph" w:styleId="Heading7">
    <w:name w:val="heading 7"/>
    <w:basedOn w:val="Normal"/>
    <w:next w:val="Normal"/>
    <w:pPr>
      <w:keepNext/>
      <w:keepLines/>
      <w:spacing w:before="40" w:after="0"/>
      <w:outlineLvl w:val="6"/>
    </w:pPr>
    <w:rPr>
      <w:rFonts w:ascii="Calibri" w:eastAsia="MS Gothic" w:hAnsi="Calibri"/>
      <w:b/>
      <w:bCs/>
      <w:color w:val="244061"/>
    </w:rPr>
  </w:style>
  <w:style w:type="paragraph" w:styleId="Heading8">
    <w:name w:val="heading 8"/>
    <w:basedOn w:val="Normal"/>
    <w:next w:val="Normal"/>
    <w:pPr>
      <w:keepNext/>
      <w:keepLines/>
      <w:spacing w:before="40" w:after="0"/>
      <w:outlineLvl w:val="7"/>
    </w:pPr>
    <w:rPr>
      <w:rFonts w:ascii="Calibri" w:eastAsia="MS Gothic" w:hAnsi="Calibri"/>
      <w:b/>
      <w:bCs/>
      <w:i/>
      <w:iCs/>
      <w:color w:val="244061"/>
    </w:rPr>
  </w:style>
  <w:style w:type="paragraph" w:styleId="Heading9">
    <w:name w:val="heading 9"/>
    <w:basedOn w:val="Normal"/>
    <w:next w:val="Normal"/>
    <w:pPr>
      <w:keepNext/>
      <w:keepLines/>
      <w:spacing w:before="40" w:after="0"/>
      <w:outlineLvl w:val="8"/>
    </w:pPr>
    <w:rPr>
      <w:rFonts w:ascii="Calibri" w:eastAsia="MS Gothic" w:hAnsi="Calibri"/>
      <w:i/>
      <w:iCs/>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04" w:lineRule="auto"/>
      <w:contextualSpacing/>
    </w:pPr>
    <w:rPr>
      <w:rFonts w:ascii="Calibri" w:eastAsia="MS Gothic" w:hAnsi="Calibri"/>
      <w:caps/>
      <w:color w:val="1F497D"/>
      <w:spacing w:val="-15"/>
      <w:sz w:val="72"/>
      <w:szCs w:val="72"/>
    </w:rPr>
  </w:style>
  <w:style w:type="paragraph" w:styleId="Subtitle">
    <w:name w:val="Subtitle"/>
    <w:basedOn w:val="Normal"/>
    <w:next w:val="Normal"/>
    <w:uiPriority w:val="11"/>
    <w:qFormat/>
    <w:pPr>
      <w:spacing w:after="240"/>
    </w:pPr>
    <w:rPr>
      <w:rFonts w:ascii="Calibri" w:eastAsia="MS Gothic" w:hAnsi="Calibri"/>
      <w:color w:val="4F81BD"/>
      <w:sz w:val="28"/>
      <w:szCs w:val="28"/>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contextualSpacing/>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PlaceholderText">
    <w:name w:val="Placeholder Text"/>
    <w:basedOn w:val="DefaultParagraphFont"/>
    <w:rPr>
      <w:color w:val="808080"/>
    </w:r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ListParagraphChar">
    <w:name w:val="List Paragraph Char"/>
  </w:style>
  <w:style w:type="paragraph" w:customStyle="1" w:styleId="CharCharCharChar">
    <w:name w:val="Char Char Char Char"/>
    <w:basedOn w:val="Normal"/>
    <w:next w:val="Normal"/>
    <w:pPr>
      <w:spacing w:after="0"/>
      <w:jc w:val="both"/>
      <w:textAlignment w:val="baseline"/>
    </w:pPr>
    <w:rPr>
      <w:vertAlign w:val="superscript"/>
    </w:rPr>
  </w:style>
  <w:style w:type="paragraph" w:styleId="Revision">
    <w:name w:val="Revision"/>
    <w:pPr>
      <w:suppressAutoHyphens/>
      <w:spacing w:after="0"/>
    </w:pPr>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customStyle="1" w:styleId="UnresolvedMention1">
    <w:name w:val="Unresolved Mention1"/>
    <w:basedOn w:val="DefaultParagraphFont"/>
    <w:rPr>
      <w:color w:val="605E5C"/>
      <w:shd w:val="clear" w:color="auto" w:fill="E1DFDD"/>
    </w:rPr>
  </w:style>
  <w:style w:type="paragraph" w:customStyle="1" w:styleId="norm">
    <w:name w:val="norm"/>
    <w:basedOn w:val="Normal"/>
    <w:pPr>
      <w:spacing w:before="100" w:after="100"/>
    </w:pPr>
    <w:rPr>
      <w:rFonts w:ascii="Times New Roman" w:eastAsia="Times New Roman" w:hAnsi="Times New Roman" w:cs="Times New Roman"/>
      <w:sz w:val="24"/>
      <w:szCs w:val="24"/>
    </w:rPr>
  </w:style>
  <w:style w:type="paragraph" w:customStyle="1" w:styleId="modref">
    <w:name w:val="modref"/>
    <w:basedOn w:val="Normal"/>
    <w:pPr>
      <w:spacing w:before="100" w:after="100"/>
    </w:pPr>
    <w:rPr>
      <w:rFonts w:ascii="Times New Roman" w:eastAsia="Times New Roman" w:hAnsi="Times New Roman" w:cs="Times New Roman"/>
      <w:sz w:val="24"/>
      <w:szCs w:val="24"/>
    </w:rPr>
  </w:style>
  <w:style w:type="paragraph" w:customStyle="1" w:styleId="Default">
    <w:name w:val="Default"/>
    <w:pPr>
      <w:suppressAutoHyphens/>
      <w:autoSpaceDE w:val="0"/>
      <w:spacing w:after="0"/>
    </w:pPr>
    <w:rPr>
      <w:rFonts w:ascii="Times New Roman" w:hAnsi="Times New Roman" w:cs="Times New Roman"/>
      <w:color w:val="000000"/>
      <w:sz w:val="24"/>
      <w:szCs w:val="24"/>
    </w:rPr>
  </w:style>
  <w:style w:type="character" w:styleId="UnresolvedMention">
    <w:name w:val="Unresolved Mention"/>
    <w:basedOn w:val="DefaultParagraphFont"/>
    <w:rPr>
      <w:color w:val="605E5C"/>
      <w:shd w:val="clear" w:color="auto" w:fill="E1DFDD"/>
    </w:rPr>
  </w:style>
  <w:style w:type="character" w:customStyle="1" w:styleId="Heading1Char">
    <w:name w:val="Heading 1 Char"/>
    <w:basedOn w:val="DefaultParagraphFont"/>
    <w:rPr>
      <w:rFonts w:ascii="Calibri" w:eastAsia="MS Gothic" w:hAnsi="Calibri" w:cs="DokChampa"/>
      <w:color w:val="244061"/>
      <w:sz w:val="36"/>
      <w:szCs w:val="36"/>
    </w:rPr>
  </w:style>
  <w:style w:type="character" w:customStyle="1" w:styleId="Heading2Char">
    <w:name w:val="Heading 2 Char"/>
    <w:basedOn w:val="DefaultParagraphFont"/>
    <w:rPr>
      <w:rFonts w:ascii="Calibri" w:eastAsia="MS Gothic" w:hAnsi="Calibri" w:cs="DokChampa"/>
      <w:color w:val="365F91"/>
      <w:sz w:val="32"/>
      <w:szCs w:val="32"/>
    </w:rPr>
  </w:style>
  <w:style w:type="character" w:customStyle="1" w:styleId="Heading3Char">
    <w:name w:val="Heading 3 Char"/>
    <w:basedOn w:val="DefaultParagraphFont"/>
    <w:rPr>
      <w:rFonts w:ascii="Calibri" w:eastAsia="MS Gothic" w:hAnsi="Calibri" w:cs="DokChampa"/>
      <w:color w:val="365F91"/>
      <w:sz w:val="28"/>
      <w:szCs w:val="28"/>
    </w:rPr>
  </w:style>
  <w:style w:type="character" w:customStyle="1" w:styleId="Heading4Char">
    <w:name w:val="Heading 4 Char"/>
    <w:basedOn w:val="DefaultParagraphFont"/>
    <w:rPr>
      <w:rFonts w:ascii="Calibri" w:eastAsia="MS Gothic" w:hAnsi="Calibri" w:cs="DokChampa"/>
      <w:color w:val="365F91"/>
      <w:sz w:val="24"/>
      <w:szCs w:val="24"/>
    </w:rPr>
  </w:style>
  <w:style w:type="character" w:customStyle="1" w:styleId="Heading5Char">
    <w:name w:val="Heading 5 Char"/>
    <w:basedOn w:val="DefaultParagraphFont"/>
    <w:rPr>
      <w:rFonts w:ascii="Calibri" w:eastAsia="MS Gothic" w:hAnsi="Calibri" w:cs="DokChampa"/>
      <w:caps/>
      <w:color w:val="365F91"/>
    </w:rPr>
  </w:style>
  <w:style w:type="character" w:customStyle="1" w:styleId="Heading6Char">
    <w:name w:val="Heading 6 Char"/>
    <w:basedOn w:val="DefaultParagraphFont"/>
    <w:rPr>
      <w:rFonts w:ascii="Calibri" w:eastAsia="MS Gothic" w:hAnsi="Calibri" w:cs="DokChampa"/>
      <w:i/>
      <w:iCs/>
      <w:caps/>
      <w:color w:val="244061"/>
    </w:rPr>
  </w:style>
  <w:style w:type="character" w:customStyle="1" w:styleId="Heading7Char">
    <w:name w:val="Heading 7 Char"/>
    <w:basedOn w:val="DefaultParagraphFont"/>
    <w:rPr>
      <w:rFonts w:ascii="Calibri" w:eastAsia="MS Gothic" w:hAnsi="Calibri" w:cs="DokChampa"/>
      <w:b/>
      <w:bCs/>
      <w:color w:val="244061"/>
    </w:rPr>
  </w:style>
  <w:style w:type="character" w:customStyle="1" w:styleId="Heading8Char">
    <w:name w:val="Heading 8 Char"/>
    <w:basedOn w:val="DefaultParagraphFont"/>
    <w:rPr>
      <w:rFonts w:ascii="Calibri" w:eastAsia="MS Gothic" w:hAnsi="Calibri" w:cs="DokChampa"/>
      <w:b/>
      <w:bCs/>
      <w:i/>
      <w:iCs/>
      <w:color w:val="244061"/>
    </w:rPr>
  </w:style>
  <w:style w:type="character" w:customStyle="1" w:styleId="Heading9Char">
    <w:name w:val="Heading 9 Char"/>
    <w:basedOn w:val="DefaultParagraphFont"/>
    <w:rPr>
      <w:rFonts w:ascii="Calibri" w:eastAsia="MS Gothic" w:hAnsi="Calibri" w:cs="DokChampa"/>
      <w:i/>
      <w:iCs/>
      <w:color w:val="244061"/>
    </w:rPr>
  </w:style>
  <w:style w:type="paragraph" w:styleId="Caption">
    <w:name w:val="caption"/>
    <w:basedOn w:val="Normal"/>
    <w:next w:val="Normal"/>
    <w:rPr>
      <w:b/>
      <w:bCs/>
      <w:smallCaps/>
      <w:color w:val="1F497D"/>
    </w:rPr>
  </w:style>
  <w:style w:type="character" w:customStyle="1" w:styleId="TitleChar">
    <w:name w:val="Title Char"/>
    <w:basedOn w:val="DefaultParagraphFont"/>
    <w:rPr>
      <w:rFonts w:ascii="Calibri" w:eastAsia="MS Gothic" w:hAnsi="Calibri" w:cs="DokChampa"/>
      <w:caps/>
      <w:color w:val="1F497D"/>
      <w:spacing w:val="-15"/>
      <w:sz w:val="72"/>
      <w:szCs w:val="72"/>
    </w:rPr>
  </w:style>
  <w:style w:type="character" w:customStyle="1" w:styleId="SubtitleChar">
    <w:name w:val="Subtitle Char"/>
    <w:basedOn w:val="DefaultParagraphFont"/>
    <w:rPr>
      <w:rFonts w:ascii="Calibri" w:eastAsia="MS Gothic" w:hAnsi="Calibri" w:cs="DokChampa"/>
      <w:color w:val="4F81BD"/>
      <w:sz w:val="28"/>
      <w:szCs w:val="28"/>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pPr>
  </w:style>
  <w:style w:type="paragraph" w:styleId="Quote">
    <w:name w:val="Quote"/>
    <w:basedOn w:val="Normal"/>
    <w:next w:val="Normal"/>
    <w:pPr>
      <w:spacing w:before="120" w:after="120"/>
      <w:ind w:left="720"/>
    </w:pPr>
    <w:rPr>
      <w:color w:val="1F497D"/>
      <w:sz w:val="24"/>
      <w:szCs w:val="24"/>
    </w:rPr>
  </w:style>
  <w:style w:type="character" w:customStyle="1" w:styleId="QuoteChar">
    <w:name w:val="Quote Char"/>
    <w:basedOn w:val="DefaultParagraphFont"/>
    <w:rPr>
      <w:color w:val="1F497D"/>
      <w:sz w:val="24"/>
      <w:szCs w:val="24"/>
    </w:rPr>
  </w:style>
  <w:style w:type="paragraph" w:styleId="IntenseQuote">
    <w:name w:val="Intense Quote"/>
    <w:basedOn w:val="Normal"/>
    <w:next w:val="Normal"/>
    <w:pPr>
      <w:spacing w:before="100" w:after="240"/>
      <w:ind w:left="720"/>
      <w:jc w:val="center"/>
    </w:pPr>
    <w:rPr>
      <w:rFonts w:ascii="Calibri" w:eastAsia="MS Gothic" w:hAnsi="Calibri"/>
      <w:color w:val="1F497D"/>
      <w:spacing w:val="-6"/>
      <w:sz w:val="32"/>
      <w:szCs w:val="32"/>
    </w:rPr>
  </w:style>
  <w:style w:type="character" w:customStyle="1" w:styleId="IntenseQuoteChar">
    <w:name w:val="Intense Quote Char"/>
    <w:basedOn w:val="DefaultParagraphFont"/>
    <w:rPr>
      <w:rFonts w:ascii="Calibri" w:eastAsia="MS Gothic" w:hAnsi="Calibri" w:cs="DokChampa"/>
      <w:color w:val="1F497D"/>
      <w:spacing w:val="-6"/>
      <w:sz w:val="32"/>
      <w:szCs w:val="32"/>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595959"/>
      <w:u w:val="none" w:color="7F7F7F"/>
    </w:rPr>
  </w:style>
  <w:style w:type="character" w:styleId="IntenseReference">
    <w:name w:val="Intense Reference"/>
    <w:basedOn w:val="DefaultParagraphFont"/>
    <w:rPr>
      <w:b/>
      <w:bCs/>
      <w:smallCaps/>
      <w:color w:val="1F497D"/>
      <w:u w:val="single"/>
    </w:rPr>
  </w:style>
  <w:style w:type="character" w:styleId="BookTitle">
    <w:name w:val="Book Title"/>
    <w:basedOn w:val="DefaultParagraphFont"/>
    <w:rPr>
      <w:b/>
      <w:bCs/>
      <w:smallCaps/>
      <w:spacing w:val="10"/>
    </w:rPr>
  </w:style>
  <w:style w:type="paragraph" w:styleId="TOCHeading">
    <w:name w:val="TOC Heading"/>
    <w:basedOn w:val="Heading1"/>
    <w:next w:val="Normal"/>
  </w:style>
  <w:style w:type="character" w:styleId="Mention">
    <w:name w:val="Mention"/>
    <w:basedOn w:val="DefaultParagraphFont"/>
    <w:rPr>
      <w:color w:val="2B579A"/>
      <w:shd w:val="clear" w:color="auto" w:fill="E6E6E6"/>
    </w:rPr>
  </w:style>
  <w:style w:type="paragraph" w:customStyle="1" w:styleId="paragraphheader">
    <w:name w:val="paragraph_header"/>
    <w:basedOn w:val="Normal"/>
    <w:next w:val="Normal"/>
    <w:pPr>
      <w:spacing w:before="280" w:after="280"/>
      <w:contextualSpacing/>
      <w:jc w:val="both"/>
    </w:pPr>
    <w:rPr>
      <w:rFonts w:ascii="Times New Roman" w:eastAsia="Times New Roman" w:hAnsi="Times New Roman" w:cs="Times New Roman"/>
      <w:color w:val="333333"/>
      <w:sz w:val="28"/>
      <w:szCs w:val="20"/>
    </w:rPr>
  </w:style>
  <w:style w:type="character" w:customStyle="1" w:styleId="cf01">
    <w:name w:val="cf01"/>
    <w:basedOn w:val="DefaultParagraphFont"/>
    <w:rPr>
      <w:rFonts w:ascii="Segoe UI" w:hAnsi="Segoe UI" w:cs="Segoe UI"/>
      <w:color w:val="333333"/>
      <w:sz w:val="18"/>
      <w:szCs w:val="18"/>
    </w:rPr>
  </w:style>
  <w:style w:type="paragraph" w:customStyle="1" w:styleId="pf0">
    <w:name w:val="pf0"/>
    <w:basedOn w:val="Normal"/>
    <w:pPr>
      <w:spacing w:before="100" w:after="100"/>
    </w:pPr>
    <w:rPr>
      <w:rFonts w:ascii="Times New Roman" w:eastAsia="Times New Roman" w:hAnsi="Times New Roman" w:cs="Times New Roman"/>
      <w:sz w:val="24"/>
      <w:szCs w:val="24"/>
    </w:rPr>
  </w:style>
  <w:style w:type="character" w:customStyle="1" w:styleId="cf11">
    <w:name w:val="cf11"/>
    <w:basedOn w:val="DefaultParagraphFont"/>
    <w:rPr>
      <w:rFonts w:ascii="Segoe UI" w:hAnsi="Segoe UI" w:cs="Segoe UI"/>
      <w:sz w:val="18"/>
      <w:szCs w:val="18"/>
      <w:shd w:val="clear" w:color="auto" w:fill="FFFFFF"/>
    </w:rPr>
  </w:style>
  <w:style w:type="character" w:customStyle="1" w:styleId="cf21">
    <w:name w:val="cf21"/>
    <w:basedOn w:val="DefaultParagraphFont"/>
    <w:rPr>
      <w:rFonts w:ascii="Segoe UI" w:hAnsi="Segoe UI" w:cs="Segoe UI"/>
      <w:sz w:val="18"/>
      <w:szCs w:val="18"/>
    </w:rPr>
  </w:style>
  <w:style w:type="paragraph" w:customStyle="1" w:styleId="Style1">
    <w:name w:val="Style1"/>
    <w:basedOn w:val="Heading4"/>
    <w:pPr>
      <w:spacing w:before="240" w:after="240"/>
      <w:ind w:left="1134"/>
      <w:jc w:val="both"/>
    </w:pPr>
    <w:rPr>
      <w:rFonts w:ascii="Times New Roman" w:hAnsi="Times New Roman"/>
      <w:lang w:eastAsia="en-US"/>
    </w:rPr>
  </w:style>
  <w:style w:type="character" w:customStyle="1" w:styleId="Style1Char">
    <w:name w:val="Style1 Char"/>
    <w:basedOn w:val="Heading4Char"/>
    <w:rPr>
      <w:rFonts w:ascii="Times New Roman" w:eastAsia="MS Gothic" w:hAnsi="Times New Roman" w:cs="DokChampa"/>
      <w:color w:val="365F91"/>
      <w:sz w:val="24"/>
      <w:szCs w:val="24"/>
      <w:lang w:eastAsia="en-US"/>
    </w:rPr>
  </w:style>
  <w:style w:type="paragraph" w:customStyle="1" w:styleId="BulletA">
    <w:name w:val="Bullet A"/>
    <w:basedOn w:val="Normal"/>
    <w:pPr>
      <w:numPr>
        <w:numId w:val="1"/>
      </w:numPr>
      <w:spacing w:before="60" w:after="60"/>
      <w:jc w:val="both"/>
    </w:pPr>
    <w:rPr>
      <w:rFonts w:ascii="Times New Roman" w:hAnsi="Times New Roman"/>
      <w:sz w:val="24"/>
      <w:szCs w:val="24"/>
      <w:lang w:eastAsia="en-US"/>
    </w:rPr>
  </w:style>
  <w:style w:type="numbering" w:customStyle="1" w:styleId="LFO11">
    <w:name w:val="LFO1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356674"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kumi.lv/ta/id/356674" TargetMode="External"/><Relationship Id="rId12" Type="http://schemas.openxmlformats.org/officeDocument/2006/relationships/hyperlink" Target="http://eur-lex.europa.eu/eli/reg/2004/794/oj/?locale=L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eli/reg/2004/794/oj/?locale=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67199" TargetMode="External"/><Relationship Id="rId4" Type="http://schemas.openxmlformats.org/officeDocument/2006/relationships/webSettings" Target="webSettings.xml"/><Relationship Id="rId9" Type="http://schemas.openxmlformats.org/officeDocument/2006/relationships/hyperlink" Target="https://likumi.lv/ta/id/35667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mpetition-policy.ec.europa.eu/state-aid/legislation/reference-discount-rates-and-recovery-interest-rates/reference-and-discount-rates_en" TargetMode="External"/><Relationship Id="rId3" Type="http://schemas.openxmlformats.org/officeDocument/2006/relationships/hyperlink" Target="https://likumi.lv/ta/id/358429-eiropas-savienibas-kohezijas-politikas-programmas-2021-2027-gadam-1-1-1-specifiska-atbalsta-merka-petniecibas-un-inovaciju" TargetMode="External"/><Relationship Id="rId7" Type="http://schemas.openxmlformats.org/officeDocument/2006/relationships/hyperlink" Target="https://likumi.lv/ta/id/326425" TargetMode="External"/><Relationship Id="rId2" Type="http://schemas.openxmlformats.org/officeDocument/2006/relationships/hyperlink" Target="https://eur-lex.europa.eu/legal-content/LV/TXT/?uri=celex%3A12016ME%2FTXT" TargetMode="External"/><Relationship Id="rId1" Type="http://schemas.openxmlformats.org/officeDocument/2006/relationships/hyperlink" Target="https://eur-lex.europa.eu/eli/reg/2014/651/oj/?locale=LV" TargetMode="External"/><Relationship Id="rId6" Type="http://schemas.openxmlformats.org/officeDocument/2006/relationships/hyperlink" Target="https://www.fm.gov.lv/lv/media/504/download" TargetMode="External"/><Relationship Id="rId5" Type="http://schemas.openxmlformats.org/officeDocument/2006/relationships/hyperlink" Target="https://eur-lex.europa.eu/legal-content/LV/TXT/HTML/?uri=OJ%3AC%3A2022%3A414%3AFU" TargetMode="External"/><Relationship Id="rId4" Type="http://schemas.openxmlformats.org/officeDocument/2006/relationships/hyperlink" Target="https://eur-lex.europa.eu/legal-content/LV/ALL/?uri=CELEX:52016XC071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1698F5E-F84A-4B2A-BDAA-5D2D761F441C}"/>
</file>

<file path=customXml/itemProps2.xml><?xml version="1.0" encoding="utf-8"?>
<ds:datastoreItem xmlns:ds="http://schemas.openxmlformats.org/officeDocument/2006/customXml" ds:itemID="{36B52336-407D-44AF-B721-34BAA182A287}"/>
</file>

<file path=customXml/itemProps3.xml><?xml version="1.0" encoding="utf-8"?>
<ds:datastoreItem xmlns:ds="http://schemas.openxmlformats.org/officeDocument/2006/customXml" ds:itemID="{E4DEC828-6D97-46D5-BBDC-EE46712C6B02}"/>
</file>

<file path=docProps/app.xml><?xml version="1.0" encoding="utf-8"?>
<Properties xmlns="http://schemas.openxmlformats.org/officeDocument/2006/extended-properties" xmlns:vt="http://schemas.openxmlformats.org/officeDocument/2006/docPropsVTypes">
  <Template>Normal</Template>
  <TotalTime>1</TotalTime>
  <Pages>9</Pages>
  <Words>17209</Words>
  <Characters>9810</Characters>
  <Application>Microsoft Office Word</Application>
  <DocSecurity>0</DocSecurity>
  <Lines>81</Lines>
  <Paragraphs>53</Paragraphs>
  <ScaleCrop>false</ScaleCrop>
  <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Griķe</dc:creator>
  <cp:lastModifiedBy>Laine Estere Silma</cp:lastModifiedBy>
  <cp:revision>2</cp:revision>
  <cp:lastPrinted>2024-02-26T19:12:00Z</cp:lastPrinted>
  <dcterms:created xsi:type="dcterms:W3CDTF">2025-04-04T12:40:00Z</dcterms:created>
  <dcterms:modified xsi:type="dcterms:W3CDTF">2025-04-04T12:40:00Z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