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55EBA3FA"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987ED4" w:rsidRPr="00987ED4">
        <w:rPr>
          <w:rFonts w:ascii="Times New Roman" w:hAnsi="Times New Roman" w:cs="Times New Roman"/>
          <w:b/>
          <w:sz w:val="40"/>
          <w:szCs w:val="40"/>
        </w:rPr>
        <w:t>5.1.1</w:t>
      </w:r>
      <w:r w:rsidRPr="00BC2C4B">
        <w:rPr>
          <w:rFonts w:ascii="Times New Roman" w:hAnsi="Times New Roman" w:cs="Times New Roman"/>
          <w:b/>
          <w:sz w:val="40"/>
          <w:szCs w:val="40"/>
        </w:rPr>
        <w:t>. specifiskā atbalsta mērķa "</w:t>
      </w:r>
      <w:r w:rsidR="00E6236E" w:rsidRPr="00E6236E">
        <w:rPr>
          <w:rFonts w:ascii="Times New Roman" w:hAnsi="Times New Roman" w:cs="Times New Roman"/>
          <w:b/>
          <w:sz w:val="40"/>
          <w:szCs w:val="40"/>
        </w:rPr>
        <w:t>Vietējās teritorijas integrētās sociālās, ekonomiskās un vides attīstības un kultūras mantojuma, tūrisma un drošības veicināšana pilsētu funkcionālajās teritorijās</w:t>
      </w:r>
      <w:r w:rsidRPr="00BC2C4B">
        <w:rPr>
          <w:rFonts w:ascii="Times New Roman" w:hAnsi="Times New Roman" w:cs="Times New Roman"/>
          <w:b/>
          <w:sz w:val="40"/>
          <w:szCs w:val="40"/>
        </w:rPr>
        <w:t xml:space="preserve">" </w:t>
      </w:r>
      <w:r w:rsidR="00E6236E" w:rsidRPr="00E6236E">
        <w:rPr>
          <w:rFonts w:ascii="Times New Roman" w:hAnsi="Times New Roman" w:cs="Times New Roman"/>
          <w:b/>
          <w:sz w:val="40"/>
          <w:szCs w:val="40"/>
        </w:rPr>
        <w:t>5.1.1.6.</w:t>
      </w:r>
      <w:r w:rsidRPr="00BC2C4B">
        <w:rPr>
          <w:rFonts w:ascii="Times New Roman" w:hAnsi="Times New Roman" w:cs="Times New Roman"/>
          <w:b/>
          <w:sz w:val="40"/>
          <w:szCs w:val="40"/>
        </w:rPr>
        <w:t xml:space="preserve"> pasākuma "</w:t>
      </w:r>
      <w:r w:rsidR="00E6236E" w:rsidRPr="00E6236E">
        <w:rPr>
          <w:rFonts w:ascii="Times New Roman" w:hAnsi="Times New Roman" w:cs="Times New Roman"/>
          <w:b/>
          <w:sz w:val="40"/>
          <w:szCs w:val="40"/>
        </w:rPr>
        <w:t>Kultūras mantojuma saglabāšana un jaunu pakalpojumu attīstība</w:t>
      </w:r>
      <w:r w:rsidRPr="00BC2C4B">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0FA85F2E"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7FEDB5C3"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E5053D">
        <w:rPr>
          <w:rFonts w:ascii="Times New Roman" w:hAnsi="Times New Roman" w:cs="Times New Roman"/>
          <w:b/>
          <w:sz w:val="28"/>
          <w:szCs w:val="28"/>
        </w:rPr>
        <w:t>12</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Saturardtjavirsraksts"/>
          </w:pPr>
        </w:p>
        <w:p w14:paraId="675DF6A4" w14:textId="4E04EC85" w:rsidR="00B17C22" w:rsidRDefault="00187FF4">
          <w:pPr>
            <w:pStyle w:val="Saturs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85622448" w:history="1">
            <w:r w:rsidR="00B17C22" w:rsidRPr="00180201">
              <w:rPr>
                <w:rStyle w:val="Hipersaite"/>
                <w:rFonts w:ascii="Times New Roman" w:hAnsi="Times New Roman" w:cs="Times New Roman"/>
                <w:b/>
                <w:bCs/>
                <w:noProof/>
              </w:rPr>
              <w:t>1.</w:t>
            </w:r>
            <w:r w:rsidR="00B17C22">
              <w:rPr>
                <w:rFonts w:eastAsiaTheme="minorEastAsia"/>
                <w:noProof/>
                <w:kern w:val="2"/>
                <w:sz w:val="24"/>
                <w:szCs w:val="24"/>
                <w:lang w:eastAsia="lv-LV"/>
                <w14:ligatures w14:val="standardContextual"/>
              </w:rPr>
              <w:tab/>
            </w:r>
            <w:r w:rsidR="00B17C22" w:rsidRPr="00180201">
              <w:rPr>
                <w:rStyle w:val="Hipersaite"/>
                <w:rFonts w:ascii="Times New Roman" w:hAnsi="Times New Roman" w:cs="Times New Roman"/>
                <w:b/>
                <w:bCs/>
                <w:noProof/>
              </w:rPr>
              <w:t>Vispārīgā informācija</w:t>
            </w:r>
            <w:r w:rsidR="00B17C22">
              <w:rPr>
                <w:noProof/>
                <w:webHidden/>
              </w:rPr>
              <w:tab/>
            </w:r>
            <w:r w:rsidR="00B17C22">
              <w:rPr>
                <w:noProof/>
                <w:webHidden/>
              </w:rPr>
              <w:fldChar w:fldCharType="begin"/>
            </w:r>
            <w:r w:rsidR="00B17C22">
              <w:rPr>
                <w:noProof/>
                <w:webHidden/>
              </w:rPr>
              <w:instrText xml:space="preserve"> PAGEREF _Toc185622448 \h </w:instrText>
            </w:r>
            <w:r w:rsidR="00B17C22">
              <w:rPr>
                <w:noProof/>
                <w:webHidden/>
              </w:rPr>
            </w:r>
            <w:r w:rsidR="00B17C22">
              <w:rPr>
                <w:noProof/>
                <w:webHidden/>
              </w:rPr>
              <w:fldChar w:fldCharType="separate"/>
            </w:r>
            <w:r w:rsidR="00B17C22">
              <w:rPr>
                <w:noProof/>
                <w:webHidden/>
              </w:rPr>
              <w:t>3</w:t>
            </w:r>
            <w:r w:rsidR="00B17C22">
              <w:rPr>
                <w:noProof/>
                <w:webHidden/>
              </w:rPr>
              <w:fldChar w:fldCharType="end"/>
            </w:r>
          </w:hyperlink>
        </w:p>
        <w:p w14:paraId="1ACBE977" w14:textId="15762C0A" w:rsidR="00B17C22" w:rsidRDefault="00B17C22">
          <w:pPr>
            <w:pStyle w:val="Saturs1"/>
            <w:tabs>
              <w:tab w:val="left" w:pos="720"/>
              <w:tab w:val="right" w:leader="dot" w:pos="9627"/>
            </w:tabs>
            <w:rPr>
              <w:rFonts w:eastAsiaTheme="minorEastAsia"/>
              <w:noProof/>
              <w:kern w:val="2"/>
              <w:sz w:val="24"/>
              <w:szCs w:val="24"/>
              <w:lang w:eastAsia="lv-LV"/>
              <w14:ligatures w14:val="standardContextual"/>
            </w:rPr>
          </w:pPr>
          <w:hyperlink w:anchor="_Toc185622449" w:history="1">
            <w:r w:rsidRPr="00180201">
              <w:rPr>
                <w:rStyle w:val="Hipersaite"/>
                <w:rFonts w:ascii="Times New Roman" w:hAnsi="Times New Roman" w:cs="Times New Roman"/>
                <w:b/>
                <w:bCs/>
                <w:noProof/>
              </w:rPr>
              <w:t>1.1.</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_Toc185622449 \h </w:instrText>
            </w:r>
            <w:r>
              <w:rPr>
                <w:noProof/>
                <w:webHidden/>
              </w:rPr>
            </w:r>
            <w:r>
              <w:rPr>
                <w:noProof/>
                <w:webHidden/>
              </w:rPr>
              <w:fldChar w:fldCharType="separate"/>
            </w:r>
            <w:r>
              <w:rPr>
                <w:noProof/>
                <w:webHidden/>
              </w:rPr>
              <w:t>3</w:t>
            </w:r>
            <w:r>
              <w:rPr>
                <w:noProof/>
                <w:webHidden/>
              </w:rPr>
              <w:fldChar w:fldCharType="end"/>
            </w:r>
          </w:hyperlink>
        </w:p>
        <w:p w14:paraId="1BC845B0" w14:textId="27DAF3A2" w:rsidR="00B17C22" w:rsidRDefault="00B17C22">
          <w:pPr>
            <w:pStyle w:val="Saturs1"/>
            <w:tabs>
              <w:tab w:val="left" w:pos="720"/>
              <w:tab w:val="right" w:leader="dot" w:pos="9627"/>
            </w:tabs>
            <w:rPr>
              <w:rFonts w:eastAsiaTheme="minorEastAsia"/>
              <w:noProof/>
              <w:kern w:val="2"/>
              <w:sz w:val="24"/>
              <w:szCs w:val="24"/>
              <w:lang w:eastAsia="lv-LV"/>
              <w14:ligatures w14:val="standardContextual"/>
            </w:rPr>
          </w:pPr>
          <w:hyperlink w:anchor="_Toc185622450" w:history="1">
            <w:r w:rsidRPr="00180201">
              <w:rPr>
                <w:rStyle w:val="Hipersaite"/>
                <w:rFonts w:ascii="Times New Roman" w:hAnsi="Times New Roman" w:cs="Times New Roman"/>
                <w:b/>
                <w:bCs/>
                <w:noProof/>
              </w:rPr>
              <w:t>1.2.</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_Toc185622450 \h </w:instrText>
            </w:r>
            <w:r>
              <w:rPr>
                <w:noProof/>
                <w:webHidden/>
              </w:rPr>
            </w:r>
            <w:r>
              <w:rPr>
                <w:noProof/>
                <w:webHidden/>
              </w:rPr>
              <w:fldChar w:fldCharType="separate"/>
            </w:r>
            <w:r>
              <w:rPr>
                <w:noProof/>
                <w:webHidden/>
              </w:rPr>
              <w:t>3</w:t>
            </w:r>
            <w:r>
              <w:rPr>
                <w:noProof/>
                <w:webHidden/>
              </w:rPr>
              <w:fldChar w:fldCharType="end"/>
            </w:r>
          </w:hyperlink>
        </w:p>
        <w:p w14:paraId="6D26210A" w14:textId="5730E508" w:rsidR="00B17C22" w:rsidRDefault="00B17C22">
          <w:pPr>
            <w:pStyle w:val="Saturs1"/>
            <w:tabs>
              <w:tab w:val="left" w:pos="480"/>
              <w:tab w:val="right" w:leader="dot" w:pos="9627"/>
            </w:tabs>
            <w:rPr>
              <w:rFonts w:eastAsiaTheme="minorEastAsia"/>
              <w:noProof/>
              <w:kern w:val="2"/>
              <w:sz w:val="24"/>
              <w:szCs w:val="24"/>
              <w:lang w:eastAsia="lv-LV"/>
              <w14:ligatures w14:val="standardContextual"/>
            </w:rPr>
          </w:pPr>
          <w:hyperlink w:anchor="_Toc185622451" w:history="1">
            <w:r w:rsidRPr="00180201">
              <w:rPr>
                <w:rStyle w:val="Hipersaite"/>
                <w:rFonts w:ascii="Times New Roman" w:hAnsi="Times New Roman" w:cs="Times New Roman"/>
                <w:b/>
                <w:bCs/>
                <w:noProof/>
              </w:rPr>
              <w:t>2.</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_Toc185622451 \h </w:instrText>
            </w:r>
            <w:r>
              <w:rPr>
                <w:noProof/>
                <w:webHidden/>
              </w:rPr>
            </w:r>
            <w:r>
              <w:rPr>
                <w:noProof/>
                <w:webHidden/>
              </w:rPr>
              <w:fldChar w:fldCharType="separate"/>
            </w:r>
            <w:r>
              <w:rPr>
                <w:noProof/>
                <w:webHidden/>
              </w:rPr>
              <w:t>4</w:t>
            </w:r>
            <w:r>
              <w:rPr>
                <w:noProof/>
                <w:webHidden/>
              </w:rPr>
              <w:fldChar w:fldCharType="end"/>
            </w:r>
          </w:hyperlink>
        </w:p>
        <w:p w14:paraId="6ACE6DFF" w14:textId="334EFBBA" w:rsidR="00B17C22" w:rsidRDefault="00B17C22">
          <w:pPr>
            <w:pStyle w:val="Saturs1"/>
            <w:tabs>
              <w:tab w:val="left" w:pos="720"/>
              <w:tab w:val="right" w:leader="dot" w:pos="9627"/>
            </w:tabs>
            <w:rPr>
              <w:rFonts w:eastAsiaTheme="minorEastAsia"/>
              <w:noProof/>
              <w:kern w:val="2"/>
              <w:sz w:val="24"/>
              <w:szCs w:val="24"/>
              <w:lang w:eastAsia="lv-LV"/>
              <w14:ligatures w14:val="standardContextual"/>
            </w:rPr>
          </w:pPr>
          <w:hyperlink w:anchor="_Toc185622452" w:history="1">
            <w:r w:rsidRPr="00180201">
              <w:rPr>
                <w:rStyle w:val="Hipersaite"/>
                <w:rFonts w:ascii="Times New Roman" w:hAnsi="Times New Roman" w:cs="Times New Roman"/>
                <w:b/>
                <w:bCs/>
                <w:noProof/>
              </w:rPr>
              <w:t>2.1.</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_Toc185622452 \h </w:instrText>
            </w:r>
            <w:r>
              <w:rPr>
                <w:noProof/>
                <w:webHidden/>
              </w:rPr>
            </w:r>
            <w:r>
              <w:rPr>
                <w:noProof/>
                <w:webHidden/>
              </w:rPr>
              <w:fldChar w:fldCharType="separate"/>
            </w:r>
            <w:r>
              <w:rPr>
                <w:noProof/>
                <w:webHidden/>
              </w:rPr>
              <w:t>4</w:t>
            </w:r>
            <w:r>
              <w:rPr>
                <w:noProof/>
                <w:webHidden/>
              </w:rPr>
              <w:fldChar w:fldCharType="end"/>
            </w:r>
          </w:hyperlink>
        </w:p>
        <w:p w14:paraId="0C5EC919" w14:textId="25C4BFA8" w:rsidR="00B17C22" w:rsidRDefault="00B17C22">
          <w:pPr>
            <w:pStyle w:val="Saturs1"/>
            <w:tabs>
              <w:tab w:val="left" w:pos="720"/>
              <w:tab w:val="right" w:leader="dot" w:pos="9627"/>
            </w:tabs>
            <w:rPr>
              <w:rFonts w:eastAsiaTheme="minorEastAsia"/>
              <w:noProof/>
              <w:kern w:val="2"/>
              <w:sz w:val="24"/>
              <w:szCs w:val="24"/>
              <w:lang w:eastAsia="lv-LV"/>
              <w14:ligatures w14:val="standardContextual"/>
            </w:rPr>
          </w:pPr>
          <w:hyperlink w:anchor="_Toc185622453" w:history="1">
            <w:r w:rsidRPr="00180201">
              <w:rPr>
                <w:rStyle w:val="Hipersaite"/>
                <w:rFonts w:ascii="Times New Roman" w:hAnsi="Times New Roman" w:cs="Times New Roman"/>
                <w:b/>
                <w:bCs/>
                <w:noProof/>
              </w:rPr>
              <w:t>2.2.</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_Toc185622453 \h </w:instrText>
            </w:r>
            <w:r>
              <w:rPr>
                <w:noProof/>
                <w:webHidden/>
              </w:rPr>
            </w:r>
            <w:r>
              <w:rPr>
                <w:noProof/>
                <w:webHidden/>
              </w:rPr>
              <w:fldChar w:fldCharType="separate"/>
            </w:r>
            <w:r>
              <w:rPr>
                <w:noProof/>
                <w:webHidden/>
              </w:rPr>
              <w:t>5</w:t>
            </w:r>
            <w:r>
              <w:rPr>
                <w:noProof/>
                <w:webHidden/>
              </w:rPr>
              <w:fldChar w:fldCharType="end"/>
            </w:r>
          </w:hyperlink>
        </w:p>
        <w:p w14:paraId="2B55887E" w14:textId="26695A81"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54" w:history="1">
            <w:r w:rsidRPr="00180201">
              <w:rPr>
                <w:rStyle w:val="Hipersaite"/>
                <w:rFonts w:ascii="Times New Roman" w:hAnsi="Times New Roman" w:cs="Times New Roman"/>
                <w:b/>
                <w:bCs/>
                <w:noProof/>
              </w:rPr>
              <w:t>2.2.1.</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_Toc185622454 \h </w:instrText>
            </w:r>
            <w:r>
              <w:rPr>
                <w:noProof/>
                <w:webHidden/>
              </w:rPr>
            </w:r>
            <w:r>
              <w:rPr>
                <w:noProof/>
                <w:webHidden/>
              </w:rPr>
              <w:fldChar w:fldCharType="separate"/>
            </w:r>
            <w:r>
              <w:rPr>
                <w:noProof/>
                <w:webHidden/>
              </w:rPr>
              <w:t>5</w:t>
            </w:r>
            <w:r>
              <w:rPr>
                <w:noProof/>
                <w:webHidden/>
              </w:rPr>
              <w:fldChar w:fldCharType="end"/>
            </w:r>
          </w:hyperlink>
        </w:p>
        <w:p w14:paraId="0B621D66" w14:textId="2D5285E0"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55" w:history="1">
            <w:r w:rsidRPr="00180201">
              <w:rPr>
                <w:rStyle w:val="Hipersaite"/>
                <w:rFonts w:ascii="Times New Roman" w:hAnsi="Times New Roman" w:cs="Times New Roman"/>
                <w:b/>
                <w:bCs/>
                <w:noProof/>
              </w:rPr>
              <w:t>2.2.2.</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_Toc185622455 \h </w:instrText>
            </w:r>
            <w:r>
              <w:rPr>
                <w:noProof/>
                <w:webHidden/>
              </w:rPr>
            </w:r>
            <w:r>
              <w:rPr>
                <w:noProof/>
                <w:webHidden/>
              </w:rPr>
              <w:fldChar w:fldCharType="separate"/>
            </w:r>
            <w:r>
              <w:rPr>
                <w:noProof/>
                <w:webHidden/>
              </w:rPr>
              <w:t>7</w:t>
            </w:r>
            <w:r>
              <w:rPr>
                <w:noProof/>
                <w:webHidden/>
              </w:rPr>
              <w:fldChar w:fldCharType="end"/>
            </w:r>
          </w:hyperlink>
        </w:p>
        <w:p w14:paraId="4E0E7A71" w14:textId="5C0B3870"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56" w:history="1">
            <w:r w:rsidRPr="00180201">
              <w:rPr>
                <w:rStyle w:val="Hipersaite"/>
                <w:rFonts w:ascii="Times New Roman" w:hAnsi="Times New Roman" w:cs="Times New Roman"/>
                <w:b/>
                <w:bCs/>
                <w:noProof/>
              </w:rPr>
              <w:t>2.2.3.</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_Toc185622456 \h </w:instrText>
            </w:r>
            <w:r>
              <w:rPr>
                <w:noProof/>
                <w:webHidden/>
              </w:rPr>
            </w:r>
            <w:r>
              <w:rPr>
                <w:noProof/>
                <w:webHidden/>
              </w:rPr>
              <w:fldChar w:fldCharType="separate"/>
            </w:r>
            <w:r>
              <w:rPr>
                <w:noProof/>
                <w:webHidden/>
              </w:rPr>
              <w:t>8</w:t>
            </w:r>
            <w:r>
              <w:rPr>
                <w:noProof/>
                <w:webHidden/>
              </w:rPr>
              <w:fldChar w:fldCharType="end"/>
            </w:r>
          </w:hyperlink>
        </w:p>
        <w:p w14:paraId="1C7C1739" w14:textId="5BED95C6"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57" w:history="1">
            <w:r w:rsidRPr="00180201">
              <w:rPr>
                <w:rStyle w:val="Hipersaite"/>
                <w:rFonts w:ascii="Times New Roman" w:hAnsi="Times New Roman" w:cs="Times New Roman"/>
                <w:b/>
                <w:bCs/>
                <w:noProof/>
              </w:rPr>
              <w:t>2.2.4.</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_Toc185622457 \h </w:instrText>
            </w:r>
            <w:r>
              <w:rPr>
                <w:noProof/>
                <w:webHidden/>
              </w:rPr>
            </w:r>
            <w:r>
              <w:rPr>
                <w:noProof/>
                <w:webHidden/>
              </w:rPr>
              <w:fldChar w:fldCharType="separate"/>
            </w:r>
            <w:r>
              <w:rPr>
                <w:noProof/>
                <w:webHidden/>
              </w:rPr>
              <w:t>8</w:t>
            </w:r>
            <w:r>
              <w:rPr>
                <w:noProof/>
                <w:webHidden/>
              </w:rPr>
              <w:fldChar w:fldCharType="end"/>
            </w:r>
          </w:hyperlink>
        </w:p>
        <w:p w14:paraId="5F9394D6" w14:textId="66EEEB09"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58" w:history="1">
            <w:r w:rsidRPr="00180201">
              <w:rPr>
                <w:rStyle w:val="Hipersaite"/>
                <w:rFonts w:ascii="Times New Roman" w:hAnsi="Times New Roman" w:cs="Times New Roman"/>
                <w:b/>
                <w:bCs/>
                <w:noProof/>
              </w:rPr>
              <w:t>2.2.5.</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_Toc185622458 \h </w:instrText>
            </w:r>
            <w:r>
              <w:rPr>
                <w:noProof/>
                <w:webHidden/>
              </w:rPr>
            </w:r>
            <w:r>
              <w:rPr>
                <w:noProof/>
                <w:webHidden/>
              </w:rPr>
              <w:fldChar w:fldCharType="separate"/>
            </w:r>
            <w:r>
              <w:rPr>
                <w:noProof/>
                <w:webHidden/>
              </w:rPr>
              <w:t>9</w:t>
            </w:r>
            <w:r>
              <w:rPr>
                <w:noProof/>
                <w:webHidden/>
              </w:rPr>
              <w:fldChar w:fldCharType="end"/>
            </w:r>
          </w:hyperlink>
        </w:p>
        <w:p w14:paraId="3BC1B93F" w14:textId="35E0C265"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59" w:history="1">
            <w:r w:rsidRPr="00180201">
              <w:rPr>
                <w:rStyle w:val="Hipersaite"/>
                <w:rFonts w:ascii="Times New Roman" w:hAnsi="Times New Roman" w:cs="Times New Roman"/>
                <w:b/>
                <w:bCs/>
                <w:noProof/>
              </w:rPr>
              <w:t>2.2.6.</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_Toc185622459 \h </w:instrText>
            </w:r>
            <w:r>
              <w:rPr>
                <w:noProof/>
                <w:webHidden/>
              </w:rPr>
            </w:r>
            <w:r>
              <w:rPr>
                <w:noProof/>
                <w:webHidden/>
              </w:rPr>
              <w:fldChar w:fldCharType="separate"/>
            </w:r>
            <w:r>
              <w:rPr>
                <w:noProof/>
                <w:webHidden/>
              </w:rPr>
              <w:t>10</w:t>
            </w:r>
            <w:r>
              <w:rPr>
                <w:noProof/>
                <w:webHidden/>
              </w:rPr>
              <w:fldChar w:fldCharType="end"/>
            </w:r>
          </w:hyperlink>
        </w:p>
        <w:p w14:paraId="11EC881F" w14:textId="29C89723"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60" w:history="1">
            <w:r w:rsidRPr="00180201">
              <w:rPr>
                <w:rStyle w:val="Hipersaite"/>
                <w:rFonts w:ascii="Times New Roman" w:hAnsi="Times New Roman" w:cs="Times New Roman"/>
                <w:b/>
                <w:bCs/>
                <w:noProof/>
              </w:rPr>
              <w:t>2.2.7.</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_Toc185622460 \h </w:instrText>
            </w:r>
            <w:r>
              <w:rPr>
                <w:noProof/>
                <w:webHidden/>
              </w:rPr>
            </w:r>
            <w:r>
              <w:rPr>
                <w:noProof/>
                <w:webHidden/>
              </w:rPr>
              <w:fldChar w:fldCharType="separate"/>
            </w:r>
            <w:r>
              <w:rPr>
                <w:noProof/>
                <w:webHidden/>
              </w:rPr>
              <w:t>12</w:t>
            </w:r>
            <w:r>
              <w:rPr>
                <w:noProof/>
                <w:webHidden/>
              </w:rPr>
              <w:fldChar w:fldCharType="end"/>
            </w:r>
          </w:hyperlink>
        </w:p>
        <w:p w14:paraId="3A2EC5C2" w14:textId="28CA1FBD"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61" w:history="1">
            <w:r w:rsidRPr="00180201">
              <w:rPr>
                <w:rStyle w:val="Hipersaite"/>
                <w:rFonts w:ascii="Times New Roman" w:hAnsi="Times New Roman" w:cs="Times New Roman"/>
                <w:b/>
                <w:bCs/>
                <w:noProof/>
              </w:rPr>
              <w:t>2.2.8.</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Jutīguma analīze</w:t>
            </w:r>
            <w:r>
              <w:rPr>
                <w:noProof/>
                <w:webHidden/>
              </w:rPr>
              <w:tab/>
            </w:r>
            <w:r>
              <w:rPr>
                <w:noProof/>
                <w:webHidden/>
              </w:rPr>
              <w:fldChar w:fldCharType="begin"/>
            </w:r>
            <w:r>
              <w:rPr>
                <w:noProof/>
                <w:webHidden/>
              </w:rPr>
              <w:instrText xml:space="preserve"> PAGEREF _Toc185622461 \h </w:instrText>
            </w:r>
            <w:r>
              <w:rPr>
                <w:noProof/>
                <w:webHidden/>
              </w:rPr>
            </w:r>
            <w:r>
              <w:rPr>
                <w:noProof/>
                <w:webHidden/>
              </w:rPr>
              <w:fldChar w:fldCharType="separate"/>
            </w:r>
            <w:r>
              <w:rPr>
                <w:noProof/>
                <w:webHidden/>
              </w:rPr>
              <w:t>13</w:t>
            </w:r>
            <w:r>
              <w:rPr>
                <w:noProof/>
                <w:webHidden/>
              </w:rPr>
              <w:fldChar w:fldCharType="end"/>
            </w:r>
          </w:hyperlink>
        </w:p>
        <w:p w14:paraId="2F657BAB" w14:textId="74D3CF41"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62" w:history="1">
            <w:r w:rsidRPr="00180201">
              <w:rPr>
                <w:rStyle w:val="Hipersaite"/>
                <w:rFonts w:ascii="Times New Roman" w:hAnsi="Times New Roman" w:cs="Times New Roman"/>
                <w:b/>
                <w:bCs/>
                <w:noProof/>
              </w:rPr>
              <w:t>2.2.9.</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_Toc185622462 \h </w:instrText>
            </w:r>
            <w:r>
              <w:rPr>
                <w:noProof/>
                <w:webHidden/>
              </w:rPr>
            </w:r>
            <w:r>
              <w:rPr>
                <w:noProof/>
                <w:webHidden/>
              </w:rPr>
              <w:fldChar w:fldCharType="separate"/>
            </w:r>
            <w:r>
              <w:rPr>
                <w:noProof/>
                <w:webHidden/>
              </w:rPr>
              <w:t>14</w:t>
            </w:r>
            <w:r>
              <w:rPr>
                <w:noProof/>
                <w:webHidden/>
              </w:rPr>
              <w:fldChar w:fldCharType="end"/>
            </w:r>
          </w:hyperlink>
        </w:p>
        <w:p w14:paraId="634620F1" w14:textId="26BA8CBC"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63" w:history="1">
            <w:r w:rsidRPr="00180201">
              <w:rPr>
                <w:rStyle w:val="Hipersaite"/>
                <w:rFonts w:ascii="Times New Roman" w:hAnsi="Times New Roman" w:cs="Times New Roman"/>
                <w:b/>
                <w:bCs/>
                <w:noProof/>
              </w:rPr>
              <w:t>2.2.10.</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_Toc185622463 \h </w:instrText>
            </w:r>
            <w:r>
              <w:rPr>
                <w:noProof/>
                <w:webHidden/>
              </w:rPr>
            </w:r>
            <w:r>
              <w:rPr>
                <w:noProof/>
                <w:webHidden/>
              </w:rPr>
              <w:fldChar w:fldCharType="separate"/>
            </w:r>
            <w:r>
              <w:rPr>
                <w:noProof/>
                <w:webHidden/>
              </w:rPr>
              <w:t>14</w:t>
            </w:r>
            <w:r>
              <w:rPr>
                <w:noProof/>
                <w:webHidden/>
              </w:rPr>
              <w:fldChar w:fldCharType="end"/>
            </w:r>
          </w:hyperlink>
        </w:p>
        <w:p w14:paraId="146AA4E1" w14:textId="11377E35"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64" w:history="1">
            <w:r w:rsidRPr="00180201">
              <w:rPr>
                <w:rStyle w:val="Hipersaite"/>
                <w:rFonts w:ascii="Times New Roman" w:hAnsi="Times New Roman" w:cs="Times New Roman"/>
                <w:b/>
                <w:bCs/>
                <w:noProof/>
              </w:rPr>
              <w:t>2.2.11.</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_Toc185622464 \h </w:instrText>
            </w:r>
            <w:r>
              <w:rPr>
                <w:noProof/>
                <w:webHidden/>
              </w:rPr>
            </w:r>
            <w:r>
              <w:rPr>
                <w:noProof/>
                <w:webHidden/>
              </w:rPr>
              <w:fldChar w:fldCharType="separate"/>
            </w:r>
            <w:r>
              <w:rPr>
                <w:noProof/>
                <w:webHidden/>
              </w:rPr>
              <w:t>15</w:t>
            </w:r>
            <w:r>
              <w:rPr>
                <w:noProof/>
                <w:webHidden/>
              </w:rPr>
              <w:fldChar w:fldCharType="end"/>
            </w:r>
          </w:hyperlink>
        </w:p>
        <w:p w14:paraId="5A4411B8" w14:textId="2C1D63F6"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65" w:history="1">
            <w:r w:rsidRPr="00180201">
              <w:rPr>
                <w:rStyle w:val="Hipersaite"/>
                <w:rFonts w:ascii="Times New Roman" w:hAnsi="Times New Roman" w:cs="Times New Roman"/>
                <w:b/>
                <w:bCs/>
                <w:noProof/>
              </w:rPr>
              <w:t>2.2.12.</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_Toc185622465 \h </w:instrText>
            </w:r>
            <w:r>
              <w:rPr>
                <w:noProof/>
                <w:webHidden/>
              </w:rPr>
            </w:r>
            <w:r>
              <w:rPr>
                <w:noProof/>
                <w:webHidden/>
              </w:rPr>
              <w:fldChar w:fldCharType="separate"/>
            </w:r>
            <w:r>
              <w:rPr>
                <w:noProof/>
                <w:webHidden/>
              </w:rPr>
              <w:t>19</w:t>
            </w:r>
            <w:r>
              <w:rPr>
                <w:noProof/>
                <w:webHidden/>
              </w:rPr>
              <w:fldChar w:fldCharType="end"/>
            </w:r>
          </w:hyperlink>
        </w:p>
        <w:p w14:paraId="0068B2B7" w14:textId="4B8EE8C4" w:rsidR="00B17C22" w:rsidRDefault="00B17C22">
          <w:pPr>
            <w:pStyle w:val="Saturs1"/>
            <w:tabs>
              <w:tab w:val="left" w:pos="960"/>
              <w:tab w:val="right" w:leader="dot" w:pos="9627"/>
            </w:tabs>
            <w:rPr>
              <w:rFonts w:eastAsiaTheme="minorEastAsia"/>
              <w:noProof/>
              <w:kern w:val="2"/>
              <w:sz w:val="24"/>
              <w:szCs w:val="24"/>
              <w:lang w:eastAsia="lv-LV"/>
              <w14:ligatures w14:val="standardContextual"/>
            </w:rPr>
          </w:pPr>
          <w:hyperlink w:anchor="_Toc185622466" w:history="1">
            <w:r w:rsidRPr="00180201">
              <w:rPr>
                <w:rStyle w:val="Hipersaite"/>
                <w:rFonts w:ascii="Times New Roman" w:hAnsi="Times New Roman" w:cs="Times New Roman"/>
                <w:b/>
                <w:bCs/>
                <w:noProof/>
              </w:rPr>
              <w:t>2.2.13.</w:t>
            </w:r>
            <w:r>
              <w:rPr>
                <w:rFonts w:eastAsiaTheme="minorEastAsia"/>
                <w:noProof/>
                <w:kern w:val="2"/>
                <w:sz w:val="24"/>
                <w:szCs w:val="24"/>
                <w:lang w:eastAsia="lv-LV"/>
                <w14:ligatures w14:val="standardContextual"/>
              </w:rPr>
              <w:tab/>
            </w:r>
            <w:r w:rsidRPr="00180201">
              <w:rPr>
                <w:rStyle w:val="Hipersaite"/>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_Toc185622466 \h </w:instrText>
            </w:r>
            <w:r>
              <w:rPr>
                <w:noProof/>
                <w:webHidden/>
              </w:rPr>
            </w:r>
            <w:r>
              <w:rPr>
                <w:noProof/>
                <w:webHidden/>
              </w:rPr>
              <w:fldChar w:fldCharType="separate"/>
            </w:r>
            <w:r>
              <w:rPr>
                <w:noProof/>
                <w:webHidden/>
              </w:rPr>
              <w:t>19</w:t>
            </w:r>
            <w:r>
              <w:rPr>
                <w:noProof/>
                <w:webHidden/>
              </w:rPr>
              <w:fldChar w:fldCharType="end"/>
            </w:r>
          </w:hyperlink>
        </w:p>
        <w:p w14:paraId="0993A44F" w14:textId="4B9CB50D"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0" w:name="_Toc488415866"/>
      <w:bookmarkStart w:id="1" w:name="_Toc185622448"/>
      <w:r w:rsidRPr="00514729">
        <w:rPr>
          <w:rFonts w:ascii="Times New Roman" w:hAnsi="Times New Roman" w:cs="Times New Roman"/>
          <w:b/>
          <w:bCs/>
          <w:color w:val="auto"/>
          <w:sz w:val="28"/>
          <w:szCs w:val="28"/>
        </w:rPr>
        <w:t>Vispārīgā informācija</w:t>
      </w:r>
      <w:bookmarkEnd w:id="0"/>
      <w:bookmarkEnd w:id="1"/>
    </w:p>
    <w:p w14:paraId="1274B74B" w14:textId="4B7DB0CB" w:rsidR="006908EA" w:rsidRPr="0051472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2" w:name="_Toc488415867"/>
      <w:bookmarkStart w:id="3" w:name="_Toc185622449"/>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5D47ECAE"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(pieejami tīmekļa vietnē</w:t>
      </w:r>
      <w:r w:rsidR="00102968">
        <w:rPr>
          <w:rFonts w:ascii="Times New Roman" w:hAnsi="Times New Roman" w:cs="Times New Roman"/>
          <w:sz w:val="24"/>
          <w:szCs w:val="24"/>
        </w:rPr>
        <w:t xml:space="preserve">: </w:t>
      </w:r>
      <w:hyperlink r:id="rId11" w:history="1">
        <w:r w:rsidR="00102968" w:rsidRPr="009A0E84">
          <w:rPr>
            <w:rStyle w:val="Hipersaite"/>
            <w:rFonts w:ascii="Times New Roman" w:hAnsi="Times New Roman" w:cs="Times New Roman"/>
            <w:sz w:val="24"/>
            <w:szCs w:val="24"/>
          </w:rPr>
          <w:t>https://likumi.lv/ta/id/343827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7CE4DFAF" w:rsidR="00096F87" w:rsidRPr="000959AB" w:rsidRDefault="009B1EFE" w:rsidP="00096F87">
      <w:pPr>
        <w:pStyle w:val="Sarakstarindkopa"/>
        <w:numPr>
          <w:ilvl w:val="0"/>
          <w:numId w:val="3"/>
        </w:numPr>
        <w:spacing w:line="240" w:lineRule="auto"/>
        <w:jc w:val="both"/>
        <w:rPr>
          <w:rFonts w:ascii="Times New Roman" w:hAnsi="Times New Roman" w:cs="Times New Roman"/>
          <w:sz w:val="24"/>
          <w:szCs w:val="24"/>
        </w:rPr>
      </w:pPr>
      <w:r w:rsidRPr="009B1EFE">
        <w:rPr>
          <w:rFonts w:ascii="Times New Roman" w:hAnsi="Times New Roman" w:cs="Times New Roman"/>
          <w:sz w:val="24"/>
          <w:szCs w:val="24"/>
        </w:rPr>
        <w:t>Ministru kabineta 2024. gada 10. decembra noteikumi</w:t>
      </w:r>
      <w:r>
        <w:rPr>
          <w:rFonts w:ascii="Times New Roman" w:hAnsi="Times New Roman" w:cs="Times New Roman"/>
          <w:sz w:val="24"/>
          <w:szCs w:val="24"/>
        </w:rPr>
        <w:t>em</w:t>
      </w:r>
      <w:r w:rsidRPr="009B1EFE">
        <w:rPr>
          <w:rFonts w:ascii="Times New Roman" w:hAnsi="Times New Roman" w:cs="Times New Roman"/>
          <w:sz w:val="24"/>
          <w:szCs w:val="24"/>
        </w:rPr>
        <w:t xml:space="preserve"> Nr. 811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īstenošanas noteikumi" </w:t>
      </w:r>
      <w:r w:rsidR="00096F87" w:rsidRPr="000959AB">
        <w:rPr>
          <w:rFonts w:ascii="Times New Roman" w:hAnsi="Times New Roman" w:cs="Times New Roman"/>
          <w:sz w:val="24"/>
          <w:szCs w:val="24"/>
        </w:rPr>
        <w:t>(turpmāk – SAM MK noteikumi)</w:t>
      </w:r>
      <w:r w:rsidR="009B5465" w:rsidRPr="000959AB">
        <w:rPr>
          <w:rFonts w:ascii="Times New Roman" w:hAnsi="Times New Roman" w:cs="Times New Roman"/>
          <w:sz w:val="24"/>
          <w:szCs w:val="24"/>
        </w:rPr>
        <w:t xml:space="preserve"> (pieejami tīmekļa vietnē</w:t>
      </w:r>
      <w:r w:rsidR="0002648C">
        <w:rPr>
          <w:rFonts w:ascii="Times New Roman" w:hAnsi="Times New Roman" w:cs="Times New Roman"/>
          <w:sz w:val="24"/>
          <w:szCs w:val="24"/>
        </w:rPr>
        <w:t xml:space="preserve">: </w:t>
      </w:r>
      <w:hyperlink r:id="rId12" w:history="1">
        <w:r w:rsidR="0002648C" w:rsidRPr="009A0E84">
          <w:rPr>
            <w:rStyle w:val="Hipersaite"/>
            <w:rFonts w:ascii="Times New Roman" w:hAnsi="Times New Roman" w:cs="Times New Roman"/>
            <w:sz w:val="24"/>
            <w:szCs w:val="24"/>
          </w:rPr>
          <w:t>https://likumi.lv/ta/id/357122</w:t>
        </w:r>
      </w:hyperlink>
      <w:r w:rsidR="009B5465" w:rsidRPr="000959AB">
        <w:rPr>
          <w:rFonts w:ascii="Times New Roman" w:hAnsi="Times New Roman" w:cs="Times New Roman"/>
          <w:sz w:val="24"/>
          <w:szCs w:val="24"/>
        </w:rPr>
        <w:t>)</w:t>
      </w:r>
      <w:r w:rsidR="00096F87" w:rsidRPr="000959AB">
        <w:rPr>
          <w:rFonts w:ascii="Times New Roman" w:hAnsi="Times New Roman" w:cs="Times New Roman"/>
          <w:sz w:val="24"/>
          <w:szCs w:val="24"/>
        </w:rPr>
        <w:t>;</w:t>
      </w:r>
    </w:p>
    <w:p w14:paraId="20AA55E1" w14:textId="77777777"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ipersaite"/>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ipersaite"/>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Sarakstarindkopa"/>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ipersaite"/>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Virsraksts1"/>
        <w:numPr>
          <w:ilvl w:val="1"/>
          <w:numId w:val="32"/>
        </w:numPr>
        <w:ind w:left="993" w:hanging="633"/>
        <w:rPr>
          <w:rFonts w:ascii="Times New Roman" w:hAnsi="Times New Roman" w:cs="Times New Roman"/>
          <w:b/>
          <w:bCs/>
          <w:color w:val="auto"/>
          <w:sz w:val="28"/>
          <w:szCs w:val="28"/>
        </w:rPr>
      </w:pPr>
      <w:bookmarkStart w:id="4" w:name="_Toc488415868"/>
      <w:bookmarkStart w:id="5" w:name="_Toc185622450"/>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Sarakstarindkopa"/>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projekta ietekmes uz īstenošanas teritoriju un mērķa grupām apzināšana (ekonomiskie ieguvumi un izmaksas);</w:t>
      </w:r>
    </w:p>
    <w:p w14:paraId="1AEDBD4C" w14:textId="77777777" w:rsidR="00B71C94" w:rsidRDefault="00B71C94" w:rsidP="00B71C94">
      <w:pPr>
        <w:pStyle w:val="Sarakstarindkop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Default="00B71C94" w:rsidP="00B71C94">
      <w:pPr>
        <w:pStyle w:val="Sarakstarindkopa"/>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270708C1" w14:textId="77777777" w:rsidR="00594617" w:rsidRPr="00E8525F" w:rsidRDefault="00594617" w:rsidP="00594617">
      <w:pPr>
        <w:pStyle w:val="Sarakstarindkopa"/>
        <w:spacing w:line="240" w:lineRule="auto"/>
        <w:jc w:val="both"/>
        <w:rPr>
          <w:rFonts w:ascii="Times New Roman" w:hAnsi="Times New Roman" w:cs="Times New Roman"/>
          <w:sz w:val="24"/>
          <w:szCs w:val="24"/>
        </w:rPr>
      </w:pPr>
    </w:p>
    <w:p w14:paraId="15EA7F62" w14:textId="3F74FE7C" w:rsidR="0024051E" w:rsidRPr="00514729" w:rsidRDefault="0024051E" w:rsidP="00447B69">
      <w:pPr>
        <w:pStyle w:val="Virsraksts1"/>
        <w:numPr>
          <w:ilvl w:val="0"/>
          <w:numId w:val="32"/>
        </w:numPr>
        <w:rPr>
          <w:rFonts w:ascii="Times New Roman" w:hAnsi="Times New Roman" w:cs="Times New Roman"/>
          <w:b/>
          <w:bCs/>
          <w:color w:val="auto"/>
          <w:sz w:val="28"/>
          <w:szCs w:val="28"/>
        </w:rPr>
      </w:pPr>
      <w:bookmarkStart w:id="6" w:name="_Toc185622451"/>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Virsraksts1"/>
        <w:numPr>
          <w:ilvl w:val="1"/>
          <w:numId w:val="32"/>
        </w:numPr>
        <w:ind w:left="993" w:hanging="633"/>
        <w:rPr>
          <w:rFonts w:ascii="Times New Roman" w:hAnsi="Times New Roman" w:cs="Times New Roman"/>
          <w:b/>
          <w:bCs/>
          <w:color w:val="auto"/>
          <w:sz w:val="28"/>
          <w:szCs w:val="28"/>
        </w:rPr>
      </w:pPr>
      <w:bookmarkStart w:id="7" w:name="_Toc488415870"/>
      <w:bookmarkStart w:id="8" w:name="_Toc185622452"/>
      <w:r w:rsidRPr="00447B69">
        <w:rPr>
          <w:rFonts w:ascii="Times New Roman" w:hAnsi="Times New Roman" w:cs="Times New Roman"/>
          <w:b/>
          <w:bCs/>
          <w:color w:val="auto"/>
          <w:sz w:val="28"/>
          <w:szCs w:val="28"/>
        </w:rPr>
        <w:t>Vispārīgā informācija</w:t>
      </w:r>
      <w:bookmarkEnd w:id="7"/>
      <w:bookmarkEnd w:id="8"/>
    </w:p>
    <w:p w14:paraId="5EA7E929" w14:textId="59DA1CB1"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 xml:space="preserve">jāpielāgo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2C101A23"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7C0610">
        <w:rPr>
          <w:rFonts w:ascii="Times New Roman" w:hAnsi="Times New Roman" w:cs="Times New Roman"/>
          <w:sz w:val="24"/>
          <w:szCs w:val="24"/>
        </w:rPr>
        <w:t>19</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Sarakstarindkopa"/>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26307B18" w:rsidR="00CF06D8" w:rsidRPr="00CF06D8" w:rsidRDefault="00303C8A" w:rsidP="00DA6ED6">
      <w:pPr>
        <w:pStyle w:val="Sarakstarindkopa"/>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vienpadsmit</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lapas</w:t>
      </w:r>
      <w:r w:rsidR="00CF06D8" w:rsidRPr="00CF06D8">
        <w:rPr>
          <w:rFonts w:ascii="Times New Roman" w:hAnsi="Times New Roman" w:cs="Times New Roman"/>
          <w:sz w:val="24"/>
          <w:szCs w:val="24"/>
        </w:rPr>
        <w:t xml:space="preserve">, kurās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212505EA" w:rsidR="00303C8A" w:rsidRPr="00CF06D8" w:rsidRDefault="00303C8A" w:rsidP="00303C8A">
      <w:pPr>
        <w:pStyle w:val="Sarakstarindkopa"/>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 1.1.B. Iesniedzējs;</w:t>
      </w:r>
    </w:p>
    <w:p w14:paraId="10F96FF9" w14:textId="27F2278A" w:rsidR="00303C8A" w:rsidRPr="00CF06D8" w:rsidRDefault="00303C8A" w:rsidP="00303C8A">
      <w:pPr>
        <w:pStyle w:val="Sarakstarindkopa"/>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1.2.1.A. Partneris-1, 1.2.1.B. Partneris-1;</w:t>
      </w:r>
    </w:p>
    <w:p w14:paraId="7D42A6B5" w14:textId="4F233BF9" w:rsidR="00303C8A" w:rsidRDefault="00303C8A" w:rsidP="00303C8A">
      <w:pPr>
        <w:pStyle w:val="Sarakstarindkopa"/>
        <w:numPr>
          <w:ilvl w:val="0"/>
          <w:numId w:val="9"/>
        </w:numPr>
        <w:jc w:val="both"/>
        <w:rPr>
          <w:rFonts w:ascii="Times New Roman" w:hAnsi="Times New Roman" w:cs="Times New Roman"/>
          <w:sz w:val="24"/>
          <w:szCs w:val="24"/>
        </w:rPr>
      </w:pPr>
      <w:bookmarkStart w:id="11" w:name="_Hlk95468974"/>
      <w:r w:rsidRPr="00CF06D8">
        <w:rPr>
          <w:rFonts w:ascii="Times New Roman" w:hAnsi="Times New Roman" w:cs="Times New Roman"/>
          <w:sz w:val="24"/>
          <w:szCs w:val="24"/>
        </w:rPr>
        <w:t>1.2.2.A. Partneris-2 un 1.2.2.B. Partneris-2;</w:t>
      </w:r>
    </w:p>
    <w:p w14:paraId="03D7310E" w14:textId="0687CE1D" w:rsidR="00CF06D8" w:rsidRPr="00C47CF8" w:rsidRDefault="00CF06D8" w:rsidP="00CF06D8">
      <w:pPr>
        <w:pStyle w:val="Sarakstarindkopa"/>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Sarakstarindkopa"/>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Sarakstarindkopa"/>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Sarakstarindkopa"/>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Sarakstarindkopa"/>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Sarakstarindkopa"/>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lastRenderedPageBreak/>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Sarakstarindkopa"/>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79AD133" w:rsidR="00DE4327" w:rsidRPr="00C47CF8" w:rsidRDefault="00DE4327" w:rsidP="00DE4327">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Sarakstarindkopa"/>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Sarakstarindkopa"/>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77777777" w:rsidR="009736D3" w:rsidRDefault="00A35D5B" w:rsidP="009736D3">
      <w:pPr>
        <w:pStyle w:val="Sarakstarindkopa"/>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Sarakstarindkopa"/>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Virsraksts1"/>
        <w:numPr>
          <w:ilvl w:val="1"/>
          <w:numId w:val="32"/>
        </w:numPr>
        <w:ind w:left="993" w:hanging="633"/>
        <w:rPr>
          <w:rFonts w:ascii="Times New Roman" w:hAnsi="Times New Roman" w:cs="Times New Roman"/>
          <w:b/>
          <w:bCs/>
          <w:color w:val="auto"/>
          <w:sz w:val="28"/>
          <w:szCs w:val="28"/>
        </w:rPr>
      </w:pPr>
      <w:bookmarkStart w:id="12" w:name="_Toc185622453"/>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Virsraksts1"/>
        <w:numPr>
          <w:ilvl w:val="2"/>
          <w:numId w:val="32"/>
        </w:numPr>
        <w:rPr>
          <w:rFonts w:ascii="Times New Roman" w:hAnsi="Times New Roman" w:cs="Times New Roman"/>
          <w:b/>
          <w:bCs/>
          <w:color w:val="auto"/>
          <w:sz w:val="28"/>
          <w:szCs w:val="28"/>
        </w:rPr>
      </w:pPr>
      <w:bookmarkStart w:id="13" w:name="_Toc185622454"/>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D351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150F55" w14:textId="5B569D68" w:rsidR="009E7D1D" w:rsidRPr="00B45BE2" w:rsidRDefault="009E7D1D" w:rsidP="00BD3512">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D351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1B6EF41A" w14:textId="0FEB9242" w:rsidR="009E7D1D" w:rsidRPr="00B45BE2" w:rsidRDefault="009E7D1D" w:rsidP="00BD3512">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D351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2BDDEFD" w14:textId="5322288E" w:rsidR="009E7D1D" w:rsidRPr="00B45BE2" w:rsidRDefault="009E7D1D" w:rsidP="00BD3512">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D351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AE7D6EF" w14:textId="4DB7B12C" w:rsidR="009E7D1D" w:rsidRPr="00B45BE2" w:rsidRDefault="009E7D1D" w:rsidP="00BD3512">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630A4F2F" w14:textId="77777777" w:rsidTr="00BD351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B48D387" w14:textId="18298969" w:rsidR="009E7D1D" w:rsidRPr="00B45BE2" w:rsidRDefault="009E7D1D" w:rsidP="00BD3512">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w:t>
            </w:r>
            <w:r w:rsidR="00B27FAB">
              <w:rPr>
                <w:rFonts w:ascii="Times New Roman" w:eastAsia="Times New Roman" w:hAnsi="Times New Roman" w:cs="Times New Roman"/>
                <w:color w:val="000000"/>
                <w:sz w:val="24"/>
                <w:szCs w:val="24"/>
                <w:lang w:eastAsia="lv-LV"/>
              </w:rPr>
              <w:t>Sadarbības partneri</w:t>
            </w:r>
            <w:r w:rsidRPr="00B45BE2">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005A55FF"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w:t>
            </w:r>
            <w:r w:rsidR="00B27FAB">
              <w:rPr>
                <w:rFonts w:ascii="Times New Roman" w:eastAsia="Times New Roman" w:hAnsi="Times New Roman" w:cs="Times New Roman"/>
                <w:sz w:val="24"/>
                <w:szCs w:val="24"/>
                <w:lang w:eastAsia="lv-LV"/>
              </w:rPr>
              <w:t>projekta iesniedzēja sadarbības partnerus</w:t>
            </w:r>
            <w:r w:rsidRPr="001B49BF">
              <w:rPr>
                <w:rFonts w:ascii="Times New Roman" w:eastAsia="Times New Roman" w:hAnsi="Times New Roman" w:cs="Times New Roman"/>
                <w:sz w:val="24"/>
                <w:szCs w:val="24"/>
                <w:lang w:eastAsia="lv-LV"/>
              </w:rPr>
              <w:t xml:space="preserve"> </w:t>
            </w:r>
          </w:p>
        </w:tc>
      </w:tr>
      <w:tr w:rsidR="009E7D1D" w:rsidRPr="003D30BD" w14:paraId="50AF2BB6" w14:textId="77777777" w:rsidTr="00BD351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D8C97D7" w14:textId="28E65719" w:rsidR="009E7D1D" w:rsidRPr="00B45BE2" w:rsidRDefault="009E7D1D" w:rsidP="00BD3512">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D351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B2CB2F7" w14:textId="7D7F5DE9" w:rsidR="009E7D1D" w:rsidRPr="00B45BE2" w:rsidRDefault="009E7D1D" w:rsidP="00BD3512">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B27FAB">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D351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37EFDAF" w14:textId="765DE910" w:rsidR="009E7D1D" w:rsidRPr="00B45BE2" w:rsidRDefault="009E7D1D" w:rsidP="00BD3512">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ED00CC">
              <w:rPr>
                <w:rFonts w:ascii="Times New Roman" w:eastAsia="Times New Roman" w:hAnsi="Times New Roman" w:cs="Times New Roman"/>
                <w:color w:val="000000"/>
                <w:sz w:val="24"/>
                <w:szCs w:val="24"/>
                <w:lang w:eastAsia="lv-LV"/>
              </w:rPr>
              <w:t>9</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Eiropas Komisijas izstrādātajām vadlīnijām “</w:t>
            </w:r>
            <w:proofErr w:type="spellStart"/>
            <w:r w:rsidRPr="00704BEA">
              <w:rPr>
                <w:rFonts w:ascii="Times New Roman" w:eastAsia="Times New Roman" w:hAnsi="Times New Roman" w:cs="Times New Roman"/>
                <w:sz w:val="24"/>
                <w:szCs w:val="24"/>
                <w:lang w:eastAsia="lv-LV"/>
              </w:rPr>
              <w:t>Guide</w:t>
            </w:r>
            <w:proofErr w:type="spellEnd"/>
            <w:r w:rsidRPr="00704BEA">
              <w:rPr>
                <w:rFonts w:ascii="Times New Roman" w:eastAsia="Times New Roman" w:hAnsi="Times New Roman" w:cs="Times New Roman"/>
                <w:sz w:val="24"/>
                <w:szCs w:val="24"/>
                <w:lang w:eastAsia="lv-LV"/>
              </w:rPr>
              <w:t xml:space="preserve"> to </w:t>
            </w:r>
            <w:proofErr w:type="spellStart"/>
            <w:r w:rsidRPr="00704BEA">
              <w:rPr>
                <w:rFonts w:ascii="Times New Roman" w:eastAsia="Times New Roman" w:hAnsi="Times New Roman" w:cs="Times New Roman"/>
                <w:sz w:val="24"/>
                <w:szCs w:val="24"/>
                <w:lang w:eastAsia="lv-LV"/>
              </w:rPr>
              <w:t>Cost-Benefit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Analysis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of</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Investment</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Projects</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Economic</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appraisal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tool</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for</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Cohesion</w:t>
            </w:r>
            <w:proofErr w:type="spellEnd"/>
            <w:r w:rsidRPr="00704BEA">
              <w:rPr>
                <w:rFonts w:ascii="Times New Roman" w:eastAsia="Times New Roman" w:hAnsi="Times New Roman" w:cs="Times New Roman"/>
                <w:sz w:val="24"/>
                <w:szCs w:val="24"/>
                <w:lang w:eastAsia="lv-LV"/>
              </w:rPr>
              <w:t xml:space="preserve"> </w:t>
            </w:r>
            <w:proofErr w:type="spellStart"/>
            <w:r w:rsidRPr="00704BEA">
              <w:rPr>
                <w:rFonts w:ascii="Times New Roman" w:eastAsia="Times New Roman" w:hAnsi="Times New Roman" w:cs="Times New Roman"/>
                <w:sz w:val="24"/>
                <w:szCs w:val="24"/>
                <w:lang w:eastAsia="lv-LV"/>
              </w:rPr>
              <w:t>Policy</w:t>
            </w:r>
            <w:proofErr w:type="spellEnd"/>
            <w:r w:rsidRPr="00704BEA">
              <w:rPr>
                <w:rFonts w:ascii="Times New Roman" w:eastAsia="Times New Roman" w:hAnsi="Times New Roman" w:cs="Times New Roman"/>
                <w:sz w:val="24"/>
                <w:szCs w:val="24"/>
                <w:lang w:eastAsia="lv-LV"/>
              </w:rPr>
              <w:t xml:space="preserve"> 2014 – 2020” (pieejamas tīmekļa vietnē: </w:t>
            </w:r>
          </w:p>
          <w:p w14:paraId="5FB38118" w14:textId="77777777" w:rsidR="008E7ED8" w:rsidRDefault="008E7ED8" w:rsidP="008E7ED8">
            <w:pPr>
              <w:spacing w:after="0" w:line="240" w:lineRule="auto"/>
              <w:rPr>
                <w:rFonts w:ascii="Times New Roman" w:eastAsia="Times New Roman" w:hAnsi="Times New Roman" w:cs="Times New Roman"/>
                <w:sz w:val="24"/>
                <w:szCs w:val="24"/>
                <w:lang w:eastAsia="lv-LV"/>
              </w:rPr>
            </w:pPr>
            <w:hyperlink r:id="rId16" w:history="1">
              <w:r w:rsidRPr="00C81034">
                <w:rPr>
                  <w:rStyle w:val="Hipersaite"/>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4B997369" w14:textId="17AB7199" w:rsidR="009E7D1D"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lastRenderedPageBreak/>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Guide</w:t>
            </w:r>
            <w:proofErr w:type="spellEnd"/>
            <w:r w:rsidRPr="000E21A0">
              <w:rPr>
                <w:rFonts w:ascii="Times New Roman" w:eastAsia="Times New Roman" w:hAnsi="Times New Roman" w:cs="Times New Roman"/>
                <w:sz w:val="24"/>
                <w:szCs w:val="24"/>
                <w:lang w:eastAsia="lv-LV"/>
              </w:rPr>
              <w:t xml:space="preserve"> to </w:t>
            </w:r>
            <w:proofErr w:type="spellStart"/>
            <w:r w:rsidRPr="000E21A0">
              <w:rPr>
                <w:rFonts w:ascii="Times New Roman" w:eastAsia="Times New Roman" w:hAnsi="Times New Roman" w:cs="Times New Roman"/>
                <w:sz w:val="24"/>
                <w:szCs w:val="24"/>
                <w:lang w:eastAsia="lv-LV"/>
              </w:rPr>
              <w:t>Cost-Benefit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Analysis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of</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Investment</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Projects</w:t>
            </w:r>
            <w:proofErr w:type="spellEnd"/>
            <w:r w:rsidRPr="000E21A0">
              <w:rPr>
                <w:rFonts w:ascii="Times New Roman" w:eastAsia="Times New Roman" w:hAnsi="Times New Roman" w:cs="Times New Roman"/>
                <w:sz w:val="24"/>
                <w:szCs w:val="24"/>
                <w:lang w:eastAsia="lv-LV"/>
              </w:rPr>
              <w:t xml:space="preserve"> </w:t>
            </w:r>
            <w:proofErr w:type="spellStart"/>
            <w:r w:rsidRPr="000E21A0">
              <w:rPr>
                <w:rFonts w:ascii="Times New Roman" w:eastAsia="Times New Roman" w:hAnsi="Times New Roman" w:cs="Times New Roman"/>
                <w:sz w:val="24"/>
                <w:szCs w:val="24"/>
                <w:lang w:eastAsia="lv-LV"/>
              </w:rPr>
              <w:t>Economic</w:t>
            </w:r>
            <w:proofErr w:type="spellEnd"/>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7" w:history="1">
              <w:r w:rsidRPr="007630EA">
                <w:rPr>
                  <w:rStyle w:val="Hipersaite"/>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r w:rsidR="00731927">
              <w:rPr>
                <w:rFonts w:ascii="Times New Roman" w:eastAsia="Times New Roman" w:hAnsi="Times New Roman" w:cs="Times New Roman"/>
                <w:sz w:val="24"/>
                <w:szCs w:val="24"/>
                <w:lang w:eastAsia="lv-LV"/>
              </w:rPr>
              <w:t>.</w:t>
            </w:r>
          </w:p>
          <w:p w14:paraId="29D70076" w14:textId="287474AB" w:rsidR="00731927" w:rsidRPr="00731927" w:rsidRDefault="00731927" w:rsidP="00731927">
            <w:pPr>
              <w:spacing w:after="0" w:line="240" w:lineRule="auto"/>
              <w:jc w:val="both"/>
              <w:rPr>
                <w:rFonts w:ascii="Times New Roman" w:eastAsia="Times New Roman" w:hAnsi="Times New Roman" w:cs="Times New Roman"/>
                <w:sz w:val="24"/>
                <w:szCs w:val="24"/>
                <w:lang w:eastAsia="lv-LV"/>
              </w:rPr>
            </w:pPr>
          </w:p>
        </w:tc>
      </w:tr>
      <w:tr w:rsidR="009E7D1D" w:rsidRPr="003D30BD" w14:paraId="60947529" w14:textId="77777777" w:rsidTr="00BD351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0FEB5433" w14:textId="2053C07E" w:rsidR="009E7D1D" w:rsidRDefault="009E7D1D" w:rsidP="00BD3512">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lastRenderedPageBreak/>
              <w:t>1.1</w:t>
            </w:r>
            <w:r w:rsidR="006B48B3">
              <w:rPr>
                <w:rFonts w:ascii="Times New Roman" w:eastAsia="Times New Roman" w:hAnsi="Times New Roman" w:cs="Times New Roman"/>
                <w:color w:val="000000"/>
                <w:sz w:val="24"/>
                <w:szCs w:val="24"/>
                <w:lang w:eastAsia="lv-LV"/>
              </w:rPr>
              <w:t>0</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4B40AEC7" w14:textId="1F071D52" w:rsidR="009E7D1D"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w:t>
            </w:r>
            <w:proofErr w:type="spellStart"/>
            <w:r w:rsidRPr="009C76C7">
              <w:rPr>
                <w:rFonts w:ascii="Times New Roman" w:eastAsia="Times New Roman" w:hAnsi="Times New Roman" w:cs="Times New Roman"/>
                <w:sz w:val="24"/>
                <w:szCs w:val="24"/>
                <w:lang w:eastAsia="lv-LV"/>
              </w:rPr>
              <w:t>Guide</w:t>
            </w:r>
            <w:proofErr w:type="spellEnd"/>
            <w:r w:rsidRPr="009C76C7">
              <w:rPr>
                <w:rFonts w:ascii="Times New Roman" w:eastAsia="Times New Roman" w:hAnsi="Times New Roman" w:cs="Times New Roman"/>
                <w:sz w:val="24"/>
                <w:szCs w:val="24"/>
                <w:lang w:eastAsia="lv-LV"/>
              </w:rPr>
              <w:t xml:space="preserve"> to </w:t>
            </w:r>
            <w:proofErr w:type="spellStart"/>
            <w:r w:rsidRPr="009C76C7">
              <w:rPr>
                <w:rFonts w:ascii="Times New Roman" w:eastAsia="Times New Roman" w:hAnsi="Times New Roman" w:cs="Times New Roman"/>
                <w:sz w:val="24"/>
                <w:szCs w:val="24"/>
                <w:lang w:eastAsia="lv-LV"/>
              </w:rPr>
              <w:t>Cost-Benefit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Analysis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of</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Investment</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Projects</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Economic</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appraisal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tool</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for</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Cohesion</w:t>
            </w:r>
            <w:proofErr w:type="spellEnd"/>
            <w:r w:rsidRPr="009C76C7">
              <w:rPr>
                <w:rFonts w:ascii="Times New Roman" w:eastAsia="Times New Roman" w:hAnsi="Times New Roman" w:cs="Times New Roman"/>
                <w:sz w:val="24"/>
                <w:szCs w:val="24"/>
                <w:lang w:eastAsia="lv-LV"/>
              </w:rPr>
              <w:t xml:space="preserve"> </w:t>
            </w:r>
            <w:proofErr w:type="spellStart"/>
            <w:r w:rsidRPr="009C76C7">
              <w:rPr>
                <w:rFonts w:ascii="Times New Roman" w:eastAsia="Times New Roman" w:hAnsi="Times New Roman" w:cs="Times New Roman"/>
                <w:sz w:val="24"/>
                <w:szCs w:val="24"/>
                <w:lang w:eastAsia="lv-LV"/>
              </w:rPr>
              <w:t>Policy</w:t>
            </w:r>
            <w:proofErr w:type="spellEnd"/>
            <w:r w:rsidRPr="009C76C7">
              <w:rPr>
                <w:rFonts w:ascii="Times New Roman" w:eastAsia="Times New Roman" w:hAnsi="Times New Roman" w:cs="Times New Roman"/>
                <w:sz w:val="24"/>
                <w:szCs w:val="24"/>
                <w:lang w:eastAsia="lv-LV"/>
              </w:rPr>
              <w:t xml:space="preserve"> 2014 – 2020” (pieejamas tīmekļa vietnē: </w:t>
            </w:r>
            <w:hyperlink r:id="rId18" w:history="1">
              <w:r w:rsidRPr="007630EA">
                <w:rPr>
                  <w:rStyle w:val="Hipersaite"/>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r w:rsidR="0004345D">
              <w:rPr>
                <w:rFonts w:ascii="Times New Roman" w:eastAsia="Times New Roman" w:hAnsi="Times New Roman" w:cs="Times New Roman"/>
                <w:sz w:val="24"/>
                <w:szCs w:val="24"/>
                <w:lang w:eastAsia="lv-LV"/>
              </w:rPr>
              <w:t>.</w:t>
            </w:r>
          </w:p>
          <w:p w14:paraId="5209E49E" w14:textId="0B7DF189" w:rsidR="0004345D" w:rsidRPr="00B45BE2" w:rsidRDefault="0004345D"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 iesniedzējs var norādīt garāku dzīves cikla garumu, to pamatojot un attiecīgi paredzot infrastruktūras atlikušo vērtību, aizpildot izmaksu un ieguvumu aprēķinu modeli.</w:t>
            </w:r>
          </w:p>
        </w:tc>
      </w:tr>
      <w:tr w:rsidR="009E7D1D" w:rsidRPr="003D30BD" w14:paraId="24C611F3" w14:textId="77777777" w:rsidTr="00BD351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center"/>
          </w:tcPr>
          <w:p w14:paraId="3A5F9816" w14:textId="424AECBD" w:rsidR="009E7D1D" w:rsidRDefault="009E7D1D" w:rsidP="00BD3512">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w:t>
            </w:r>
            <w:r w:rsidR="006B48B3">
              <w:rPr>
                <w:rFonts w:ascii="Times New Roman" w:eastAsia="Times New Roman" w:hAnsi="Times New Roman" w:cs="Times New Roman"/>
                <w:color w:val="000000"/>
                <w:sz w:val="24"/>
                <w:szCs w:val="24"/>
                <w:lang w:eastAsia="lv-LV"/>
              </w:rPr>
              <w:t>1</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Virsraksts1"/>
        <w:numPr>
          <w:ilvl w:val="2"/>
          <w:numId w:val="32"/>
        </w:numPr>
        <w:rPr>
          <w:rFonts w:ascii="Times New Roman" w:hAnsi="Times New Roman" w:cs="Times New Roman"/>
          <w:b/>
          <w:bCs/>
          <w:color w:val="auto"/>
          <w:sz w:val="28"/>
          <w:szCs w:val="28"/>
        </w:rPr>
      </w:pPr>
      <w:bookmarkStart w:id="14" w:name="_Toc185622455"/>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73CA9CDD"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lapās</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 xml:space="preserve">1.1.A. Iesniedzējs, 1.1.B.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(pašvaldība vai tās iestāde, pašvaldības kapitālsabiedrība)</w:t>
      </w:r>
      <w:r w:rsidR="007D46B9">
        <w:rPr>
          <w:rFonts w:ascii="Times New Roman" w:hAnsi="Times New Roman" w:cs="Times New Roman"/>
          <w:sz w:val="24"/>
          <w:szCs w:val="24"/>
        </w:rPr>
        <w:t xml:space="preserve"> projektā plānotajām investīciju izmaksām.</w:t>
      </w:r>
    </w:p>
    <w:p w14:paraId="5E7CD633" w14:textId="411F61B0" w:rsidR="003F7DE7" w:rsidRPr="007D46B9" w:rsidRDefault="007D46B9" w:rsidP="007D46B9">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F00566" w:rsidRPr="007D46B9">
        <w:rPr>
          <w:rFonts w:ascii="Times New Roman" w:hAnsi="Times New Roman" w:cs="Times New Roman"/>
          <w:sz w:val="24"/>
          <w:szCs w:val="24"/>
        </w:rPr>
        <w:t xml:space="preserve">1.2.1.A. Partneris-1, </w:t>
      </w:r>
      <w:bookmarkStart w:id="15" w:name="_Hlk95479902"/>
      <w:r w:rsidR="00F00566" w:rsidRPr="007D46B9">
        <w:rPr>
          <w:rFonts w:ascii="Times New Roman" w:hAnsi="Times New Roman" w:cs="Times New Roman"/>
          <w:sz w:val="24"/>
          <w:szCs w:val="24"/>
        </w:rPr>
        <w:t xml:space="preserve">1.2.1.B. Partneris-1 </w:t>
      </w:r>
      <w:bookmarkEnd w:id="15"/>
      <w:r w:rsidRPr="007D46B9">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 xml:space="preserve">1.sadarbības partnera, kas </w:t>
      </w:r>
      <w:r w:rsidRPr="007D46B9">
        <w:rPr>
          <w:rFonts w:ascii="Times New Roman" w:hAnsi="Times New Roman" w:cs="Times New Roman"/>
          <w:sz w:val="24"/>
          <w:szCs w:val="24"/>
        </w:rPr>
        <w:t>nav privāt</w:t>
      </w:r>
      <w:r>
        <w:rPr>
          <w:rFonts w:ascii="Times New Roman" w:hAnsi="Times New Roman" w:cs="Times New Roman"/>
          <w:sz w:val="24"/>
          <w:szCs w:val="24"/>
        </w:rPr>
        <w:t>ais</w:t>
      </w:r>
      <w:r w:rsidRPr="007D46B9">
        <w:rPr>
          <w:rFonts w:ascii="Times New Roman" w:hAnsi="Times New Roman" w:cs="Times New Roman"/>
          <w:sz w:val="24"/>
          <w:szCs w:val="24"/>
        </w:rPr>
        <w:t xml:space="preserve"> komersant</w:t>
      </w:r>
      <w:r>
        <w:rPr>
          <w:rFonts w:ascii="Times New Roman" w:hAnsi="Times New Roman" w:cs="Times New Roman"/>
          <w:sz w:val="24"/>
          <w:szCs w:val="24"/>
        </w:rPr>
        <w:t>s</w:t>
      </w:r>
      <w:r w:rsidRPr="007D46B9">
        <w:rPr>
          <w:rFonts w:ascii="Times New Roman" w:hAnsi="Times New Roman" w:cs="Times New Roman"/>
          <w:sz w:val="24"/>
          <w:szCs w:val="24"/>
        </w:rPr>
        <w:t xml:space="preserve"> (pašvaldība vai tās iestāde, pašvaldības kapitālsabiedrība</w:t>
      </w:r>
      <w:r>
        <w:rPr>
          <w:rFonts w:ascii="Times New Roman" w:hAnsi="Times New Roman" w:cs="Times New Roman"/>
          <w:sz w:val="24"/>
          <w:szCs w:val="24"/>
        </w:rPr>
        <w:t>)</w:t>
      </w:r>
      <w:r w:rsidRPr="007D46B9">
        <w:rPr>
          <w:rFonts w:ascii="Times New Roman" w:hAnsi="Times New Roman" w:cs="Times New Roman"/>
          <w:sz w:val="24"/>
          <w:szCs w:val="24"/>
        </w:rPr>
        <w:t xml:space="preserve"> projektā plānotajām investīciju izmaksām.</w:t>
      </w:r>
    </w:p>
    <w:p w14:paraId="76324E45" w14:textId="7D05BCFD" w:rsidR="003F7DE7" w:rsidRDefault="000A36E7" w:rsidP="000A36E7">
      <w:pPr>
        <w:jc w:val="both"/>
        <w:rPr>
          <w:rFonts w:ascii="Times New Roman" w:hAnsi="Times New Roman" w:cs="Times New Roman"/>
          <w:sz w:val="24"/>
          <w:szCs w:val="24"/>
        </w:rPr>
      </w:pPr>
      <w:r>
        <w:rPr>
          <w:rFonts w:ascii="Times New Roman" w:hAnsi="Times New Roman" w:cs="Times New Roman"/>
          <w:sz w:val="24"/>
          <w:szCs w:val="24"/>
        </w:rPr>
        <w:t xml:space="preserve">Izklājlapās </w:t>
      </w:r>
      <w:r w:rsidR="00F00566" w:rsidRPr="00F00566">
        <w:rPr>
          <w:rFonts w:ascii="Times New Roman" w:hAnsi="Times New Roman" w:cs="Times New Roman"/>
          <w:sz w:val="24"/>
          <w:szCs w:val="24"/>
        </w:rPr>
        <w:t xml:space="preserve">1.2.2.A. Partneris-2, 1.2.2.B. Partneris-2 </w:t>
      </w:r>
      <w:r w:rsidRPr="000A36E7">
        <w:rPr>
          <w:rFonts w:ascii="Times New Roman" w:hAnsi="Times New Roman" w:cs="Times New Roman"/>
          <w:sz w:val="24"/>
          <w:szCs w:val="24"/>
        </w:rPr>
        <w:t xml:space="preserve">tiek norādīta informācija par projekta iesniedzēja </w:t>
      </w:r>
      <w:r>
        <w:rPr>
          <w:rFonts w:ascii="Times New Roman" w:hAnsi="Times New Roman" w:cs="Times New Roman"/>
          <w:sz w:val="24"/>
          <w:szCs w:val="24"/>
        </w:rPr>
        <w:t>2</w:t>
      </w:r>
      <w:r w:rsidRPr="000A36E7">
        <w:rPr>
          <w:rFonts w:ascii="Times New Roman" w:hAnsi="Times New Roman" w:cs="Times New Roman"/>
          <w:sz w:val="24"/>
          <w:szCs w:val="24"/>
        </w:rPr>
        <w:t>.sadarbības partnera, kas nav privātais komersants (pašvaldība vai tās iestāde, pašvaldības kapitālsabiedrība,) projektā plānotajām investīciju izmaksām.</w:t>
      </w:r>
    </w:p>
    <w:p w14:paraId="06D7477D" w14:textId="77777777" w:rsidR="00E9222B" w:rsidRDefault="00E9222B" w:rsidP="00E9222B">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14:paraId="0F2A0E75" w14:textId="47322487"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 xml:space="preserve">Projekta iesniedzējam un sadarbības partneriem ir paredzētas atsevišķas izmaksu plūsmas, lai  aprēķinātu individuālos finansēšanas plānus sadalījumā pa </w:t>
      </w:r>
      <w:r w:rsidR="002C1141">
        <w:rPr>
          <w:rFonts w:ascii="Times New Roman" w:hAnsi="Times New Roman" w:cs="Times New Roman"/>
          <w:sz w:val="24"/>
          <w:szCs w:val="24"/>
        </w:rPr>
        <w:t>komercdarbības</w:t>
      </w:r>
      <w:r w:rsidRPr="000A36E7">
        <w:rPr>
          <w:rFonts w:ascii="Times New Roman" w:hAnsi="Times New Roman" w:cs="Times New Roman"/>
          <w:sz w:val="24"/>
          <w:szCs w:val="24"/>
        </w:rPr>
        <w:t xml:space="preserve"> atbalsta veidiem un precīzi noteiktu finansējuma avotu sadalījumu.</w:t>
      </w:r>
    </w:p>
    <w:p w14:paraId="63D94B59" w14:textId="4EBF1352"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Izklājlapās 1.1.A. Iesniedzējs,</w:t>
      </w:r>
      <w:r w:rsidRPr="000A36E7">
        <w:t xml:space="preserve"> </w:t>
      </w:r>
      <w:r w:rsidRPr="000A36E7">
        <w:rPr>
          <w:rFonts w:ascii="Times New Roman" w:hAnsi="Times New Roman" w:cs="Times New Roman"/>
          <w:sz w:val="24"/>
          <w:szCs w:val="24"/>
        </w:rPr>
        <w:t>1.2.1.A. Partneris-1</w:t>
      </w:r>
      <w:r w:rsidR="004D19CA">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0A36E7">
        <w:rPr>
          <w:rFonts w:ascii="Times New Roman" w:hAnsi="Times New Roman" w:cs="Times New Roman"/>
          <w:sz w:val="24"/>
          <w:szCs w:val="24"/>
        </w:rPr>
        <w:t>1.2.2.A. Partneris-2</w:t>
      </w:r>
      <w:r w:rsidR="004D19CA">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216EF198" w14:textId="6F107B35" w:rsidR="000A36E7" w:rsidRDefault="004D19CA" w:rsidP="000A36E7">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lapās</w:t>
      </w:r>
      <w:r>
        <w:rPr>
          <w:rFonts w:ascii="Times New Roman" w:hAnsi="Times New Roman" w:cs="Times New Roman"/>
          <w:sz w:val="24"/>
          <w:szCs w:val="24"/>
        </w:rPr>
        <w:t xml:space="preserve"> </w:t>
      </w:r>
      <w:r w:rsidRPr="003F7DE7">
        <w:rPr>
          <w:rFonts w:ascii="Times New Roman" w:hAnsi="Times New Roman" w:cs="Times New Roman"/>
          <w:sz w:val="24"/>
          <w:szCs w:val="24"/>
        </w:rPr>
        <w:t>1.1.B. Iesniedzējs</w:t>
      </w:r>
      <w:r>
        <w:rPr>
          <w:rFonts w:ascii="Times New Roman" w:hAnsi="Times New Roman" w:cs="Times New Roman"/>
          <w:sz w:val="24"/>
          <w:szCs w:val="24"/>
        </w:rPr>
        <w:t xml:space="preserve">, </w:t>
      </w:r>
      <w:r w:rsidRPr="004D19CA">
        <w:rPr>
          <w:rFonts w:ascii="Times New Roman" w:hAnsi="Times New Roman" w:cs="Times New Roman"/>
          <w:sz w:val="24"/>
          <w:szCs w:val="24"/>
        </w:rPr>
        <w:t>1.2.1.B. Partneris-1</w:t>
      </w:r>
      <w:r>
        <w:rPr>
          <w:rFonts w:ascii="Times New Roman" w:hAnsi="Times New Roman" w:cs="Times New Roman"/>
          <w:sz w:val="24"/>
          <w:szCs w:val="24"/>
        </w:rPr>
        <w:t xml:space="preserve"> un </w:t>
      </w:r>
      <w:r w:rsidRPr="004D19CA">
        <w:rPr>
          <w:rFonts w:ascii="Times New Roman" w:hAnsi="Times New Roman" w:cs="Times New Roman"/>
          <w:sz w:val="24"/>
          <w:szCs w:val="24"/>
        </w:rPr>
        <w:t xml:space="preserve">1.2.2.B. Partneris-2 tiek norādīta informācija par </w:t>
      </w:r>
      <w:r>
        <w:rPr>
          <w:rFonts w:ascii="Times New Roman" w:hAnsi="Times New Roman" w:cs="Times New Roman"/>
          <w:sz w:val="24"/>
          <w:szCs w:val="24"/>
        </w:rPr>
        <w:t>projekta i</w:t>
      </w:r>
      <w:r w:rsidRPr="004D19CA">
        <w:rPr>
          <w:rFonts w:ascii="Times New Roman" w:hAnsi="Times New Roman" w:cs="Times New Roman"/>
          <w:sz w:val="24"/>
          <w:szCs w:val="24"/>
        </w:rPr>
        <w:t>zmaks</w:t>
      </w:r>
      <w:r>
        <w:rPr>
          <w:rFonts w:ascii="Times New Roman" w:hAnsi="Times New Roman" w:cs="Times New Roman"/>
          <w:sz w:val="24"/>
          <w:szCs w:val="24"/>
        </w:rPr>
        <w:t>ām</w:t>
      </w:r>
      <w:r w:rsidRPr="004D19CA">
        <w:rPr>
          <w:rFonts w:ascii="Times New Roman" w:hAnsi="Times New Roman" w:cs="Times New Roman"/>
          <w:sz w:val="24"/>
          <w:szCs w:val="24"/>
        </w:rPr>
        <w:t xml:space="preserve"> darbībām, kas kvalificējas kā </w:t>
      </w:r>
      <w:r w:rsidR="0067727E">
        <w:rPr>
          <w:rFonts w:ascii="Times New Roman" w:hAnsi="Times New Roman" w:cs="Times New Roman"/>
          <w:sz w:val="24"/>
          <w:szCs w:val="24"/>
        </w:rPr>
        <w:t>komercdarbības</w:t>
      </w:r>
      <w:r w:rsidRPr="004D19CA">
        <w:rPr>
          <w:rFonts w:ascii="Times New Roman" w:hAnsi="Times New Roman" w:cs="Times New Roman"/>
          <w:sz w:val="24"/>
          <w:szCs w:val="24"/>
        </w:rPr>
        <w:t xml:space="preserve"> atbalsts</w:t>
      </w:r>
      <w:r w:rsidR="00724068">
        <w:rPr>
          <w:rFonts w:ascii="Times New Roman" w:hAnsi="Times New Roman" w:cs="Times New Roman"/>
          <w:sz w:val="24"/>
          <w:szCs w:val="24"/>
        </w:rPr>
        <w:t xml:space="preserve"> (</w:t>
      </w:r>
      <w:r w:rsidR="00724068" w:rsidRPr="00724068">
        <w:rPr>
          <w:rFonts w:ascii="Times New Roman" w:hAnsi="Times New Roman" w:cs="Times New Roman"/>
          <w:sz w:val="24"/>
          <w:szCs w:val="24"/>
        </w:rPr>
        <w:t>KOMISIJAS REGULA</w:t>
      </w:r>
      <w:r w:rsidR="00724068">
        <w:rPr>
          <w:rFonts w:ascii="Times New Roman" w:hAnsi="Times New Roman" w:cs="Times New Roman"/>
          <w:sz w:val="24"/>
          <w:szCs w:val="24"/>
        </w:rPr>
        <w:t>S</w:t>
      </w:r>
      <w:r w:rsidR="00724068" w:rsidRPr="00724068">
        <w:rPr>
          <w:rFonts w:ascii="Times New Roman" w:hAnsi="Times New Roman" w:cs="Times New Roman"/>
          <w:sz w:val="24"/>
          <w:szCs w:val="24"/>
        </w:rPr>
        <w:t xml:space="preserve"> (ES) Nr. 651/2014</w:t>
      </w:r>
      <w:r w:rsidR="00724068">
        <w:rPr>
          <w:rFonts w:ascii="Times New Roman" w:hAnsi="Times New Roman" w:cs="Times New Roman"/>
          <w:sz w:val="24"/>
          <w:szCs w:val="24"/>
        </w:rPr>
        <w:t xml:space="preserve"> 5</w:t>
      </w:r>
      <w:r w:rsidR="00DD79A6">
        <w:rPr>
          <w:rFonts w:ascii="Times New Roman" w:hAnsi="Times New Roman" w:cs="Times New Roman"/>
          <w:sz w:val="24"/>
          <w:szCs w:val="24"/>
        </w:rPr>
        <w:t>3</w:t>
      </w:r>
      <w:r w:rsidR="00724068">
        <w:rPr>
          <w:rFonts w:ascii="Times New Roman" w:hAnsi="Times New Roman" w:cs="Times New Roman"/>
          <w:sz w:val="24"/>
          <w:szCs w:val="24"/>
        </w:rPr>
        <w:t>.pants)</w:t>
      </w:r>
      <w:r w:rsidR="00846997">
        <w:rPr>
          <w:rFonts w:ascii="Times New Roman" w:hAnsi="Times New Roman" w:cs="Times New Roman"/>
          <w:sz w:val="24"/>
          <w:szCs w:val="24"/>
        </w:rPr>
        <w:t>.</w:t>
      </w:r>
    </w:p>
    <w:p w14:paraId="159BC14C" w14:textId="77777777" w:rsidR="00B53163" w:rsidRDefault="00B53163" w:rsidP="00B53163">
      <w:pPr>
        <w:jc w:val="both"/>
        <w:rPr>
          <w:rFonts w:ascii="Times New Roman" w:hAnsi="Times New Roman" w:cs="Times New Roman"/>
          <w:sz w:val="24"/>
          <w:szCs w:val="24"/>
        </w:rPr>
      </w:pPr>
      <w:r w:rsidRPr="7B1F933E">
        <w:rPr>
          <w:rFonts w:ascii="Times New Roman" w:hAnsi="Times New Roman" w:cs="Times New Roman"/>
          <w:sz w:val="24"/>
          <w:szCs w:val="24"/>
        </w:rPr>
        <w:t xml:space="preserve">Projekta budžetam  ir piecpadsmit galvenās budžeta pozīcijas, kas ietver MK noteikumos noteiktās izmaksu pozīcijas, bet tās izmaksu pozīcijas, kas neattiecas uz pasākumu, izklājlapās ir paslēptas. Papildus katra budžeta pozīcija tiek iedalīta divās izmaksu grupās: projekta attiecināmās izmaksas un </w:t>
      </w:r>
      <w:proofErr w:type="spellStart"/>
      <w:r w:rsidRPr="7B1F933E">
        <w:rPr>
          <w:rFonts w:ascii="Times New Roman" w:hAnsi="Times New Roman" w:cs="Times New Roman"/>
          <w:sz w:val="24"/>
          <w:szCs w:val="24"/>
        </w:rPr>
        <w:t>ārpusprojekta</w:t>
      </w:r>
      <w:proofErr w:type="spellEnd"/>
      <w:r w:rsidRPr="7B1F933E">
        <w:rPr>
          <w:rFonts w:ascii="Times New Roman" w:hAnsi="Times New Roman" w:cs="Times New Roman"/>
          <w:sz w:val="24"/>
          <w:szCs w:val="24"/>
        </w:rPr>
        <w:t xml:space="preserve"> izmaksas sadalījumā pa gadiem, kuros tās tiks īstenotas.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23074E50" w14:textId="777777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7D9B32F9" w14:textId="6289750F" w:rsidR="00BB0872" w:rsidRDefault="00BB0872" w:rsidP="00BB0872">
      <w:pPr>
        <w:jc w:val="both"/>
        <w:rPr>
          <w:rFonts w:ascii="Times New Roman" w:hAnsi="Times New Roman" w:cs="Times New Roman"/>
          <w:sz w:val="24"/>
          <w:szCs w:val="24"/>
        </w:rPr>
      </w:pPr>
      <w:r w:rsidRPr="004F0931">
        <w:rPr>
          <w:rFonts w:ascii="Times New Roman" w:hAnsi="Times New Roman" w:cs="Times New Roman"/>
          <w:sz w:val="24"/>
          <w:szCs w:val="24"/>
        </w:rPr>
        <w:t>Izklājlapās 1.2.1.A. Partneris-1</w:t>
      </w:r>
      <w:r>
        <w:rPr>
          <w:rFonts w:ascii="Times New Roman" w:hAnsi="Times New Roman" w:cs="Times New Roman"/>
          <w:sz w:val="24"/>
          <w:szCs w:val="24"/>
        </w:rPr>
        <w:t>,</w:t>
      </w:r>
      <w:r w:rsidRPr="004F0931">
        <w:rPr>
          <w:rFonts w:ascii="Times New Roman" w:hAnsi="Times New Roman" w:cs="Times New Roman"/>
          <w:sz w:val="24"/>
          <w:szCs w:val="24"/>
        </w:rPr>
        <w:t xml:space="preserve"> </w:t>
      </w:r>
      <w:r w:rsidR="00AD1BBB" w:rsidRPr="00AD1BBB">
        <w:rPr>
          <w:rFonts w:ascii="Times New Roman" w:hAnsi="Times New Roman" w:cs="Times New Roman"/>
          <w:sz w:val="24"/>
          <w:szCs w:val="24"/>
        </w:rPr>
        <w:t>1.2.1.B. Partneris-1</w:t>
      </w:r>
      <w:r w:rsidR="00084BF1">
        <w:rPr>
          <w:rFonts w:ascii="Times New Roman" w:hAnsi="Times New Roman" w:cs="Times New Roman"/>
          <w:sz w:val="24"/>
          <w:szCs w:val="24"/>
        </w:rPr>
        <w:t>,</w:t>
      </w:r>
      <w:r w:rsidR="00AD1BBB" w:rsidRPr="00AD1BBB">
        <w:rPr>
          <w:rFonts w:ascii="Times New Roman" w:hAnsi="Times New Roman" w:cs="Times New Roman"/>
          <w:sz w:val="24"/>
          <w:szCs w:val="24"/>
        </w:rPr>
        <w:t xml:space="preserve"> </w:t>
      </w:r>
      <w:r w:rsidRPr="004F0931">
        <w:rPr>
          <w:rFonts w:ascii="Times New Roman" w:hAnsi="Times New Roman" w:cs="Times New Roman"/>
          <w:sz w:val="24"/>
          <w:szCs w:val="24"/>
        </w:rPr>
        <w:t>1.2.2.A. Partneris-2</w:t>
      </w:r>
      <w:r>
        <w:rPr>
          <w:rFonts w:ascii="Times New Roman" w:hAnsi="Times New Roman" w:cs="Times New Roman"/>
          <w:sz w:val="24"/>
          <w:szCs w:val="24"/>
        </w:rPr>
        <w:t xml:space="preserve">, </w:t>
      </w:r>
      <w:r w:rsidR="00084BF1" w:rsidRPr="00084BF1">
        <w:rPr>
          <w:rFonts w:ascii="Times New Roman" w:hAnsi="Times New Roman" w:cs="Times New Roman"/>
          <w:sz w:val="24"/>
          <w:szCs w:val="24"/>
        </w:rPr>
        <w:t xml:space="preserve">1.2.2.B. Partneris-2 </w:t>
      </w:r>
      <w:r>
        <w:rPr>
          <w:rFonts w:ascii="Times New Roman" w:hAnsi="Times New Roman" w:cs="Times New Roman"/>
          <w:sz w:val="24"/>
          <w:szCs w:val="24"/>
        </w:rPr>
        <w:t>3.rindā ir jānorāda informācija par sadarbības partneri izvēlnēs izvēloties atbilstošu sadarbības partneri (šūna C3), tā veidu (šūna H3)</w:t>
      </w:r>
      <w:r w:rsidR="003851A4">
        <w:rPr>
          <w:rFonts w:ascii="Times New Roman" w:hAnsi="Times New Roman" w:cs="Times New Roman"/>
          <w:sz w:val="24"/>
          <w:szCs w:val="24"/>
        </w:rPr>
        <w:t>.</w:t>
      </w:r>
    </w:p>
    <w:p w14:paraId="7126EE91" w14:textId="7B9AF6EF" w:rsidR="00BB0872" w:rsidRDefault="004C4147" w:rsidP="002D31BE">
      <w:pPr>
        <w:jc w:val="both"/>
        <w:rPr>
          <w:rFonts w:ascii="Times New Roman" w:hAnsi="Times New Roman" w:cs="Times New Roman"/>
          <w:sz w:val="24"/>
          <w:szCs w:val="24"/>
        </w:rPr>
      </w:pPr>
      <w:r>
        <w:rPr>
          <w:noProof/>
        </w:rPr>
        <w:drawing>
          <wp:inline distT="0" distB="0" distL="0" distR="0" wp14:anchorId="0300278A" wp14:editId="65AC1A8A">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20"/>
                    <a:stretch>
                      <a:fillRect/>
                    </a:stretch>
                  </pic:blipFill>
                  <pic:spPr>
                    <a:xfrm>
                      <a:off x="0" y="0"/>
                      <a:ext cx="6119495" cy="1389380"/>
                    </a:xfrm>
                    <a:prstGeom prst="rect">
                      <a:avLst/>
                    </a:prstGeom>
                  </pic:spPr>
                </pic:pic>
              </a:graphicData>
            </a:graphic>
          </wp:inline>
        </w:drawing>
      </w:r>
    </w:p>
    <w:p w14:paraId="363070D9" w14:textId="75A497AC"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w:t>
      </w:r>
      <w:r w:rsidR="007F3EFE" w:rsidRPr="007F3EFE">
        <w:rPr>
          <w:rFonts w:ascii="Times New Roman" w:hAnsi="Times New Roman" w:cs="Times New Roman"/>
          <w:sz w:val="24"/>
          <w:szCs w:val="24"/>
        </w:rPr>
        <w:t>, kā arī projekta iesnieguma sadaļā “Projekta īstenošanas laika grafiks” norādītajam projekta investīciju ieviešanas laika grafikam.</w:t>
      </w:r>
      <w:r>
        <w:rPr>
          <w:rFonts w:ascii="Times New Roman" w:hAnsi="Times New Roman" w:cs="Times New Roman"/>
          <w:sz w:val="24"/>
          <w:szCs w:val="24"/>
        </w:rPr>
        <w:t xml:space="preserve">.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16" w:name="_Toc185622456"/>
      <w:r w:rsidRPr="00596D47">
        <w:rPr>
          <w:rFonts w:ascii="Times New Roman" w:hAnsi="Times New Roman" w:cs="Times New Roman"/>
          <w:b/>
          <w:bCs/>
          <w:color w:val="auto"/>
          <w:sz w:val="28"/>
          <w:szCs w:val="28"/>
        </w:rPr>
        <w:t>Investīciju naudas plūsma bez projekta</w:t>
      </w:r>
      <w:bookmarkEnd w:id="16"/>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0C105675" w:rsidR="008C3B1D" w:rsidRPr="004914B1" w:rsidRDefault="0022408E" w:rsidP="004914B1">
      <w:pPr>
        <w:jc w:val="both"/>
        <w:rPr>
          <w:rFonts w:ascii="Times New Roman" w:hAnsi="Times New Roman" w:cs="Times New Roman"/>
          <w:sz w:val="24"/>
          <w:szCs w:val="24"/>
        </w:rPr>
      </w:pPr>
      <w:r>
        <w:rPr>
          <w:rFonts w:ascii="Times New Roman" w:hAnsi="Times New Roman" w:cs="Times New Roman"/>
          <w:sz w:val="24"/>
          <w:szCs w:val="24"/>
        </w:rPr>
        <w:t>1.d</w:t>
      </w:r>
      <w:r w:rsidR="008C3B1D" w:rsidRP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008C3B1D" w:rsidRP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008C3B1D" w:rsidRP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008C3B1D" w:rsidRPr="008C3B1D">
        <w:rPr>
          <w:rFonts w:ascii="Times New Roman" w:hAnsi="Times New Roman" w:cs="Times New Roman"/>
          <w:sz w:val="24"/>
          <w:szCs w:val="24"/>
        </w:rPr>
        <w:t>202</w:t>
      </w:r>
      <w:r w:rsidR="00372348">
        <w:rPr>
          <w:rFonts w:ascii="Times New Roman" w:hAnsi="Times New Roman" w:cs="Times New Roman"/>
          <w:sz w:val="24"/>
          <w:szCs w:val="24"/>
        </w:rPr>
        <w:t>4</w:t>
      </w:r>
      <w:r w:rsidR="008C3B1D" w:rsidRPr="008C3B1D">
        <w:rPr>
          <w:rFonts w:ascii="Times New Roman" w:hAnsi="Times New Roman" w:cs="Times New Roman"/>
          <w:sz w:val="24"/>
          <w:szCs w:val="24"/>
        </w:rPr>
        <w:t>.gada cenās</w:t>
      </w:r>
      <w:r w:rsidR="00D46466">
        <w:rPr>
          <w:rFonts w:ascii="Times New Roman" w:hAnsi="Times New Roman" w:cs="Times New Roman"/>
          <w:sz w:val="24"/>
          <w:szCs w:val="24"/>
        </w:rPr>
        <w:t>)</w:t>
      </w:r>
      <w:r w:rsidR="008C3B1D" w:rsidRP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008C3B1D" w:rsidRP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00A53272" w:rsidRPr="00A53272">
        <w:rPr>
          <w:rFonts w:ascii="Times New Roman" w:hAnsi="Times New Roman" w:cs="Times New Roman"/>
          <w:b/>
          <w:bCs/>
          <w:sz w:val="24"/>
          <w:szCs w:val="24"/>
        </w:rPr>
        <w:t>000,00).</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Virsraksts1"/>
        <w:numPr>
          <w:ilvl w:val="2"/>
          <w:numId w:val="32"/>
        </w:numPr>
        <w:rPr>
          <w:rFonts w:ascii="Times New Roman" w:hAnsi="Times New Roman" w:cs="Times New Roman"/>
          <w:b/>
          <w:bCs/>
          <w:color w:val="auto"/>
          <w:sz w:val="28"/>
          <w:szCs w:val="28"/>
        </w:rPr>
      </w:pPr>
      <w:bookmarkStart w:id="17" w:name="_Toc185622457"/>
      <w:r w:rsidRPr="00596D47">
        <w:rPr>
          <w:rFonts w:ascii="Times New Roman" w:hAnsi="Times New Roman" w:cs="Times New Roman"/>
          <w:b/>
          <w:bCs/>
          <w:color w:val="auto"/>
          <w:sz w:val="28"/>
          <w:szCs w:val="28"/>
        </w:rPr>
        <w:t>Investīciju naudas plūsma ar projektu</w:t>
      </w:r>
      <w:bookmarkEnd w:id="17"/>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8"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8"/>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4F153C07" w:rsidR="00E6581F" w:rsidRPr="00E6581F" w:rsidRDefault="0022408E" w:rsidP="00E6581F">
      <w:pPr>
        <w:jc w:val="both"/>
        <w:rPr>
          <w:rFonts w:ascii="Times New Roman" w:hAnsi="Times New Roman" w:cs="Times New Roman"/>
          <w:sz w:val="24"/>
          <w:szCs w:val="24"/>
        </w:rPr>
      </w:pPr>
      <w:r>
        <w:rPr>
          <w:rFonts w:ascii="Times New Roman" w:hAnsi="Times New Roman" w:cs="Times New Roman"/>
          <w:sz w:val="24"/>
          <w:szCs w:val="24"/>
        </w:rPr>
        <w:t>1.d</w:t>
      </w:r>
      <w:r w:rsidR="00E6581F" w:rsidRP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00E6581F" w:rsidRP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Ieņēmumus norāda kā pozitīvas vērtības (piemēram, 2000,00).</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lastRenderedPageBreak/>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Virsraksts1"/>
        <w:numPr>
          <w:ilvl w:val="2"/>
          <w:numId w:val="32"/>
        </w:numPr>
        <w:rPr>
          <w:rFonts w:ascii="Times New Roman" w:hAnsi="Times New Roman" w:cs="Times New Roman"/>
          <w:b/>
          <w:bCs/>
          <w:color w:val="auto"/>
          <w:sz w:val="28"/>
          <w:szCs w:val="28"/>
        </w:rPr>
      </w:pPr>
      <w:bookmarkStart w:id="19" w:name="_Toc185622458"/>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9"/>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20"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20"/>
      <w:r>
        <w:rPr>
          <w:rFonts w:ascii="Times New Roman" w:hAnsi="Times New Roman" w:cs="Times New Roman"/>
          <w:sz w:val="24"/>
          <w:szCs w:val="24"/>
        </w:rPr>
        <w:t>;</w:t>
      </w:r>
    </w:p>
    <w:p w14:paraId="53D6B9D9" w14:textId="7DFC7346" w:rsidR="004201D0" w:rsidRDefault="00C1129F"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3363756A" w14:textId="67465E9B" w:rsidR="004201D0" w:rsidRDefault="004201D0" w:rsidP="00C1129F">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00C1129F" w:rsidRP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14:paraId="4BEA130B" w14:textId="66D2FB7F" w:rsidR="00C1129F" w:rsidRDefault="00C1129F" w:rsidP="00C1129F">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lastRenderedPageBreak/>
        <w:t>pozīcij</w:t>
      </w:r>
      <w:r w:rsidR="007C63D1">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7C63D1">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354DC88A" w14:textId="26292DE5" w:rsidR="008417F8" w:rsidRPr="008417F8" w:rsidRDefault="008417F8" w:rsidP="008417F8">
      <w:pPr>
        <w:pStyle w:val="Sarakstarindkopa"/>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pozīcijas “1.</w:t>
      </w:r>
      <w:r w:rsidR="00F327C7">
        <w:rPr>
          <w:rFonts w:ascii="Times New Roman" w:hAnsi="Times New Roman" w:cs="Times New Roman"/>
          <w:sz w:val="24"/>
          <w:szCs w:val="24"/>
        </w:rPr>
        <w:t>7</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proofErr w:type="spellStart"/>
      <w:r w:rsidR="00F351B6">
        <w:rPr>
          <w:rFonts w:ascii="Times New Roman" w:hAnsi="Times New Roman" w:cs="Times New Roman"/>
          <w:sz w:val="24"/>
          <w:szCs w:val="24"/>
        </w:rPr>
        <w:t>Invest.izmaksām</w:t>
      </w:r>
      <w:proofErr w:type="spellEnd"/>
      <w:r w:rsidR="00F351B6">
        <w:rPr>
          <w:rFonts w:ascii="Times New Roman" w:hAnsi="Times New Roman" w:cs="Times New Roman"/>
          <w:sz w:val="24"/>
          <w:szCs w:val="24"/>
        </w:rPr>
        <w:t>)</w:t>
      </w:r>
      <w:r w:rsidRPr="008417F8">
        <w:rPr>
          <w:rFonts w:ascii="Times New Roman" w:hAnsi="Times New Roman" w:cs="Times New Roman"/>
          <w:sz w:val="24"/>
          <w:szCs w:val="24"/>
        </w:rPr>
        <w:t>” un “1.</w:t>
      </w:r>
      <w:r w:rsidR="00F351B6">
        <w:rPr>
          <w:rFonts w:ascii="Times New Roman" w:hAnsi="Times New Roman" w:cs="Times New Roman"/>
          <w:sz w:val="24"/>
          <w:szCs w:val="24"/>
        </w:rPr>
        <w:t>9</w:t>
      </w:r>
      <w:r w:rsidRPr="008417F8">
        <w:rPr>
          <w:rFonts w:ascii="Times New Roman" w:hAnsi="Times New Roman" w:cs="Times New Roman"/>
          <w:sz w:val="24"/>
          <w:szCs w:val="24"/>
        </w:rPr>
        <w:t xml:space="preserve">. </w:t>
      </w:r>
      <w:r w:rsidR="00F351B6">
        <w:rPr>
          <w:rFonts w:ascii="Times New Roman" w:hAnsi="Times New Roman" w:cs="Times New Roman"/>
          <w:sz w:val="24"/>
          <w:szCs w:val="24"/>
        </w:rPr>
        <w:t>Cits publiskais finansējums</w:t>
      </w:r>
      <w:r w:rsidRPr="008417F8">
        <w:rPr>
          <w:rFonts w:ascii="Times New Roman" w:hAnsi="Times New Roman" w:cs="Times New Roman"/>
          <w:sz w:val="24"/>
          <w:szCs w:val="24"/>
        </w:rPr>
        <w:t>”  projekta iesniedzējs neaizpilda, jo tajās automātiski ģenerējas iznākums, ņemot vērā izklājlapā “9. DL PI</w:t>
      </w:r>
      <w:r w:rsidR="00685C4A">
        <w:rPr>
          <w:rFonts w:ascii="Times New Roman" w:hAnsi="Times New Roman" w:cs="Times New Roman"/>
          <w:sz w:val="24"/>
          <w:szCs w:val="24"/>
        </w:rPr>
        <w:t xml:space="preserve"> </w:t>
      </w:r>
      <w:proofErr w:type="spellStart"/>
      <w:r w:rsidR="00685C4A">
        <w:rPr>
          <w:rFonts w:ascii="Times New Roman" w:hAnsi="Times New Roman" w:cs="Times New Roman"/>
          <w:sz w:val="24"/>
          <w:szCs w:val="24"/>
        </w:rPr>
        <w:t>Fin.plans</w:t>
      </w:r>
      <w:proofErr w:type="spellEnd"/>
      <w:r w:rsidRPr="008417F8">
        <w:rPr>
          <w:rFonts w:ascii="Times New Roman" w:hAnsi="Times New Roman" w:cs="Times New Roman"/>
          <w:sz w:val="24"/>
          <w:szCs w:val="24"/>
        </w:rPr>
        <w:t>”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14:paraId="68FAD6F4" w14:textId="4E42CDE6" w:rsidR="008417F8" w:rsidRPr="00633F94" w:rsidRDefault="00F351B6"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79619A">
        <w:rPr>
          <w:rFonts w:ascii="Times New Roman" w:hAnsi="Times New Roman" w:cs="Times New Roman"/>
          <w:sz w:val="24"/>
          <w:szCs w:val="24"/>
        </w:rPr>
        <w:t>8</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Sarakstarindkopa"/>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Sarakstarindkopa"/>
        <w:numPr>
          <w:ilvl w:val="0"/>
          <w:numId w:val="21"/>
        </w:numPr>
        <w:jc w:val="both"/>
        <w:rPr>
          <w:rFonts w:ascii="Times New Roman" w:hAnsi="Times New Roman" w:cs="Times New Roman"/>
          <w:sz w:val="24"/>
          <w:szCs w:val="24"/>
        </w:rPr>
      </w:pPr>
      <w:bookmarkStart w:id="21"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1"/>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Sarakstarindkopa"/>
        <w:numPr>
          <w:ilvl w:val="0"/>
          <w:numId w:val="21"/>
        </w:numPr>
        <w:jc w:val="both"/>
        <w:rPr>
          <w:rFonts w:ascii="Times New Roman" w:hAnsi="Times New Roman" w:cs="Times New Roman"/>
          <w:sz w:val="24"/>
          <w:szCs w:val="24"/>
        </w:rPr>
      </w:pPr>
      <w:bookmarkStart w:id="22"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2"/>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Sarakstarindkopa"/>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622F5150" w14:textId="77777777" w:rsidR="00594617" w:rsidRDefault="00594617" w:rsidP="00830E5A">
      <w:pPr>
        <w:jc w:val="both"/>
        <w:rPr>
          <w:rFonts w:ascii="Times New Roman" w:hAnsi="Times New Roman" w:cs="Times New Roman"/>
          <w:b/>
          <w:sz w:val="24"/>
          <w:szCs w:val="24"/>
        </w:rPr>
      </w:pPr>
    </w:p>
    <w:p w14:paraId="1EBECC82" w14:textId="30E9D677" w:rsidR="00BA6FB9" w:rsidRPr="00596D47" w:rsidRDefault="00BA6FB9" w:rsidP="00596D47">
      <w:pPr>
        <w:pStyle w:val="Virsraksts1"/>
        <w:numPr>
          <w:ilvl w:val="2"/>
          <w:numId w:val="32"/>
        </w:numPr>
        <w:rPr>
          <w:rFonts w:ascii="Times New Roman" w:hAnsi="Times New Roman" w:cs="Times New Roman"/>
          <w:b/>
          <w:bCs/>
          <w:color w:val="auto"/>
          <w:sz w:val="28"/>
          <w:szCs w:val="28"/>
        </w:rPr>
      </w:pPr>
      <w:bookmarkStart w:id="23" w:name="_Toc185622459"/>
      <w:r w:rsidRPr="00596D47">
        <w:rPr>
          <w:rFonts w:ascii="Times New Roman" w:hAnsi="Times New Roman" w:cs="Times New Roman"/>
          <w:b/>
          <w:bCs/>
          <w:color w:val="auto"/>
          <w:sz w:val="28"/>
          <w:szCs w:val="28"/>
        </w:rPr>
        <w:t>Sociālekonomiskā analīze</w:t>
      </w:r>
      <w:bookmarkEnd w:id="23"/>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Sarakstarindkopa"/>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59EBFF61" w:rsidR="00A46785" w:rsidRPr="009504F0" w:rsidRDefault="00A46785" w:rsidP="006761DB">
      <w:pPr>
        <w:pStyle w:val="Sarakstarindkopa"/>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lastRenderedPageBreak/>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4" w:name="_Hlk95923640"/>
      <w:r w:rsidR="006F293A" w:rsidRPr="00F2781D">
        <w:rPr>
          <w:rFonts w:ascii="Times New Roman" w:hAnsi="Times New Roman" w:cs="Times New Roman"/>
          <w:b/>
          <w:bCs/>
          <w:sz w:val="24"/>
          <w:szCs w:val="24"/>
        </w:rPr>
        <w:t xml:space="preserve">projekta investīciju ieviešanas periodā </w:t>
      </w:r>
      <w:bookmarkEnd w:id="24"/>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5"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2EDD78F0" w:rsidR="00863302"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6" w:name="_Hlk96415656"/>
      <w:r w:rsidR="009557A6" w:rsidRPr="009504F0">
        <w:rPr>
          <w:rFonts w:ascii="Times New Roman" w:hAnsi="Times New Roman" w:cs="Times New Roman"/>
          <w:sz w:val="24"/>
          <w:szCs w:val="24"/>
        </w:rPr>
        <w:t xml:space="preserve">makroekonomiskajiem pieņēmumiem un prognozēm </w:t>
      </w:r>
      <w:bookmarkEnd w:id="26"/>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1" w:history="1">
        <w:r w:rsidR="00B4252C" w:rsidRPr="009504F0">
          <w:rPr>
            <w:rStyle w:val="Hipersaite"/>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14:paraId="45BD12F4" w14:textId="77777777" w:rsidR="00594617" w:rsidRPr="009504F0" w:rsidRDefault="00594617" w:rsidP="009504F0">
      <w:pPr>
        <w:jc w:val="both"/>
        <w:rPr>
          <w:rFonts w:ascii="Times New Roman" w:hAnsi="Times New Roman" w:cs="Times New Roman"/>
          <w:sz w:val="24"/>
          <w:szCs w:val="24"/>
        </w:rPr>
      </w:pPr>
    </w:p>
    <w:p w14:paraId="3890ACDD" w14:textId="27283E9E"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27" w:name="_Toc185622460"/>
      <w:bookmarkEnd w:id="25"/>
      <w:r w:rsidRPr="00596D47">
        <w:rPr>
          <w:rFonts w:ascii="Times New Roman" w:hAnsi="Times New Roman" w:cs="Times New Roman"/>
          <w:b/>
          <w:bCs/>
          <w:color w:val="auto"/>
          <w:sz w:val="28"/>
          <w:szCs w:val="28"/>
        </w:rPr>
        <w:t>Finanšu analīze</w:t>
      </w:r>
      <w:bookmarkEnd w:id="27"/>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Sarakstarindkopa"/>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8"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8"/>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lastRenderedPageBreak/>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2" w:history="1">
        <w:r w:rsidRPr="00561DFA">
          <w:rPr>
            <w:rStyle w:val="Hipersaite"/>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3DEE3DD2" w14:textId="77777777" w:rsidR="00594617" w:rsidRPr="00561DFA" w:rsidRDefault="00594617" w:rsidP="00561DFA">
      <w:pPr>
        <w:jc w:val="both"/>
        <w:rPr>
          <w:rFonts w:ascii="Times New Roman" w:hAnsi="Times New Roman" w:cs="Times New Roman"/>
          <w:sz w:val="24"/>
          <w:szCs w:val="24"/>
        </w:rPr>
      </w:pPr>
    </w:p>
    <w:p w14:paraId="7F78E5FA" w14:textId="32E1405D" w:rsidR="00432136" w:rsidRPr="00596D47" w:rsidRDefault="00CE00D0" w:rsidP="00596D47">
      <w:pPr>
        <w:pStyle w:val="Virsraksts1"/>
        <w:numPr>
          <w:ilvl w:val="2"/>
          <w:numId w:val="32"/>
        </w:numPr>
        <w:rPr>
          <w:rFonts w:ascii="Times New Roman" w:hAnsi="Times New Roman" w:cs="Times New Roman"/>
          <w:b/>
          <w:bCs/>
          <w:color w:val="auto"/>
          <w:sz w:val="28"/>
          <w:szCs w:val="28"/>
        </w:rPr>
      </w:pPr>
      <w:bookmarkStart w:id="29" w:name="_Toc185622461"/>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29"/>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Reatabula"/>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0AB5519E"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Jutīgum</w:t>
      </w:r>
      <w:r w:rsidR="00C5372D">
        <w:rPr>
          <w:rFonts w:ascii="Times New Roman" w:hAnsi="Times New Roman" w:cs="Times New Roman"/>
          <w:sz w:val="24"/>
        </w:rPr>
        <w:t>a</w:t>
      </w:r>
      <w:r w:rsidRPr="00A558CD">
        <w:rPr>
          <w:rFonts w:ascii="Times New Roman" w:hAnsi="Times New Roman" w:cs="Times New Roman"/>
          <w:sz w:val="24"/>
        </w:rPr>
        <w:t xml:space="preserve">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lastRenderedPageBreak/>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046F48E5" w14:textId="77777777" w:rsidR="00594617" w:rsidRDefault="00594617" w:rsidP="00413C2E">
      <w:pPr>
        <w:jc w:val="both"/>
        <w:rPr>
          <w:rFonts w:ascii="Times New Roman" w:hAnsi="Times New Roman" w:cs="Times New Roman"/>
          <w:sz w:val="24"/>
          <w:szCs w:val="24"/>
        </w:rPr>
      </w:pPr>
    </w:p>
    <w:p w14:paraId="6B48CD54" w14:textId="2F734DF5"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30" w:name="_Toc185622462"/>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30"/>
    </w:p>
    <w:p w14:paraId="70C32497" w14:textId="13EAE9AA" w:rsidR="00C73ABA" w:rsidRDefault="00D84C82" w:rsidP="00D84C82">
      <w:pPr>
        <w:jc w:val="both"/>
        <w:rPr>
          <w:rFonts w:ascii="Times New Roman" w:hAnsi="Times New Roman" w:cs="Times New Roman"/>
          <w:sz w:val="24"/>
          <w:szCs w:val="24"/>
        </w:rPr>
      </w:pPr>
      <w:bookmarkStart w:id="31"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8D2E7D">
        <w:rPr>
          <w:rFonts w:ascii="Times New Roman" w:hAnsi="Times New Roman" w:cs="Times New Roman"/>
          <w:sz w:val="24"/>
          <w:szCs w:val="24"/>
        </w:rPr>
        <w:t>Fin.plans</w:t>
      </w:r>
      <w:proofErr w:type="spellEnd"/>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sadarbības partneriem un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31"/>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33C35C55" w14:textId="77777777" w:rsidR="00990122" w:rsidRDefault="00990122" w:rsidP="00925AFC">
      <w:pPr>
        <w:jc w:val="both"/>
        <w:rPr>
          <w:rFonts w:ascii="Times New Roman" w:hAnsi="Times New Roman" w:cs="Times New Roman"/>
          <w:sz w:val="24"/>
          <w:szCs w:val="24"/>
        </w:rPr>
      </w:pPr>
      <w:r w:rsidRPr="00990122">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Virsraksts1"/>
        <w:numPr>
          <w:ilvl w:val="2"/>
          <w:numId w:val="32"/>
        </w:numPr>
        <w:rPr>
          <w:rFonts w:ascii="Times New Roman" w:hAnsi="Times New Roman" w:cs="Times New Roman"/>
          <w:b/>
          <w:bCs/>
          <w:color w:val="auto"/>
          <w:sz w:val="28"/>
          <w:szCs w:val="28"/>
        </w:rPr>
      </w:pPr>
      <w:bookmarkStart w:id="32" w:name="_Toc185622463"/>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2"/>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735C02">
        <w:t xml:space="preserve"> </w:t>
      </w:r>
      <w:r w:rsidRPr="00350771">
        <w:rPr>
          <w:rFonts w:ascii="Times New Roman" w:hAnsi="Times New Roman" w:cs="Times New Roman"/>
          <w:sz w:val="24"/>
          <w:szCs w:val="24"/>
        </w:rP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Default="00870FE0" w:rsidP="00870FE0">
      <w:pPr>
        <w:jc w:val="both"/>
        <w:rPr>
          <w:rFonts w:ascii="Times New Roman" w:hAnsi="Times New Roman" w:cs="Times New Roman"/>
          <w:b/>
          <w:sz w:val="28"/>
          <w:szCs w:val="28"/>
        </w:rPr>
      </w:pPr>
    </w:p>
    <w:p w14:paraId="0E73404D" w14:textId="77777777" w:rsidR="00795161" w:rsidRDefault="00795161" w:rsidP="00870FE0">
      <w:pPr>
        <w:jc w:val="both"/>
        <w:rPr>
          <w:rFonts w:ascii="Times New Roman" w:hAnsi="Times New Roman" w:cs="Times New Roman"/>
          <w:b/>
          <w:sz w:val="28"/>
          <w:szCs w:val="28"/>
        </w:rPr>
      </w:pPr>
    </w:p>
    <w:p w14:paraId="3603BA22" w14:textId="77777777" w:rsidR="00795161" w:rsidRDefault="00795161" w:rsidP="00870FE0">
      <w:pPr>
        <w:jc w:val="both"/>
        <w:rPr>
          <w:rFonts w:ascii="Times New Roman" w:hAnsi="Times New Roman" w:cs="Times New Roman"/>
          <w:b/>
          <w:sz w:val="28"/>
          <w:szCs w:val="28"/>
        </w:rPr>
      </w:pPr>
    </w:p>
    <w:p w14:paraId="5CE2C9A3" w14:textId="77777777" w:rsidR="00795161" w:rsidRPr="00DB1761" w:rsidRDefault="00795161" w:rsidP="00870FE0">
      <w:pPr>
        <w:jc w:val="both"/>
        <w:rPr>
          <w:rFonts w:ascii="Times New Roman" w:hAnsi="Times New Roman" w:cs="Times New Roman"/>
          <w:b/>
          <w:sz w:val="28"/>
          <w:szCs w:val="28"/>
        </w:rPr>
      </w:pPr>
    </w:p>
    <w:p w14:paraId="5408E2BA" w14:textId="61CE5ABB" w:rsidR="0060686B" w:rsidRPr="00596D47" w:rsidRDefault="00D348C5" w:rsidP="00596D47">
      <w:pPr>
        <w:pStyle w:val="Virsraksts1"/>
        <w:numPr>
          <w:ilvl w:val="2"/>
          <w:numId w:val="32"/>
        </w:numPr>
        <w:rPr>
          <w:rFonts w:ascii="Times New Roman" w:hAnsi="Times New Roman" w:cs="Times New Roman"/>
          <w:b/>
          <w:bCs/>
          <w:color w:val="auto"/>
          <w:sz w:val="28"/>
          <w:szCs w:val="28"/>
        </w:rPr>
      </w:pPr>
      <w:bookmarkStart w:id="33" w:name="_Toc185622464"/>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3"/>
    </w:p>
    <w:p w14:paraId="155155FA" w14:textId="26B0682C" w:rsidR="00B50372" w:rsidRDefault="00B50372" w:rsidP="00B50372">
      <w:pPr>
        <w:jc w:val="both"/>
        <w:rPr>
          <w:rFonts w:ascii="Times New Roman" w:hAnsi="Times New Roman" w:cs="Times New Roman"/>
          <w:sz w:val="24"/>
          <w:szCs w:val="24"/>
        </w:rPr>
      </w:pPr>
      <w:bookmarkStart w:id="34"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4"/>
      <w:r w:rsidR="00987670" w:rsidRPr="00987670">
        <w:rPr>
          <w:rFonts w:ascii="Times New Roman" w:hAnsi="Times New Roman" w:cs="Times New Roman"/>
          <w:sz w:val="24"/>
          <w:szCs w:val="24"/>
        </w:rPr>
        <w:t>.</w:t>
      </w:r>
    </w:p>
    <w:tbl>
      <w:tblPr>
        <w:tblStyle w:val="Reatabula"/>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lastRenderedPageBreak/>
        <w:t>Laukos, kuros nav oranžais tonējums, vērtības tiek aprēķinātas automātiski.</w:t>
      </w:r>
    </w:p>
    <w:p w14:paraId="47419ADA"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b/>
          <w:bCs/>
          <w:sz w:val="24"/>
          <w:szCs w:val="24"/>
        </w:rPr>
        <w:t xml:space="preserve">Sadaļas “I. Finanšu analīze” 1.punktā </w:t>
      </w:r>
      <w:r w:rsidRPr="008A35E2">
        <w:rPr>
          <w:rFonts w:ascii="Times New Roman" w:eastAsia="Calibri" w:hAnsi="Times New Roman"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8A35E2" w:rsidRDefault="00B50372" w:rsidP="00B50372">
      <w:pPr>
        <w:tabs>
          <w:tab w:val="left" w:pos="1545"/>
        </w:tabs>
        <w:spacing w:before="60" w:after="0" w:line="240" w:lineRule="auto"/>
        <w:jc w:val="right"/>
        <w:rPr>
          <w:rFonts w:ascii="Times New Roman" w:eastAsia="Calibri" w:hAnsi="Times New Roman" w:cs="Times New Roman"/>
          <w:sz w:val="24"/>
          <w:szCs w:val="24"/>
        </w:rPr>
      </w:pPr>
      <w:r w:rsidRPr="008A35E2">
        <w:rPr>
          <w:rFonts w:ascii="Times New Roman" w:eastAsia="Calibri" w:hAnsi="Times New Roman" w:cs="Times New Roman"/>
          <w:sz w:val="24"/>
          <w:szCs w:val="24"/>
        </w:rPr>
        <w:t>1.attēls</w:t>
      </w:r>
    </w:p>
    <w:p w14:paraId="03B763E0" w14:textId="77777777" w:rsidR="00B50372" w:rsidRPr="008A35E2" w:rsidRDefault="00B50372" w:rsidP="00B50372">
      <w:pPr>
        <w:jc w:val="both"/>
        <w:rPr>
          <w:rFonts w:ascii="Times New Roman" w:hAnsi="Times New Roman" w:cs="Times New Roman"/>
          <w:sz w:val="24"/>
        </w:rPr>
      </w:pPr>
      <w:r w:rsidRPr="008A35E2">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3"/>
                    <a:stretch>
                      <a:fillRect/>
                    </a:stretch>
                  </pic:blipFill>
                  <pic:spPr>
                    <a:xfrm>
                      <a:off x="0" y="0"/>
                      <a:ext cx="6119495" cy="1814195"/>
                    </a:xfrm>
                    <a:prstGeom prst="rect">
                      <a:avLst/>
                    </a:prstGeom>
                  </pic:spPr>
                </pic:pic>
              </a:graphicData>
            </a:graphic>
          </wp:inline>
        </w:drawing>
      </w:r>
    </w:p>
    <w:p w14:paraId="2D7F4631"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Plānotā projekta raksturojums, projekta mērķi;</w:t>
      </w:r>
    </w:p>
    <w:p w14:paraId="06B49A06"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Esošās situācijas raksturojums;</w:t>
      </w:r>
    </w:p>
    <w:p w14:paraId="598591F3"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Informācija par alternatīvām, to izvēles procesu, detalizēta informācija par izvēlēto alternatīvu(</w:t>
      </w:r>
      <w:r w:rsidRPr="008A35E2">
        <w:rPr>
          <w:rFonts w:ascii="Times New Roman" w:eastAsia="Calibri" w:hAnsi="Times New Roman" w:cs="Times New Roman"/>
          <w:sz w:val="24"/>
          <w:szCs w:val="24"/>
          <w:lang w:val="pl-PL"/>
        </w:rPr>
        <w:t>situācijas apraksts ar projektu / bez projekta</w:t>
      </w:r>
      <w:r w:rsidRPr="008A35E2">
        <w:rPr>
          <w:rFonts w:ascii="Times New Roman" w:eastAsia="Calibri" w:hAnsi="Times New Roman" w:cs="Times New Roman"/>
          <w:sz w:val="24"/>
          <w:szCs w:val="24"/>
        </w:rPr>
        <w:t xml:space="preserve">); </w:t>
      </w:r>
    </w:p>
    <w:p w14:paraId="743CF2D6"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Ar projektu saistītās veiktās priekšizpētes (ja tādas ir veiktas);</w:t>
      </w:r>
    </w:p>
    <w:p w14:paraId="613CFA98"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Kādi makroekonomiskie rādītāji ir izmantoti finanšu analīzē;</w:t>
      </w:r>
    </w:p>
    <w:p w14:paraId="7B6686FC"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Aprēķinu periodu;</w:t>
      </w:r>
    </w:p>
    <w:p w14:paraId="275575B9"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Sadaļu var papildināt arī ar citu atbilstošu un ar projektu saistītu informāciju, pēc projekta iesniedzēja ieskatiem.</w:t>
      </w:r>
    </w:p>
    <w:p w14:paraId="3FB988D4" w14:textId="77777777" w:rsidR="00B50372" w:rsidRPr="008A35E2" w:rsidRDefault="00B50372" w:rsidP="00B50372">
      <w:pPr>
        <w:jc w:val="both"/>
        <w:rPr>
          <w:rFonts w:ascii="Times New Roman" w:hAnsi="Times New Roman" w:cs="Times New Roman"/>
          <w:sz w:val="24"/>
          <w:szCs w:val="24"/>
        </w:rPr>
      </w:pPr>
    </w:p>
    <w:p w14:paraId="1C4B8F15" w14:textId="77777777" w:rsidR="00B50372" w:rsidRDefault="00B50372" w:rsidP="00B50372">
      <w:pPr>
        <w:jc w:val="both"/>
        <w:rPr>
          <w:rFonts w:ascii="Times New Roman" w:eastAsia="Calibri" w:hAnsi="Times New Roman" w:cs="Times New Roman"/>
          <w:sz w:val="24"/>
          <w:szCs w:val="24"/>
        </w:rPr>
      </w:pPr>
      <w:r w:rsidRPr="008A35E2">
        <w:rPr>
          <w:rFonts w:ascii="Times New Roman" w:eastAsia="Calibri" w:hAnsi="Times New Roman" w:cs="Times New Roman"/>
          <w:b/>
          <w:bCs/>
          <w:sz w:val="24"/>
          <w:szCs w:val="24"/>
        </w:rPr>
        <w:t>Sadaļas “I. Finanšu analīze” 2.punktā</w:t>
      </w:r>
      <w:r w:rsidRPr="008A35E2">
        <w:rPr>
          <w:rFonts w:ascii="Times New Roman" w:eastAsia="Calibri" w:hAnsi="Times New Roman" w:cs="Times New Roman"/>
          <w:sz w:val="24"/>
          <w:szCs w:val="24"/>
        </w:rPr>
        <w:t xml:space="preserve"> (2.attēls) “Galvenie elementi un parametri, ko izmanto IIA finanšu analīzei” </w:t>
      </w:r>
      <w:r w:rsidRPr="008A35E2">
        <w:rPr>
          <w:rFonts w:ascii="Times New Roman" w:eastAsia="Calibri" w:hAnsi="Times New Roman" w:cs="Times New Roman"/>
          <w:b/>
          <w:bCs/>
          <w:sz w:val="24"/>
          <w:szCs w:val="24"/>
        </w:rPr>
        <w:t>un 3.punktā</w:t>
      </w:r>
      <w:r w:rsidRPr="008A35E2">
        <w:rPr>
          <w:rFonts w:ascii="Times New Roman" w:eastAsia="Calibri" w:hAnsi="Times New Roman" w:cs="Times New Roman"/>
          <w:sz w:val="24"/>
          <w:szCs w:val="24"/>
        </w:rPr>
        <w:t xml:space="preserve"> “Finanšu analīzes galvenie rādītāji saskaņā ar IIA dokumentu” aprēķini notiek automatizēti. Papildus informācijas ievade nav nepieciešama.</w:t>
      </w:r>
    </w:p>
    <w:p w14:paraId="370FABE3" w14:textId="77777777" w:rsidR="00795161" w:rsidRDefault="00795161" w:rsidP="00B50372">
      <w:pPr>
        <w:jc w:val="both"/>
        <w:rPr>
          <w:rFonts w:ascii="Times New Roman" w:eastAsia="Calibri" w:hAnsi="Times New Roman" w:cs="Times New Roman"/>
          <w:sz w:val="24"/>
          <w:szCs w:val="24"/>
        </w:rPr>
      </w:pPr>
    </w:p>
    <w:p w14:paraId="373FB1E2" w14:textId="77777777" w:rsidR="00795161" w:rsidRDefault="00795161" w:rsidP="00B50372">
      <w:pPr>
        <w:jc w:val="both"/>
        <w:rPr>
          <w:rFonts w:ascii="Times New Roman" w:eastAsia="Calibri" w:hAnsi="Times New Roman" w:cs="Times New Roman"/>
          <w:sz w:val="24"/>
          <w:szCs w:val="24"/>
        </w:rPr>
      </w:pPr>
    </w:p>
    <w:p w14:paraId="6152B417" w14:textId="77777777" w:rsidR="00795161" w:rsidRPr="008A35E2" w:rsidRDefault="00795161" w:rsidP="00B50372">
      <w:pPr>
        <w:jc w:val="both"/>
        <w:rPr>
          <w:rFonts w:ascii="Times New Roman" w:hAnsi="Times New Roman" w:cs="Times New Roman"/>
          <w:sz w:val="24"/>
          <w:szCs w:val="24"/>
        </w:rPr>
      </w:pPr>
    </w:p>
    <w:p w14:paraId="19BCE176" w14:textId="77777777" w:rsidR="00B50372" w:rsidRPr="008A35E2" w:rsidRDefault="00B50372" w:rsidP="00B50372">
      <w:pPr>
        <w:tabs>
          <w:tab w:val="left" w:pos="1545"/>
        </w:tabs>
        <w:spacing w:before="60" w:after="0" w:line="240" w:lineRule="auto"/>
        <w:jc w:val="right"/>
        <w:rPr>
          <w:rFonts w:ascii="Times New Roman" w:eastAsia="Calibri" w:hAnsi="Times New Roman" w:cs="Times New Roman"/>
          <w:sz w:val="24"/>
          <w:szCs w:val="24"/>
        </w:rPr>
      </w:pPr>
      <w:r w:rsidRPr="008A35E2">
        <w:rPr>
          <w:rFonts w:ascii="Times New Roman" w:eastAsia="Calibri" w:hAnsi="Times New Roman" w:cs="Times New Roman"/>
          <w:sz w:val="24"/>
          <w:szCs w:val="24"/>
        </w:rPr>
        <w:t>2.attēls</w:t>
      </w:r>
    </w:p>
    <w:p w14:paraId="7E22349E" w14:textId="194D505B" w:rsidR="00B50372" w:rsidRPr="008A35E2" w:rsidRDefault="00D80145" w:rsidP="00B50372">
      <w:pPr>
        <w:jc w:val="both"/>
        <w:rPr>
          <w:rFonts w:ascii="Times New Roman" w:hAnsi="Times New Roman" w:cs="Times New Roman"/>
          <w:sz w:val="24"/>
          <w:szCs w:val="24"/>
        </w:rPr>
      </w:pPr>
      <w:r w:rsidRPr="008A35E2">
        <w:rPr>
          <w:noProof/>
        </w:rPr>
        <w:lastRenderedPageBreak/>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4"/>
                    <a:stretch>
                      <a:fillRect/>
                    </a:stretch>
                  </pic:blipFill>
                  <pic:spPr>
                    <a:xfrm>
                      <a:off x="0" y="0"/>
                      <a:ext cx="6119495" cy="4397375"/>
                    </a:xfrm>
                    <a:prstGeom prst="rect">
                      <a:avLst/>
                    </a:prstGeom>
                  </pic:spPr>
                </pic:pic>
              </a:graphicData>
            </a:graphic>
          </wp:inline>
        </w:drawing>
      </w:r>
    </w:p>
    <w:p w14:paraId="7B3CCD65" w14:textId="77777777" w:rsidR="00DF5219" w:rsidRPr="008A35E2" w:rsidRDefault="00DF5219" w:rsidP="00B50372">
      <w:pPr>
        <w:jc w:val="both"/>
        <w:rPr>
          <w:rFonts w:ascii="Times New Roman" w:eastAsia="Calibri" w:hAnsi="Times New Roman" w:cs="Times New Roman"/>
          <w:b/>
          <w:bCs/>
          <w:sz w:val="24"/>
          <w:szCs w:val="24"/>
        </w:rPr>
      </w:pPr>
    </w:p>
    <w:p w14:paraId="38E2E4E0" w14:textId="77777777" w:rsidR="00DF5219" w:rsidRPr="008A35E2" w:rsidRDefault="00DF5219" w:rsidP="00B50372">
      <w:pPr>
        <w:jc w:val="both"/>
        <w:rPr>
          <w:rFonts w:ascii="Times New Roman" w:eastAsia="Calibri" w:hAnsi="Times New Roman" w:cs="Times New Roman"/>
          <w:b/>
          <w:bCs/>
          <w:sz w:val="24"/>
          <w:szCs w:val="24"/>
        </w:rPr>
      </w:pPr>
    </w:p>
    <w:p w14:paraId="26082145" w14:textId="77777777" w:rsidR="00DF5219" w:rsidRPr="008A35E2" w:rsidRDefault="00DF5219" w:rsidP="00B50372">
      <w:pPr>
        <w:jc w:val="both"/>
        <w:rPr>
          <w:rFonts w:ascii="Times New Roman" w:eastAsia="Calibri" w:hAnsi="Times New Roman" w:cs="Times New Roman"/>
          <w:b/>
          <w:bCs/>
          <w:sz w:val="24"/>
          <w:szCs w:val="24"/>
        </w:rPr>
      </w:pPr>
    </w:p>
    <w:p w14:paraId="01499FEB" w14:textId="737BEAAE" w:rsidR="00B50372" w:rsidRPr="008A35E2" w:rsidRDefault="00B50372" w:rsidP="00B50372">
      <w:pPr>
        <w:jc w:val="both"/>
        <w:rPr>
          <w:rFonts w:ascii="Times New Roman" w:eastAsia="Calibri" w:hAnsi="Times New Roman" w:cs="Times New Roman"/>
          <w:sz w:val="24"/>
          <w:szCs w:val="24"/>
        </w:rPr>
      </w:pPr>
      <w:r w:rsidRPr="008A35E2">
        <w:rPr>
          <w:rFonts w:ascii="Times New Roman" w:eastAsia="Calibri" w:hAnsi="Times New Roman" w:cs="Times New Roman"/>
          <w:b/>
          <w:bCs/>
          <w:sz w:val="24"/>
          <w:szCs w:val="24"/>
        </w:rPr>
        <w:t>Sadaļas “II. Ekonomiskā analīze” 1.punktā</w:t>
      </w:r>
      <w:r w:rsidRPr="008A35E2">
        <w:rPr>
          <w:rFonts w:ascii="Times New Roman" w:eastAsia="Calibri" w:hAnsi="Times New Roman"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8A35E2" w:rsidRDefault="00B50372" w:rsidP="00B50372">
      <w:pPr>
        <w:jc w:val="right"/>
        <w:rPr>
          <w:rFonts w:ascii="Times New Roman" w:eastAsia="Calibri" w:hAnsi="Times New Roman" w:cs="Times New Roman"/>
          <w:sz w:val="24"/>
          <w:szCs w:val="24"/>
        </w:rPr>
      </w:pPr>
      <w:r w:rsidRPr="008A35E2">
        <w:rPr>
          <w:rFonts w:ascii="Times New Roman" w:eastAsia="Calibri" w:hAnsi="Times New Roman" w:cs="Times New Roman"/>
          <w:sz w:val="24"/>
          <w:szCs w:val="24"/>
        </w:rPr>
        <w:t>3.attēls</w:t>
      </w:r>
    </w:p>
    <w:p w14:paraId="138B51A6" w14:textId="77777777" w:rsidR="00B50372" w:rsidRPr="008A35E2" w:rsidRDefault="00B50372" w:rsidP="00B50372">
      <w:pPr>
        <w:jc w:val="both"/>
        <w:rPr>
          <w:rFonts w:ascii="Times New Roman" w:hAnsi="Times New Roman" w:cs="Times New Roman"/>
          <w:sz w:val="24"/>
          <w:szCs w:val="24"/>
        </w:rPr>
      </w:pPr>
      <w:r w:rsidRPr="008A35E2">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5"/>
                    <a:stretch>
                      <a:fillRect/>
                    </a:stretch>
                  </pic:blipFill>
                  <pic:spPr>
                    <a:xfrm>
                      <a:off x="0" y="0"/>
                      <a:ext cx="6119495" cy="1441450"/>
                    </a:xfrm>
                    <a:prstGeom prst="rect">
                      <a:avLst/>
                    </a:prstGeom>
                  </pic:spPr>
                </pic:pic>
              </a:graphicData>
            </a:graphic>
          </wp:inline>
        </w:drawing>
      </w:r>
    </w:p>
    <w:p w14:paraId="62C8199D"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Kāds ir ekonomiskās analīzes mērķis;</w:t>
      </w:r>
    </w:p>
    <w:p w14:paraId="318B9874"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Kāda aprēķinu metode tika izmantota ekonomiskajā analīzē;</w:t>
      </w:r>
    </w:p>
    <w:p w14:paraId="53647866"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Kādi makroekonomiskie rādītāji ir izmantoti ekonomiskajā analīzē;</w:t>
      </w:r>
    </w:p>
    <w:p w14:paraId="506BCE39"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lastRenderedPageBreak/>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Ekonomiskā analīzē izmantotos sociāli ekonomiskos ieguvumus un kā tie tika noteikti, norādot atsauci uz atbilstošu metodiku;</w:t>
      </w:r>
    </w:p>
    <w:p w14:paraId="10371378"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Aprēķinu periodu;</w:t>
      </w:r>
    </w:p>
    <w:p w14:paraId="2BF29E63" w14:textId="77777777" w:rsidR="00B50372" w:rsidRPr="008A35E2" w:rsidRDefault="00B50372" w:rsidP="00B50372">
      <w:pPr>
        <w:numPr>
          <w:ilvl w:val="0"/>
          <w:numId w:val="36"/>
        </w:num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120D94E0"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b/>
          <w:bCs/>
          <w:sz w:val="24"/>
          <w:szCs w:val="24"/>
        </w:rPr>
        <w:t>Sadaļas “II. Ekonomiskā analīze” 2.punktā</w:t>
      </w:r>
      <w:r w:rsidRPr="008A35E2">
        <w:rPr>
          <w:rFonts w:ascii="Times New Roman" w:eastAsia="Calibri" w:hAnsi="Times New Roman" w:cs="Times New Roman"/>
          <w:sz w:val="24"/>
          <w:szCs w:val="24"/>
        </w:rPr>
        <w:t xml:space="preserve"> (4.attēls) “Informācija par ekonomiskajiem ieguvumiem un izmaksām” </w:t>
      </w:r>
      <w:r w:rsidRPr="008A35E2">
        <w:rPr>
          <w:rFonts w:ascii="Times New Roman" w:eastAsia="Calibri" w:hAnsi="Times New Roman" w:cs="Times New Roman"/>
          <w:b/>
          <w:bCs/>
          <w:sz w:val="24"/>
          <w:szCs w:val="24"/>
        </w:rPr>
        <w:t>un 3.punktā</w:t>
      </w:r>
      <w:r w:rsidRPr="008A35E2">
        <w:rPr>
          <w:rFonts w:ascii="Times New Roman" w:eastAsia="Calibri" w:hAnsi="Times New Roman"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76BF7359" w14:textId="48A5133E" w:rsidR="00B50372" w:rsidRPr="008A35E2" w:rsidRDefault="00B50372" w:rsidP="00B50372">
      <w:pPr>
        <w:jc w:val="right"/>
        <w:rPr>
          <w:rFonts w:ascii="Times New Roman" w:eastAsia="Calibri" w:hAnsi="Times New Roman" w:cs="Times New Roman"/>
          <w:sz w:val="24"/>
          <w:szCs w:val="24"/>
        </w:rPr>
      </w:pPr>
      <w:r w:rsidRPr="008A35E2">
        <w:rPr>
          <w:rFonts w:ascii="Times New Roman" w:eastAsia="Calibri" w:hAnsi="Times New Roman" w:cs="Times New Roman"/>
          <w:sz w:val="24"/>
          <w:szCs w:val="24"/>
        </w:rPr>
        <w:t>4.attēls</w:t>
      </w:r>
    </w:p>
    <w:p w14:paraId="29B91E49"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6"/>
                    <a:stretch>
                      <a:fillRect/>
                    </a:stretch>
                  </pic:blipFill>
                  <pic:spPr>
                    <a:xfrm>
                      <a:off x="0" y="0"/>
                      <a:ext cx="6119495" cy="3002915"/>
                    </a:xfrm>
                    <a:prstGeom prst="rect">
                      <a:avLst/>
                    </a:prstGeom>
                  </pic:spPr>
                </pic:pic>
              </a:graphicData>
            </a:graphic>
          </wp:inline>
        </w:drawing>
      </w:r>
    </w:p>
    <w:p w14:paraId="3DCBA139"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47F4E538"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b/>
          <w:bCs/>
          <w:sz w:val="24"/>
          <w:szCs w:val="24"/>
        </w:rPr>
        <w:lastRenderedPageBreak/>
        <w:t>Sadaļas “III. Riska novērtējums un jutīguma analīze” 1.punktā</w:t>
      </w:r>
      <w:r w:rsidRPr="008A35E2">
        <w:rPr>
          <w:rFonts w:ascii="Times New Roman" w:eastAsia="Calibri" w:hAnsi="Times New Roman" w:cs="Times New Roman"/>
          <w:sz w:val="24"/>
          <w:szCs w:val="24"/>
        </w:rPr>
        <w:t xml:space="preserve"> (5.attēls) “Risku analīzes kopsavilkums un galvenie identificētie riski”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0B50372">
      <w:pPr>
        <w:rPr>
          <w:rFonts w:ascii="Times New Roman" w:eastAsia="Calibri" w:hAnsi="Times New Roman" w:cs="Times New Roman"/>
          <w:sz w:val="24"/>
          <w:szCs w:val="24"/>
        </w:rPr>
      </w:pPr>
    </w:p>
    <w:p w14:paraId="2279F1F6" w14:textId="77777777" w:rsidR="00795161" w:rsidRDefault="00795161" w:rsidP="00B50372">
      <w:pPr>
        <w:rPr>
          <w:rFonts w:ascii="Times New Roman" w:eastAsia="Calibri" w:hAnsi="Times New Roman" w:cs="Times New Roman"/>
          <w:sz w:val="24"/>
          <w:szCs w:val="24"/>
        </w:rPr>
      </w:pPr>
    </w:p>
    <w:p w14:paraId="422DB721" w14:textId="77777777" w:rsidR="00795161" w:rsidRDefault="00795161" w:rsidP="00B50372">
      <w:pPr>
        <w:rPr>
          <w:rFonts w:ascii="Times New Roman" w:eastAsia="Calibri" w:hAnsi="Times New Roman" w:cs="Times New Roman"/>
          <w:sz w:val="24"/>
          <w:szCs w:val="24"/>
        </w:rPr>
      </w:pPr>
    </w:p>
    <w:p w14:paraId="5240F625" w14:textId="77777777" w:rsidR="00795161" w:rsidRDefault="00795161" w:rsidP="00B50372">
      <w:pPr>
        <w:rPr>
          <w:rFonts w:ascii="Times New Roman" w:eastAsia="Calibri" w:hAnsi="Times New Roman" w:cs="Times New Roman"/>
          <w:sz w:val="24"/>
          <w:szCs w:val="24"/>
        </w:rPr>
      </w:pPr>
    </w:p>
    <w:p w14:paraId="4337D23D" w14:textId="77777777" w:rsidR="00795161" w:rsidRDefault="00795161" w:rsidP="00B50372">
      <w:pPr>
        <w:rPr>
          <w:rFonts w:ascii="Times New Roman" w:eastAsia="Calibri" w:hAnsi="Times New Roman" w:cs="Times New Roman"/>
          <w:sz w:val="24"/>
          <w:szCs w:val="24"/>
        </w:rPr>
      </w:pPr>
    </w:p>
    <w:p w14:paraId="60233F1A" w14:textId="77777777" w:rsidR="00795161" w:rsidRPr="008A35E2" w:rsidRDefault="00795161" w:rsidP="00B50372">
      <w:pPr>
        <w:rPr>
          <w:rFonts w:ascii="Times New Roman" w:eastAsia="Calibri" w:hAnsi="Times New Roman" w:cs="Times New Roman"/>
          <w:sz w:val="24"/>
          <w:szCs w:val="24"/>
        </w:rPr>
      </w:pPr>
    </w:p>
    <w:p w14:paraId="62A0FB1F" w14:textId="77777777" w:rsidR="00B50372" w:rsidRPr="008A35E2" w:rsidRDefault="00B50372" w:rsidP="00B50372">
      <w:pPr>
        <w:jc w:val="right"/>
        <w:rPr>
          <w:rFonts w:ascii="Times New Roman" w:eastAsia="Calibri" w:hAnsi="Times New Roman" w:cs="Times New Roman"/>
          <w:sz w:val="24"/>
          <w:szCs w:val="24"/>
        </w:rPr>
      </w:pPr>
      <w:r w:rsidRPr="008A35E2">
        <w:rPr>
          <w:rFonts w:ascii="Times New Roman" w:eastAsia="Calibri" w:hAnsi="Times New Roman" w:cs="Times New Roman"/>
          <w:sz w:val="24"/>
          <w:szCs w:val="24"/>
        </w:rPr>
        <w:t>5.attēls</w:t>
      </w:r>
    </w:p>
    <w:p w14:paraId="54CEB9A4"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7"/>
                    <a:stretch>
                      <a:fillRect/>
                    </a:stretch>
                  </pic:blipFill>
                  <pic:spPr>
                    <a:xfrm>
                      <a:off x="0" y="0"/>
                      <a:ext cx="6119495" cy="1644650"/>
                    </a:xfrm>
                    <a:prstGeom prst="rect">
                      <a:avLst/>
                    </a:prstGeom>
                  </pic:spPr>
                </pic:pic>
              </a:graphicData>
            </a:graphic>
          </wp:inline>
        </w:drawing>
      </w:r>
    </w:p>
    <w:p w14:paraId="19B49934"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Eiropas Savienības fonda projekta kopējo attiecināmo izmaksu pieauguma risks ir jāanalizē arī tādā gadījumā, ja jūtīguma analīzes rezultātā kopējās attiecināmās izmaksas netiek uzskatītas par kritisko mainīgo.</w:t>
      </w:r>
    </w:p>
    <w:p w14:paraId="5B67C498" w14:textId="77777777" w:rsidR="000A26E3" w:rsidRPr="008A35E2" w:rsidRDefault="000A26E3" w:rsidP="00B50372">
      <w:pPr>
        <w:tabs>
          <w:tab w:val="left" w:pos="1545"/>
        </w:tabs>
        <w:spacing w:before="60" w:after="0" w:line="240" w:lineRule="auto"/>
        <w:jc w:val="both"/>
        <w:rPr>
          <w:rFonts w:ascii="Times New Roman" w:eastAsia="Calibri" w:hAnsi="Times New Roman" w:cs="Times New Roman"/>
          <w:sz w:val="24"/>
          <w:szCs w:val="24"/>
        </w:rPr>
      </w:pPr>
    </w:p>
    <w:p w14:paraId="29913156"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b/>
          <w:bCs/>
          <w:sz w:val="24"/>
          <w:szCs w:val="24"/>
        </w:rPr>
        <w:t>Sadaļas “III. Riska novērtējums un jutīguma analīze” 2.punktā</w:t>
      </w:r>
      <w:r w:rsidRPr="008A35E2">
        <w:rPr>
          <w:rFonts w:ascii="Times New Roman" w:eastAsia="Calibri" w:hAnsi="Times New Roman" w:cs="Times New Roman"/>
          <w:sz w:val="24"/>
          <w:szCs w:val="24"/>
        </w:rPr>
        <w:t xml:space="preserve"> (6.attēls) “Jutīguma analīze”. </w:t>
      </w:r>
    </w:p>
    <w:p w14:paraId="231299C8" w14:textId="77777777" w:rsidR="000A26E3" w:rsidRPr="008A35E2" w:rsidRDefault="000A26E3" w:rsidP="00B50372">
      <w:pPr>
        <w:jc w:val="right"/>
        <w:rPr>
          <w:rFonts w:ascii="Times New Roman" w:eastAsia="Calibri" w:hAnsi="Times New Roman" w:cs="Times New Roman"/>
          <w:sz w:val="24"/>
          <w:szCs w:val="24"/>
        </w:rPr>
      </w:pPr>
    </w:p>
    <w:p w14:paraId="25BE7AAB" w14:textId="55C5DF41" w:rsidR="00B50372" w:rsidRPr="008A35E2" w:rsidRDefault="00B50372" w:rsidP="00B50372">
      <w:pPr>
        <w:jc w:val="right"/>
        <w:rPr>
          <w:rFonts w:ascii="Times New Roman" w:eastAsia="Calibri" w:hAnsi="Times New Roman" w:cs="Times New Roman"/>
          <w:sz w:val="24"/>
          <w:szCs w:val="24"/>
        </w:rPr>
      </w:pPr>
      <w:r w:rsidRPr="008A35E2">
        <w:rPr>
          <w:rFonts w:ascii="Times New Roman" w:eastAsia="Calibri" w:hAnsi="Times New Roman" w:cs="Times New Roman"/>
          <w:sz w:val="24"/>
          <w:szCs w:val="24"/>
        </w:rPr>
        <w:t>6.attēls</w:t>
      </w:r>
    </w:p>
    <w:p w14:paraId="1774C093"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noProof/>
        </w:rPr>
        <w:lastRenderedPageBreak/>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8"/>
                    <a:stretch>
                      <a:fillRect/>
                    </a:stretch>
                  </pic:blipFill>
                  <pic:spPr>
                    <a:xfrm>
                      <a:off x="0" y="0"/>
                      <a:ext cx="6119495" cy="3056255"/>
                    </a:xfrm>
                    <a:prstGeom prst="rect">
                      <a:avLst/>
                    </a:prstGeom>
                  </pic:spPr>
                </pic:pic>
              </a:graphicData>
            </a:graphic>
          </wp:inline>
        </w:drawing>
      </w:r>
    </w:p>
    <w:p w14:paraId="750C81B2"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2.1.apakšpunktā, veicot jūtīguma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14:paraId="7BD86FA3"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 xml:space="preserve">Aizpildot tabulu kolonnā "Mainīgais", norāda mainīgos, kas tika izmantoti IIA naudas plūsmas sagatavošanā un +1% vai -1% izmaiņas pret bāzes vērtību. </w:t>
      </w:r>
    </w:p>
    <w:p w14:paraId="393FC8A9"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Aizpildot tabulu kolonnā "Finanšu neto pašreizējā vērtība (FNPV(K))-izmaiņas", norāda FNPV(K) vērtības euro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Aizpildot tabulu kolonnā "Finanšu neto pašreizējā vērtība (FNPV(C))-izmaiņas", norāda FNPV(C) vērtības euro izmaiņas % pie mainīgā norādītā % pieauguma (vai samazinājuma) pret bāzes vērtību.</w:t>
      </w:r>
    </w:p>
    <w:p w14:paraId="630AFFBA"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Aizpildot tabulu kolonnā "Ekonomiskā neto pašreizējā vērtība (ENPV)-izmaiņas", norāda ENPV vērtības euro izmaiņas % pie mainīgā norādītā % pieauguma (vai samazinājuma) pret bāzes (0%) vērtību.</w:t>
      </w:r>
    </w:p>
    <w:p w14:paraId="380175E3"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r w:rsidRPr="008A35E2">
        <w:rPr>
          <w:rFonts w:ascii="Times New Roman" w:eastAsia="Calibri" w:hAnsi="Times New Roman" w:cs="Times New Roman"/>
          <w:sz w:val="24"/>
          <w:szCs w:val="24"/>
        </w:rPr>
        <w:t>2.2.apakšpunktā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2B144DD9" w14:textId="77777777" w:rsidR="00B50372" w:rsidRPr="008A35E2" w:rsidRDefault="00B50372" w:rsidP="00B50372">
      <w:pPr>
        <w:tabs>
          <w:tab w:val="left" w:pos="1545"/>
        </w:tabs>
        <w:spacing w:before="60" w:after="0" w:line="240" w:lineRule="auto"/>
        <w:jc w:val="both"/>
        <w:rPr>
          <w:rFonts w:ascii="Times New Roman" w:eastAsia="Calibri" w:hAnsi="Times New Roman" w:cs="Times New Roman"/>
          <w:sz w:val="24"/>
          <w:szCs w:val="24"/>
        </w:rPr>
      </w:pPr>
    </w:p>
    <w:p w14:paraId="44B318C4" w14:textId="77777777" w:rsidR="002938DC" w:rsidRPr="008A35E2" w:rsidRDefault="002938DC" w:rsidP="002938DC"/>
    <w:p w14:paraId="39581C27" w14:textId="6C9612FF" w:rsidR="00E8243F" w:rsidRPr="00596D47" w:rsidRDefault="00E8243F" w:rsidP="00596D47">
      <w:pPr>
        <w:pStyle w:val="Virsraksts1"/>
        <w:numPr>
          <w:ilvl w:val="2"/>
          <w:numId w:val="32"/>
        </w:numPr>
        <w:rPr>
          <w:rFonts w:ascii="Times New Roman" w:hAnsi="Times New Roman" w:cs="Times New Roman"/>
          <w:b/>
          <w:bCs/>
          <w:color w:val="auto"/>
          <w:sz w:val="28"/>
          <w:szCs w:val="28"/>
        </w:rPr>
      </w:pPr>
      <w:bookmarkStart w:id="35" w:name="_Toc185622465"/>
      <w:r w:rsidRPr="00596D47">
        <w:rPr>
          <w:rFonts w:ascii="Times New Roman" w:hAnsi="Times New Roman" w:cs="Times New Roman"/>
          <w:b/>
          <w:bCs/>
          <w:color w:val="auto"/>
          <w:sz w:val="28"/>
          <w:szCs w:val="28"/>
        </w:rPr>
        <w:t>Kontroles lapa</w:t>
      </w:r>
      <w:bookmarkEnd w:id="35"/>
    </w:p>
    <w:p w14:paraId="5463BB4B" w14:textId="582AAAB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6" w:name="_Hlk96433301"/>
      <w:r w:rsidRPr="00314781">
        <w:rPr>
          <w:rFonts w:ascii="Times New Roman" w:hAnsi="Times New Roman" w:cs="Times New Roman"/>
          <w:sz w:val="24"/>
        </w:rPr>
        <w:t xml:space="preserve">“13. Kontroles lapa” </w:t>
      </w:r>
      <w:bookmarkEnd w:id="36"/>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A8D1440"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“13. Kontroles lapa” ir sadalīta četrās daļās: “Projekta plānotie darbības rezultāti un to iznākuma rādītāji”, “Projekta kvalitātes kritēriju aprēķins”, “Projekta izmaksu ierobežojumu kontrole” un “Izmaksu un ieguvumu analīzes galvenie rezultāti”.</w:t>
      </w:r>
    </w:p>
    <w:p w14:paraId="5F33EF0F" w14:textId="1DEB66EF" w:rsidR="00E8243F"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7501F3FD" w14:textId="77777777" w:rsidR="00594617" w:rsidRPr="00314781" w:rsidRDefault="00594617" w:rsidP="00314781">
      <w:pPr>
        <w:jc w:val="both"/>
        <w:rPr>
          <w:rFonts w:ascii="Times New Roman" w:hAnsi="Times New Roman" w:cs="Times New Roman"/>
          <w:sz w:val="24"/>
        </w:rPr>
      </w:pPr>
    </w:p>
    <w:p w14:paraId="395E5787" w14:textId="0F653969" w:rsidR="0060686B" w:rsidRPr="00596D47" w:rsidRDefault="0060686B" w:rsidP="00596D47">
      <w:pPr>
        <w:pStyle w:val="Virsraksts1"/>
        <w:numPr>
          <w:ilvl w:val="2"/>
          <w:numId w:val="32"/>
        </w:numPr>
        <w:rPr>
          <w:rFonts w:ascii="Times New Roman" w:hAnsi="Times New Roman" w:cs="Times New Roman"/>
          <w:b/>
          <w:bCs/>
          <w:color w:val="auto"/>
          <w:sz w:val="28"/>
          <w:szCs w:val="28"/>
        </w:rPr>
      </w:pPr>
      <w:bookmarkStart w:id="37" w:name="_Toc185622466"/>
      <w:r w:rsidRPr="00596D47">
        <w:rPr>
          <w:rFonts w:ascii="Times New Roman" w:hAnsi="Times New Roman" w:cs="Times New Roman"/>
          <w:b/>
          <w:bCs/>
          <w:color w:val="auto"/>
          <w:sz w:val="28"/>
          <w:szCs w:val="28"/>
        </w:rPr>
        <w:t>Pieņēmumi</w:t>
      </w:r>
      <w:bookmarkEnd w:id="37"/>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782FB" w14:textId="77777777" w:rsidR="009F60AC" w:rsidRDefault="009F60AC" w:rsidP="00185ABD">
      <w:pPr>
        <w:spacing w:after="0" w:line="240" w:lineRule="auto"/>
      </w:pPr>
      <w:r>
        <w:separator/>
      </w:r>
    </w:p>
  </w:endnote>
  <w:endnote w:type="continuationSeparator" w:id="0">
    <w:p w14:paraId="7DF954BD" w14:textId="77777777" w:rsidR="009F60AC" w:rsidRDefault="009F60AC" w:rsidP="00185ABD">
      <w:pPr>
        <w:spacing w:after="0" w:line="240" w:lineRule="auto"/>
      </w:pPr>
      <w:r>
        <w:continuationSeparator/>
      </w:r>
    </w:p>
  </w:endnote>
  <w:endnote w:type="continuationNotice" w:id="1">
    <w:p w14:paraId="434BEC39" w14:textId="77777777" w:rsidR="009F60AC" w:rsidRDefault="009F6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FF761" w14:textId="77777777" w:rsidR="009F60AC" w:rsidRDefault="009F60AC" w:rsidP="00185ABD">
      <w:pPr>
        <w:spacing w:after="0" w:line="240" w:lineRule="auto"/>
      </w:pPr>
      <w:r>
        <w:separator/>
      </w:r>
    </w:p>
  </w:footnote>
  <w:footnote w:type="continuationSeparator" w:id="0">
    <w:p w14:paraId="1129E59C" w14:textId="77777777" w:rsidR="009F60AC" w:rsidRDefault="009F60AC" w:rsidP="00185ABD">
      <w:pPr>
        <w:spacing w:after="0" w:line="240" w:lineRule="auto"/>
      </w:pPr>
      <w:r>
        <w:continuationSeparator/>
      </w:r>
    </w:p>
  </w:footnote>
  <w:footnote w:type="continuationNotice" w:id="1">
    <w:p w14:paraId="18856D2A" w14:textId="77777777" w:rsidR="009F60AC" w:rsidRDefault="009F60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12220"/>
    <w:rsid w:val="000251DB"/>
    <w:rsid w:val="0002648C"/>
    <w:rsid w:val="00031792"/>
    <w:rsid w:val="00037A55"/>
    <w:rsid w:val="0004345D"/>
    <w:rsid w:val="000651D3"/>
    <w:rsid w:val="000656C3"/>
    <w:rsid w:val="0007733D"/>
    <w:rsid w:val="00082C91"/>
    <w:rsid w:val="00084BF1"/>
    <w:rsid w:val="0009039F"/>
    <w:rsid w:val="00094834"/>
    <w:rsid w:val="000959AB"/>
    <w:rsid w:val="00096DAD"/>
    <w:rsid w:val="00096F87"/>
    <w:rsid w:val="000A13CA"/>
    <w:rsid w:val="000A19C4"/>
    <w:rsid w:val="000A26E3"/>
    <w:rsid w:val="000A36E7"/>
    <w:rsid w:val="000B17A2"/>
    <w:rsid w:val="000C4C22"/>
    <w:rsid w:val="000D7414"/>
    <w:rsid w:val="000D7EC4"/>
    <w:rsid w:val="000E23A3"/>
    <w:rsid w:val="000E5C0C"/>
    <w:rsid w:val="000F0356"/>
    <w:rsid w:val="000F064A"/>
    <w:rsid w:val="000F5D15"/>
    <w:rsid w:val="00102968"/>
    <w:rsid w:val="00103A1B"/>
    <w:rsid w:val="00106EAC"/>
    <w:rsid w:val="00115EE6"/>
    <w:rsid w:val="001178AF"/>
    <w:rsid w:val="001302F4"/>
    <w:rsid w:val="00130607"/>
    <w:rsid w:val="0014566A"/>
    <w:rsid w:val="00180DE9"/>
    <w:rsid w:val="00181293"/>
    <w:rsid w:val="001812D6"/>
    <w:rsid w:val="00183B8C"/>
    <w:rsid w:val="00185ABD"/>
    <w:rsid w:val="00187FF4"/>
    <w:rsid w:val="001B14D1"/>
    <w:rsid w:val="001B500B"/>
    <w:rsid w:val="001D0E86"/>
    <w:rsid w:val="001D2493"/>
    <w:rsid w:val="001D7536"/>
    <w:rsid w:val="001E0E3D"/>
    <w:rsid w:val="001E5E78"/>
    <w:rsid w:val="001F0EF3"/>
    <w:rsid w:val="002068C2"/>
    <w:rsid w:val="00221B5B"/>
    <w:rsid w:val="0022408E"/>
    <w:rsid w:val="0024051E"/>
    <w:rsid w:val="00241D65"/>
    <w:rsid w:val="00245582"/>
    <w:rsid w:val="00251CC4"/>
    <w:rsid w:val="0026260B"/>
    <w:rsid w:val="00266FC1"/>
    <w:rsid w:val="002727D7"/>
    <w:rsid w:val="00276FAB"/>
    <w:rsid w:val="002938DC"/>
    <w:rsid w:val="002A69FE"/>
    <w:rsid w:val="002A78FE"/>
    <w:rsid w:val="002B625D"/>
    <w:rsid w:val="002C1141"/>
    <w:rsid w:val="002C2E53"/>
    <w:rsid w:val="002C4446"/>
    <w:rsid w:val="002C5DBF"/>
    <w:rsid w:val="002D31BE"/>
    <w:rsid w:val="002D5207"/>
    <w:rsid w:val="002F5991"/>
    <w:rsid w:val="002F6607"/>
    <w:rsid w:val="00303C8A"/>
    <w:rsid w:val="00306D78"/>
    <w:rsid w:val="003110C3"/>
    <w:rsid w:val="00311966"/>
    <w:rsid w:val="00314781"/>
    <w:rsid w:val="00330C1A"/>
    <w:rsid w:val="00334B31"/>
    <w:rsid w:val="00350771"/>
    <w:rsid w:val="00354092"/>
    <w:rsid w:val="00361FAC"/>
    <w:rsid w:val="003647A3"/>
    <w:rsid w:val="00372348"/>
    <w:rsid w:val="00384276"/>
    <w:rsid w:val="003851A4"/>
    <w:rsid w:val="003A1E5C"/>
    <w:rsid w:val="003D1F6A"/>
    <w:rsid w:val="003E0E15"/>
    <w:rsid w:val="003F5191"/>
    <w:rsid w:val="003F65C4"/>
    <w:rsid w:val="003F7DE7"/>
    <w:rsid w:val="004077D7"/>
    <w:rsid w:val="00411470"/>
    <w:rsid w:val="00413C2E"/>
    <w:rsid w:val="004201D0"/>
    <w:rsid w:val="00422CDD"/>
    <w:rsid w:val="00432136"/>
    <w:rsid w:val="00433B0E"/>
    <w:rsid w:val="00434A93"/>
    <w:rsid w:val="00436503"/>
    <w:rsid w:val="00447B69"/>
    <w:rsid w:val="00471188"/>
    <w:rsid w:val="0047138D"/>
    <w:rsid w:val="00472E40"/>
    <w:rsid w:val="00476670"/>
    <w:rsid w:val="00476A7A"/>
    <w:rsid w:val="004818C0"/>
    <w:rsid w:val="004914B1"/>
    <w:rsid w:val="004A3F66"/>
    <w:rsid w:val="004A6057"/>
    <w:rsid w:val="004A6A62"/>
    <w:rsid w:val="004A6E5F"/>
    <w:rsid w:val="004B00CB"/>
    <w:rsid w:val="004B1A95"/>
    <w:rsid w:val="004B3472"/>
    <w:rsid w:val="004C4147"/>
    <w:rsid w:val="004D19CA"/>
    <w:rsid w:val="004D3A72"/>
    <w:rsid w:val="004D60EB"/>
    <w:rsid w:val="004F6137"/>
    <w:rsid w:val="00513CEE"/>
    <w:rsid w:val="00514729"/>
    <w:rsid w:val="00530ADB"/>
    <w:rsid w:val="005506AE"/>
    <w:rsid w:val="00561DFA"/>
    <w:rsid w:val="0057041A"/>
    <w:rsid w:val="00570B6A"/>
    <w:rsid w:val="00574CB4"/>
    <w:rsid w:val="00576FB0"/>
    <w:rsid w:val="00581AFC"/>
    <w:rsid w:val="00581B43"/>
    <w:rsid w:val="00582CA9"/>
    <w:rsid w:val="00591D84"/>
    <w:rsid w:val="00594617"/>
    <w:rsid w:val="00596D47"/>
    <w:rsid w:val="005A041E"/>
    <w:rsid w:val="005A0A9E"/>
    <w:rsid w:val="005C45CA"/>
    <w:rsid w:val="005C7D27"/>
    <w:rsid w:val="005E2AE3"/>
    <w:rsid w:val="005E3626"/>
    <w:rsid w:val="005F04B3"/>
    <w:rsid w:val="005F274F"/>
    <w:rsid w:val="0060686B"/>
    <w:rsid w:val="006128A5"/>
    <w:rsid w:val="006214EC"/>
    <w:rsid w:val="00633F94"/>
    <w:rsid w:val="00635E27"/>
    <w:rsid w:val="0064187F"/>
    <w:rsid w:val="0064192E"/>
    <w:rsid w:val="0064361B"/>
    <w:rsid w:val="00643DB4"/>
    <w:rsid w:val="006572D1"/>
    <w:rsid w:val="006620F6"/>
    <w:rsid w:val="006761DB"/>
    <w:rsid w:val="006768F1"/>
    <w:rsid w:val="0067727E"/>
    <w:rsid w:val="00680C1F"/>
    <w:rsid w:val="00685C4A"/>
    <w:rsid w:val="00686F1A"/>
    <w:rsid w:val="0068792F"/>
    <w:rsid w:val="006908EA"/>
    <w:rsid w:val="006A65B2"/>
    <w:rsid w:val="006B48B3"/>
    <w:rsid w:val="006B6F4B"/>
    <w:rsid w:val="006C35F5"/>
    <w:rsid w:val="006C7056"/>
    <w:rsid w:val="006D0884"/>
    <w:rsid w:val="006D147B"/>
    <w:rsid w:val="006F293A"/>
    <w:rsid w:val="006F4B3D"/>
    <w:rsid w:val="006F4F65"/>
    <w:rsid w:val="00712756"/>
    <w:rsid w:val="00712A03"/>
    <w:rsid w:val="00724068"/>
    <w:rsid w:val="00731927"/>
    <w:rsid w:val="00735C02"/>
    <w:rsid w:val="007528B4"/>
    <w:rsid w:val="00760A33"/>
    <w:rsid w:val="00764C79"/>
    <w:rsid w:val="0076658E"/>
    <w:rsid w:val="007705DB"/>
    <w:rsid w:val="00790623"/>
    <w:rsid w:val="00795161"/>
    <w:rsid w:val="007959A3"/>
    <w:rsid w:val="0079619A"/>
    <w:rsid w:val="00796626"/>
    <w:rsid w:val="007A3C44"/>
    <w:rsid w:val="007C0610"/>
    <w:rsid w:val="007C06C8"/>
    <w:rsid w:val="007C63D1"/>
    <w:rsid w:val="007D46B9"/>
    <w:rsid w:val="007D5496"/>
    <w:rsid w:val="007D7C96"/>
    <w:rsid w:val="007E257D"/>
    <w:rsid w:val="007E2B0D"/>
    <w:rsid w:val="007F3A4F"/>
    <w:rsid w:val="007F3EFE"/>
    <w:rsid w:val="0080155B"/>
    <w:rsid w:val="00804143"/>
    <w:rsid w:val="008055C0"/>
    <w:rsid w:val="008216BD"/>
    <w:rsid w:val="0082504C"/>
    <w:rsid w:val="008264B4"/>
    <w:rsid w:val="00830E5A"/>
    <w:rsid w:val="00832348"/>
    <w:rsid w:val="0083762C"/>
    <w:rsid w:val="008417F8"/>
    <w:rsid w:val="00842B38"/>
    <w:rsid w:val="0084491B"/>
    <w:rsid w:val="008456DE"/>
    <w:rsid w:val="00846997"/>
    <w:rsid w:val="00846F6F"/>
    <w:rsid w:val="008575D3"/>
    <w:rsid w:val="00862976"/>
    <w:rsid w:val="00863302"/>
    <w:rsid w:val="00870FE0"/>
    <w:rsid w:val="00883451"/>
    <w:rsid w:val="008A1959"/>
    <w:rsid w:val="008A26AB"/>
    <w:rsid w:val="008A35E2"/>
    <w:rsid w:val="008A70E3"/>
    <w:rsid w:val="008B1802"/>
    <w:rsid w:val="008B55BF"/>
    <w:rsid w:val="008B5DB3"/>
    <w:rsid w:val="008C3B1D"/>
    <w:rsid w:val="008C4545"/>
    <w:rsid w:val="008C5819"/>
    <w:rsid w:val="008D00A6"/>
    <w:rsid w:val="008D2E7D"/>
    <w:rsid w:val="008E0762"/>
    <w:rsid w:val="008E7ED8"/>
    <w:rsid w:val="00904558"/>
    <w:rsid w:val="00925AFC"/>
    <w:rsid w:val="0094491C"/>
    <w:rsid w:val="009504F0"/>
    <w:rsid w:val="0095198C"/>
    <w:rsid w:val="009557A6"/>
    <w:rsid w:val="00956326"/>
    <w:rsid w:val="00957348"/>
    <w:rsid w:val="009601A3"/>
    <w:rsid w:val="00961561"/>
    <w:rsid w:val="009650BA"/>
    <w:rsid w:val="00967ADA"/>
    <w:rsid w:val="009706A3"/>
    <w:rsid w:val="009736D3"/>
    <w:rsid w:val="00987670"/>
    <w:rsid w:val="00987ED4"/>
    <w:rsid w:val="00990122"/>
    <w:rsid w:val="009A5683"/>
    <w:rsid w:val="009B1EFE"/>
    <w:rsid w:val="009B297A"/>
    <w:rsid w:val="009B5465"/>
    <w:rsid w:val="009C11AB"/>
    <w:rsid w:val="009C4102"/>
    <w:rsid w:val="009C5E1F"/>
    <w:rsid w:val="009D58AC"/>
    <w:rsid w:val="009E7D1D"/>
    <w:rsid w:val="009F60AC"/>
    <w:rsid w:val="00A0367A"/>
    <w:rsid w:val="00A057F5"/>
    <w:rsid w:val="00A10BE3"/>
    <w:rsid w:val="00A13555"/>
    <w:rsid w:val="00A13F49"/>
    <w:rsid w:val="00A16B82"/>
    <w:rsid w:val="00A23B21"/>
    <w:rsid w:val="00A245D5"/>
    <w:rsid w:val="00A35D5B"/>
    <w:rsid w:val="00A44EF6"/>
    <w:rsid w:val="00A4502C"/>
    <w:rsid w:val="00A46785"/>
    <w:rsid w:val="00A53272"/>
    <w:rsid w:val="00A558CD"/>
    <w:rsid w:val="00A60D67"/>
    <w:rsid w:val="00A626DE"/>
    <w:rsid w:val="00A6384B"/>
    <w:rsid w:val="00A70758"/>
    <w:rsid w:val="00A75B00"/>
    <w:rsid w:val="00A90C57"/>
    <w:rsid w:val="00A92DB5"/>
    <w:rsid w:val="00AA0FE8"/>
    <w:rsid w:val="00AA1614"/>
    <w:rsid w:val="00AA6DCC"/>
    <w:rsid w:val="00AB2D4F"/>
    <w:rsid w:val="00AB7375"/>
    <w:rsid w:val="00AC42BB"/>
    <w:rsid w:val="00AD1BBB"/>
    <w:rsid w:val="00AE5549"/>
    <w:rsid w:val="00AF3989"/>
    <w:rsid w:val="00AF3B55"/>
    <w:rsid w:val="00AF4465"/>
    <w:rsid w:val="00B01771"/>
    <w:rsid w:val="00B02E44"/>
    <w:rsid w:val="00B17C22"/>
    <w:rsid w:val="00B25985"/>
    <w:rsid w:val="00B27FAB"/>
    <w:rsid w:val="00B326E7"/>
    <w:rsid w:val="00B400E0"/>
    <w:rsid w:val="00B4252C"/>
    <w:rsid w:val="00B4356F"/>
    <w:rsid w:val="00B50372"/>
    <w:rsid w:val="00B50C41"/>
    <w:rsid w:val="00B53163"/>
    <w:rsid w:val="00B6764A"/>
    <w:rsid w:val="00B71C94"/>
    <w:rsid w:val="00B9486A"/>
    <w:rsid w:val="00B95F5A"/>
    <w:rsid w:val="00BA6FB9"/>
    <w:rsid w:val="00BB0872"/>
    <w:rsid w:val="00BB2E45"/>
    <w:rsid w:val="00BB319D"/>
    <w:rsid w:val="00BC7971"/>
    <w:rsid w:val="00BD03CD"/>
    <w:rsid w:val="00BD3512"/>
    <w:rsid w:val="00BF1140"/>
    <w:rsid w:val="00C1026B"/>
    <w:rsid w:val="00C1129F"/>
    <w:rsid w:val="00C16C58"/>
    <w:rsid w:val="00C42903"/>
    <w:rsid w:val="00C44095"/>
    <w:rsid w:val="00C47CF8"/>
    <w:rsid w:val="00C47E05"/>
    <w:rsid w:val="00C5372D"/>
    <w:rsid w:val="00C63582"/>
    <w:rsid w:val="00C73A3D"/>
    <w:rsid w:val="00C73ABA"/>
    <w:rsid w:val="00C742A4"/>
    <w:rsid w:val="00C81106"/>
    <w:rsid w:val="00C9745E"/>
    <w:rsid w:val="00CA155E"/>
    <w:rsid w:val="00CB0150"/>
    <w:rsid w:val="00CB25AA"/>
    <w:rsid w:val="00CC0143"/>
    <w:rsid w:val="00CC0C49"/>
    <w:rsid w:val="00CC0F1F"/>
    <w:rsid w:val="00CE00D0"/>
    <w:rsid w:val="00CE153F"/>
    <w:rsid w:val="00CE6ABC"/>
    <w:rsid w:val="00CF06D8"/>
    <w:rsid w:val="00CF64F4"/>
    <w:rsid w:val="00D03A64"/>
    <w:rsid w:val="00D04C6F"/>
    <w:rsid w:val="00D07ED2"/>
    <w:rsid w:val="00D15786"/>
    <w:rsid w:val="00D16823"/>
    <w:rsid w:val="00D2613E"/>
    <w:rsid w:val="00D33F30"/>
    <w:rsid w:val="00D348C5"/>
    <w:rsid w:val="00D34C87"/>
    <w:rsid w:val="00D36D3D"/>
    <w:rsid w:val="00D46466"/>
    <w:rsid w:val="00D52E96"/>
    <w:rsid w:val="00D72A98"/>
    <w:rsid w:val="00D80145"/>
    <w:rsid w:val="00D84C82"/>
    <w:rsid w:val="00D929FD"/>
    <w:rsid w:val="00DA3FAA"/>
    <w:rsid w:val="00DA6ED6"/>
    <w:rsid w:val="00DB1761"/>
    <w:rsid w:val="00DB31B9"/>
    <w:rsid w:val="00DC3806"/>
    <w:rsid w:val="00DD2BF0"/>
    <w:rsid w:val="00DD2CAB"/>
    <w:rsid w:val="00DD65A6"/>
    <w:rsid w:val="00DD79A6"/>
    <w:rsid w:val="00DE4327"/>
    <w:rsid w:val="00DF5219"/>
    <w:rsid w:val="00E16E23"/>
    <w:rsid w:val="00E1777D"/>
    <w:rsid w:val="00E2476B"/>
    <w:rsid w:val="00E36D0F"/>
    <w:rsid w:val="00E5053D"/>
    <w:rsid w:val="00E579CE"/>
    <w:rsid w:val="00E60F3C"/>
    <w:rsid w:val="00E6236E"/>
    <w:rsid w:val="00E6581F"/>
    <w:rsid w:val="00E80235"/>
    <w:rsid w:val="00E81FD7"/>
    <w:rsid w:val="00E8243F"/>
    <w:rsid w:val="00E8306E"/>
    <w:rsid w:val="00E918DA"/>
    <w:rsid w:val="00E9222B"/>
    <w:rsid w:val="00EB1C4F"/>
    <w:rsid w:val="00EC01EE"/>
    <w:rsid w:val="00EC5B49"/>
    <w:rsid w:val="00ED00CC"/>
    <w:rsid w:val="00ED0CF6"/>
    <w:rsid w:val="00EF7BE3"/>
    <w:rsid w:val="00F00566"/>
    <w:rsid w:val="00F01F25"/>
    <w:rsid w:val="00F14849"/>
    <w:rsid w:val="00F2781D"/>
    <w:rsid w:val="00F327C7"/>
    <w:rsid w:val="00F351B6"/>
    <w:rsid w:val="00F36F51"/>
    <w:rsid w:val="00F404C1"/>
    <w:rsid w:val="00F42274"/>
    <w:rsid w:val="00F80A79"/>
    <w:rsid w:val="00F82E04"/>
    <w:rsid w:val="00F85701"/>
    <w:rsid w:val="00F9743D"/>
    <w:rsid w:val="00FB4F61"/>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4051E"/>
    <w:pPr>
      <w:ind w:left="720"/>
      <w:contextualSpacing/>
    </w:pPr>
  </w:style>
  <w:style w:type="character" w:styleId="Hipersaite">
    <w:name w:val="Hyperlink"/>
    <w:basedOn w:val="Noklusjumarindkopasfonts"/>
    <w:uiPriority w:val="99"/>
    <w:unhideWhenUsed/>
    <w:rsid w:val="006908EA"/>
    <w:rPr>
      <w:color w:val="0563C1" w:themeColor="hyperlink"/>
      <w:u w:val="single"/>
    </w:rPr>
  </w:style>
  <w:style w:type="paragraph" w:styleId="Paraststmeklis">
    <w:name w:val="Normal (Web)"/>
    <w:basedOn w:val="Parasts"/>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57A6"/>
    <w:rPr>
      <w:color w:val="605E5C"/>
      <w:shd w:val="clear" w:color="auto" w:fill="E1DFDD"/>
    </w:rPr>
  </w:style>
  <w:style w:type="character" w:styleId="Izmantotahipersaite">
    <w:name w:val="FollowedHyperlink"/>
    <w:basedOn w:val="Noklusjumarindkopasfonts"/>
    <w:uiPriority w:val="99"/>
    <w:semiHidden/>
    <w:unhideWhenUsed/>
    <w:rsid w:val="009557A6"/>
    <w:rPr>
      <w:color w:val="954F72" w:themeColor="followedHyperlink"/>
      <w:u w:val="single"/>
    </w:rPr>
  </w:style>
  <w:style w:type="table" w:styleId="Reatabula">
    <w:name w:val="Table Grid"/>
    <w:basedOn w:val="Parastatabula"/>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514729"/>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51472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uiPriority w:val="9"/>
    <w:semiHidden/>
    <w:rsid w:val="00514729"/>
    <w:rPr>
      <w:rFonts w:asciiTheme="majorHAnsi" w:eastAsiaTheme="majorEastAsia" w:hAnsiTheme="maj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14729"/>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514729"/>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514729"/>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514729"/>
    <w:rPr>
      <w:rFonts w:asciiTheme="majorHAnsi" w:eastAsiaTheme="majorEastAsia" w:hAnsiTheme="majorHAnsi" w:cstheme="majorBidi"/>
      <w:i/>
      <w:iCs/>
      <w:color w:val="272727" w:themeColor="text1" w:themeTint="D8"/>
      <w:sz w:val="21"/>
      <w:szCs w:val="21"/>
    </w:rPr>
  </w:style>
  <w:style w:type="paragraph" w:styleId="Saturardtjavirsraksts">
    <w:name w:val="TOC Heading"/>
    <w:basedOn w:val="Virsraksts1"/>
    <w:next w:val="Parasts"/>
    <w:uiPriority w:val="39"/>
    <w:unhideWhenUsed/>
    <w:qFormat/>
    <w:rsid w:val="00187FF4"/>
    <w:pPr>
      <w:outlineLvl w:val="9"/>
    </w:pPr>
    <w:rPr>
      <w:lang w:val="en-US"/>
    </w:rPr>
  </w:style>
  <w:style w:type="paragraph" w:styleId="Saturs1">
    <w:name w:val="toc 1"/>
    <w:basedOn w:val="Parasts"/>
    <w:next w:val="Parasts"/>
    <w:autoRedefine/>
    <w:uiPriority w:val="39"/>
    <w:unhideWhenUsed/>
    <w:rsid w:val="00187FF4"/>
    <w:pPr>
      <w:spacing w:after="100"/>
    </w:pPr>
  </w:style>
  <w:style w:type="paragraph" w:styleId="Saturs2">
    <w:name w:val="toc 2"/>
    <w:basedOn w:val="Parasts"/>
    <w:next w:val="Parasts"/>
    <w:autoRedefine/>
    <w:uiPriority w:val="39"/>
    <w:unhideWhenUsed/>
    <w:rsid w:val="00187FF4"/>
    <w:pPr>
      <w:spacing w:after="100"/>
      <w:ind w:left="220"/>
    </w:pPr>
  </w:style>
  <w:style w:type="paragraph" w:styleId="Galvene">
    <w:name w:val="header"/>
    <w:basedOn w:val="Parasts"/>
    <w:link w:val="GalveneRakstz"/>
    <w:uiPriority w:val="99"/>
    <w:unhideWhenUsed/>
    <w:rsid w:val="00185A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85ABD"/>
  </w:style>
  <w:style w:type="paragraph" w:styleId="Kjene">
    <w:name w:val="footer"/>
    <w:basedOn w:val="Parasts"/>
    <w:link w:val="KjeneRakstz"/>
    <w:uiPriority w:val="99"/>
    <w:unhideWhenUsed/>
    <w:rsid w:val="00185AB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hyperlink" Target="https://likumi.lv/ta/id/357122"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image" Target="media/image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4.xml><?xml version="1.0" encoding="utf-8"?>
<ds:datastoreItem xmlns:ds="http://schemas.openxmlformats.org/officeDocument/2006/customXml" ds:itemID="{ECCAF12B-6838-47E6-9B10-890FA51C6A82}"/>
</file>

<file path=docProps/app.xml><?xml version="1.0" encoding="utf-8"?>
<Properties xmlns="http://schemas.openxmlformats.org/officeDocument/2006/extended-properties" xmlns:vt="http://schemas.openxmlformats.org/officeDocument/2006/docPropsVTypes">
  <Template>Normal</Template>
  <TotalTime>1294</TotalTime>
  <Pages>19</Pages>
  <Words>27152</Words>
  <Characters>15478</Characters>
  <Application>Microsoft Office Word</Application>
  <DocSecurity>0</DocSecurity>
  <Lines>128</Lines>
  <Paragraphs>85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Ritvars Timermanis</cp:lastModifiedBy>
  <cp:revision>114</cp:revision>
  <dcterms:created xsi:type="dcterms:W3CDTF">2024-01-30T13:01:00Z</dcterms:created>
  <dcterms:modified xsi:type="dcterms:W3CDTF">2024-12-20T19:37:00Z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