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972A" w14:textId="69D99F49" w:rsidR="00575C59" w:rsidRPr="002F53F4" w:rsidRDefault="00575C59" w:rsidP="002F53F4">
      <w:pPr>
        <w:spacing w:after="0" w:line="240" w:lineRule="auto"/>
        <w:jc w:val="right"/>
        <w:rPr>
          <w:rFonts w:ascii="Times New Roman" w:hAnsi="Times New Roman"/>
          <w:b/>
          <w:bCs/>
          <w:sz w:val="20"/>
          <w:szCs w:val="20"/>
          <w:lang w:val="lv-LV"/>
        </w:rPr>
      </w:pPr>
      <w:r>
        <w:rPr>
          <w:rFonts w:ascii="Times New Roman" w:hAnsi="Times New Roman"/>
          <w:b/>
          <w:bCs/>
          <w:sz w:val="20"/>
          <w:szCs w:val="20"/>
          <w:lang w:val="lv-LV"/>
        </w:rPr>
        <w:t>4</w:t>
      </w:r>
      <w:r w:rsidRPr="002F53F4">
        <w:rPr>
          <w:rFonts w:ascii="Times New Roman" w:hAnsi="Times New Roman"/>
          <w:b/>
          <w:bCs/>
          <w:sz w:val="20"/>
          <w:szCs w:val="20"/>
          <w:lang w:val="lv-LV"/>
        </w:rPr>
        <w:t>. pielikums </w:t>
      </w:r>
    </w:p>
    <w:p w14:paraId="5368CA5F" w14:textId="77777777" w:rsidR="00575C59" w:rsidRPr="002F53F4" w:rsidRDefault="00575C59" w:rsidP="002F53F4">
      <w:pPr>
        <w:spacing w:after="0" w:line="240" w:lineRule="auto"/>
        <w:jc w:val="right"/>
        <w:rPr>
          <w:rFonts w:ascii="Times New Roman" w:hAnsi="Times New Roman"/>
          <w:b/>
          <w:bCs/>
          <w:sz w:val="20"/>
          <w:szCs w:val="20"/>
          <w:lang w:val="lv-LV"/>
        </w:rPr>
      </w:pPr>
      <w:r w:rsidRPr="002F53F4">
        <w:rPr>
          <w:rFonts w:ascii="Times New Roman" w:hAnsi="Times New Roman"/>
          <w:b/>
          <w:bCs/>
          <w:sz w:val="20"/>
          <w:szCs w:val="20"/>
          <w:lang w:val="lv-LV"/>
        </w:rPr>
        <w:t>Projektu iesniegumu atlases nolikumam</w:t>
      </w:r>
    </w:p>
    <w:p w14:paraId="3614E582" w14:textId="77777777" w:rsidR="00575C59" w:rsidRDefault="00575C59" w:rsidP="00E2304A">
      <w:pPr>
        <w:spacing w:line="240" w:lineRule="auto"/>
        <w:jc w:val="center"/>
        <w:rPr>
          <w:rFonts w:ascii="Times New Roman" w:hAnsi="Times New Roman"/>
          <w:b/>
          <w:bCs/>
          <w:sz w:val="24"/>
          <w:szCs w:val="24"/>
          <w:lang w:val="lv-LV"/>
        </w:rPr>
      </w:pPr>
    </w:p>
    <w:p w14:paraId="095A99A7" w14:textId="1B1CAC91" w:rsidR="00E2304A" w:rsidRPr="000E08E7" w:rsidRDefault="00E2304A" w:rsidP="00E2304A">
      <w:pPr>
        <w:spacing w:line="240" w:lineRule="auto"/>
        <w:jc w:val="center"/>
        <w:rPr>
          <w:rFonts w:ascii="Times New Roman" w:hAnsi="Times New Roman"/>
          <w:b/>
          <w:bCs/>
          <w:sz w:val="24"/>
          <w:szCs w:val="24"/>
          <w:lang w:val="lv-LV"/>
        </w:rPr>
      </w:pPr>
      <w:r w:rsidRPr="000E08E7">
        <w:rPr>
          <w:rFonts w:ascii="Times New Roman" w:hAnsi="Times New Roman"/>
          <w:b/>
          <w:bCs/>
          <w:sz w:val="24"/>
          <w:szCs w:val="24"/>
          <w:lang w:val="lv-LV"/>
        </w:rPr>
        <w:t xml:space="preserve">4.2.1.8. </w:t>
      </w:r>
      <w:r w:rsidRPr="00575C59">
        <w:rPr>
          <w:rFonts w:ascii="Times New Roman" w:hAnsi="Times New Roman"/>
          <w:b/>
          <w:bCs/>
          <w:sz w:val="24"/>
          <w:szCs w:val="24"/>
          <w:lang w:val="lv-LV"/>
        </w:rPr>
        <w:t>pasākuma</w:t>
      </w:r>
      <w:r w:rsidR="2F20932C" w:rsidRPr="00437012">
        <w:rPr>
          <w:rFonts w:ascii="Times New Roman" w:hAnsi="Times New Roman"/>
          <w:b/>
          <w:bCs/>
          <w:sz w:val="24"/>
          <w:szCs w:val="24"/>
          <w:lang w:val="lv-LV"/>
        </w:rPr>
        <w:t xml:space="preserve"> </w:t>
      </w:r>
      <w:r w:rsidR="2F20932C" w:rsidRPr="002F53F4">
        <w:rPr>
          <w:rFonts w:ascii="Times New Roman" w:eastAsia="Times New Roman" w:hAnsi="Times New Roman"/>
          <w:b/>
          <w:bCs/>
          <w:sz w:val="24"/>
          <w:szCs w:val="24"/>
          <w:lang w:val="lv-LV"/>
        </w:rPr>
        <w:t>“Augstskolu studiju vides modernizācija” otrās, trešās kārtas</w:t>
      </w:r>
      <w:r w:rsidRPr="002F53F4">
        <w:rPr>
          <w:rFonts w:ascii="Times New Roman" w:hAnsi="Times New Roman"/>
          <w:b/>
          <w:bCs/>
          <w:sz w:val="24"/>
          <w:szCs w:val="24"/>
          <w:lang w:val="lv-LV"/>
        </w:rPr>
        <w:t xml:space="preserve"> </w:t>
      </w:r>
      <w:r w:rsidRPr="00575C59">
        <w:rPr>
          <w:rFonts w:ascii="Times New Roman" w:hAnsi="Times New Roman"/>
          <w:b/>
          <w:bCs/>
          <w:sz w:val="24"/>
          <w:szCs w:val="24"/>
          <w:lang w:val="lv-LV"/>
        </w:rPr>
        <w:t xml:space="preserve">finansējuma saņēmēju atbilstības komercdarbības </w:t>
      </w:r>
      <w:r w:rsidRPr="000E08E7">
        <w:rPr>
          <w:rFonts w:ascii="Times New Roman" w:hAnsi="Times New Roman"/>
          <w:b/>
          <w:bCs/>
          <w:sz w:val="24"/>
          <w:szCs w:val="24"/>
          <w:lang w:val="lv-LV"/>
        </w:rPr>
        <w:t>atbalstu izslēdzoš</w:t>
      </w:r>
      <w:r w:rsidR="00FF0757" w:rsidRPr="000E08E7">
        <w:rPr>
          <w:rFonts w:ascii="Times New Roman" w:hAnsi="Times New Roman"/>
          <w:b/>
          <w:bCs/>
          <w:sz w:val="24"/>
          <w:szCs w:val="24"/>
          <w:lang w:val="lv-LV"/>
        </w:rPr>
        <w:t>iem</w:t>
      </w:r>
      <w:r w:rsidRPr="000E08E7">
        <w:rPr>
          <w:rFonts w:ascii="Times New Roman" w:hAnsi="Times New Roman"/>
          <w:b/>
          <w:bCs/>
          <w:sz w:val="24"/>
          <w:szCs w:val="24"/>
          <w:lang w:val="lv-LV"/>
        </w:rPr>
        <w:t xml:space="preserve"> kritērij</w:t>
      </w:r>
      <w:r w:rsidR="00FF0757" w:rsidRPr="000E08E7">
        <w:rPr>
          <w:rFonts w:ascii="Times New Roman" w:hAnsi="Times New Roman"/>
          <w:b/>
          <w:bCs/>
          <w:sz w:val="24"/>
          <w:szCs w:val="24"/>
          <w:lang w:val="lv-LV"/>
        </w:rPr>
        <w:t>iem</w:t>
      </w:r>
      <w:r w:rsidRPr="000E08E7">
        <w:rPr>
          <w:rFonts w:ascii="Times New Roman" w:hAnsi="Times New Roman"/>
          <w:b/>
          <w:bCs/>
          <w:sz w:val="24"/>
          <w:szCs w:val="24"/>
          <w:lang w:val="lv-LV"/>
        </w:rPr>
        <w:t xml:space="preserve"> vērtēšana</w:t>
      </w:r>
      <w:r w:rsidR="2ACF41FE" w:rsidRPr="000E08E7">
        <w:rPr>
          <w:rFonts w:ascii="Times New Roman" w:hAnsi="Times New Roman"/>
          <w:b/>
          <w:bCs/>
          <w:sz w:val="24"/>
          <w:szCs w:val="24"/>
          <w:lang w:val="lv-LV"/>
        </w:rPr>
        <w:t>s metodika</w:t>
      </w:r>
    </w:p>
    <w:p w14:paraId="73C54387" w14:textId="60257E58" w:rsidR="00E2304A" w:rsidRPr="00E2304A" w:rsidRDefault="00900D14" w:rsidP="00E2304A">
      <w:pPr>
        <w:spacing w:line="240" w:lineRule="auto"/>
        <w:ind w:firstLine="720"/>
        <w:jc w:val="both"/>
        <w:rPr>
          <w:lang w:val="lv-LV"/>
        </w:rPr>
      </w:pPr>
      <w:r>
        <w:rPr>
          <w:rFonts w:ascii="Times New Roman" w:hAnsi="Times New Roman"/>
          <w:sz w:val="24"/>
          <w:szCs w:val="24"/>
          <w:lang w:val="lv-LV"/>
        </w:rPr>
        <w:t xml:space="preserve">Izglītības un zinātnes ministrijas (turpmāk </w:t>
      </w:r>
      <w:bookmarkStart w:id="0" w:name="_Hlk187669437"/>
      <w:r>
        <w:rPr>
          <w:rFonts w:ascii="Times New Roman" w:hAnsi="Times New Roman"/>
          <w:sz w:val="24"/>
          <w:szCs w:val="24"/>
          <w:lang w:val="lv-LV"/>
        </w:rPr>
        <w:t>–</w:t>
      </w:r>
      <w:bookmarkEnd w:id="0"/>
      <w:r>
        <w:rPr>
          <w:rFonts w:ascii="Times New Roman" w:hAnsi="Times New Roman"/>
          <w:sz w:val="24"/>
          <w:szCs w:val="24"/>
          <w:lang w:val="lv-LV"/>
        </w:rPr>
        <w:t xml:space="preserve"> IZM) administrētā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“Augstskolu studiju vides modernizācija” (turpmāk – 4.2.1.8. pasākums)</w:t>
      </w:r>
      <w:r w:rsidR="00E2304A">
        <w:rPr>
          <w:rFonts w:ascii="Times New Roman" w:hAnsi="Times New Roman"/>
          <w:sz w:val="24"/>
          <w:szCs w:val="24"/>
          <w:lang w:val="lv-LV"/>
        </w:rPr>
        <w:t xml:space="preserve"> otrās un trešās </w:t>
      </w:r>
      <w:r w:rsidR="00FF0757">
        <w:rPr>
          <w:rFonts w:ascii="Times New Roman" w:hAnsi="Times New Roman"/>
          <w:sz w:val="24"/>
          <w:szCs w:val="24"/>
          <w:lang w:val="lv-LV"/>
        </w:rPr>
        <w:t xml:space="preserve">projektu iesniegumu atlases </w:t>
      </w:r>
      <w:r w:rsidR="00E2304A">
        <w:rPr>
          <w:rFonts w:ascii="Times New Roman" w:hAnsi="Times New Roman"/>
          <w:sz w:val="24"/>
          <w:szCs w:val="24"/>
          <w:lang w:val="lv-LV"/>
        </w:rPr>
        <w:t xml:space="preserve">kārtas finansējuma saņēmēji atbilstoši </w:t>
      </w:r>
      <w:r w:rsidR="003E27C8" w:rsidRPr="003E27C8">
        <w:rPr>
          <w:rFonts w:ascii="Times New Roman" w:hAnsi="Times New Roman"/>
          <w:sz w:val="24"/>
          <w:szCs w:val="24"/>
          <w:lang w:val="lv-LV"/>
        </w:rPr>
        <w:t xml:space="preserve">2025. gada 7. janvāra Ministru kabineta noteikumu Nr. 19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4.2.1.8. pasākuma “Augstskolu studiju vides modernizācija” pirmās, otrās un trešās projektu iesniegumu atlases kārtas īstenošanas noteikumi”  (turpmāk – MK noteikumi Nr. 19) </w:t>
      </w:r>
      <w:r w:rsidR="00E2304A">
        <w:rPr>
          <w:rFonts w:ascii="Times New Roman" w:hAnsi="Times New Roman"/>
          <w:sz w:val="24"/>
          <w:szCs w:val="24"/>
          <w:lang w:val="lv-LV"/>
        </w:rPr>
        <w:t>28. un 50. punktam ir augstākās izglītības iestādes (turpmāk – AII), kas īsteno tādus projektus, kuriem atbalsts nekvalificējas kā komercdarbības atbalsts, jo projektiem nav ietekmes uz konkurenci un tirdzniecību Eiropas Savienības iekšējā tirgū. Projektu atbilstību komercdarbības atbalstu izslēdzošajiem kritērijiem</w:t>
      </w:r>
      <w:r w:rsidR="00FD07F8">
        <w:rPr>
          <w:rFonts w:ascii="Times New Roman" w:hAnsi="Times New Roman"/>
          <w:sz w:val="24"/>
          <w:szCs w:val="24"/>
          <w:lang w:val="lv-LV"/>
        </w:rPr>
        <w:t xml:space="preserve"> atbilstoši</w:t>
      </w:r>
      <w:r w:rsidR="00E2304A">
        <w:rPr>
          <w:rFonts w:ascii="Times New Roman" w:hAnsi="Times New Roman"/>
          <w:sz w:val="24"/>
          <w:szCs w:val="24"/>
          <w:lang w:val="lv-LV"/>
        </w:rPr>
        <w:t xml:space="preserve"> </w:t>
      </w:r>
      <w:r w:rsidR="00FD07F8">
        <w:rPr>
          <w:rFonts w:ascii="Times New Roman" w:hAnsi="Times New Roman"/>
          <w:sz w:val="24"/>
          <w:szCs w:val="24"/>
          <w:lang w:val="lv-LV"/>
        </w:rPr>
        <w:t xml:space="preserve">MK noteikumu Nr. 19 70. punktam </w:t>
      </w:r>
      <w:r w:rsidR="00E2304A">
        <w:rPr>
          <w:rFonts w:ascii="Times New Roman" w:hAnsi="Times New Roman"/>
          <w:sz w:val="24"/>
          <w:szCs w:val="24"/>
          <w:lang w:val="lv-LV"/>
        </w:rPr>
        <w:t xml:space="preserve">4.2.1.8. pasākuma otrās un trešās kārtas ietvaros vērtē projekta iesnieguma vērtēšanas brīdi atbilstoši šādiem </w:t>
      </w:r>
      <w:bookmarkStart w:id="1" w:name="_Hlk187749863"/>
      <w:r w:rsidR="00E2304A">
        <w:rPr>
          <w:rFonts w:ascii="Times New Roman" w:hAnsi="Times New Roman"/>
          <w:sz w:val="24"/>
          <w:szCs w:val="24"/>
          <w:lang w:val="lv-LV"/>
        </w:rPr>
        <w:t>komercdarbības atbalstu izslēdzošiem kritērijiem:</w:t>
      </w:r>
    </w:p>
    <w:bookmarkEnd w:id="1"/>
    <w:p w14:paraId="71BC8428" w14:textId="2D735E68" w:rsidR="00E2304A" w:rsidRDefault="775BBCC0" w:rsidP="00E2304A">
      <w:pPr>
        <w:spacing w:line="240" w:lineRule="auto"/>
        <w:jc w:val="both"/>
        <w:rPr>
          <w:rFonts w:ascii="Times New Roman" w:hAnsi="Times New Roman"/>
          <w:sz w:val="24"/>
          <w:szCs w:val="24"/>
          <w:lang w:val="lv-LV"/>
        </w:rPr>
      </w:pPr>
      <w:r w:rsidRPr="64A11853">
        <w:rPr>
          <w:rFonts w:ascii="Times New Roman" w:hAnsi="Times New Roman"/>
          <w:sz w:val="24"/>
          <w:szCs w:val="24"/>
          <w:lang w:val="lv-LV"/>
        </w:rPr>
        <w:t>1) augstskola</w:t>
      </w:r>
      <w:r w:rsidR="00D87357">
        <w:rPr>
          <w:rStyle w:val="FootnoteReference"/>
          <w:rFonts w:ascii="Times New Roman" w:hAnsi="Times New Roman"/>
          <w:sz w:val="24"/>
          <w:szCs w:val="24"/>
          <w:lang w:val="lv-LV"/>
        </w:rPr>
        <w:footnoteReference w:id="2"/>
      </w:r>
      <w:r w:rsidRPr="64A11853">
        <w:rPr>
          <w:rFonts w:ascii="Times New Roman" w:hAnsi="Times New Roman"/>
          <w:sz w:val="24"/>
          <w:szCs w:val="24"/>
          <w:lang w:val="lv-LV"/>
        </w:rPr>
        <w:t xml:space="preserve"> </w:t>
      </w:r>
      <w:bookmarkStart w:id="2" w:name="_Hlk189051470"/>
      <w:r w:rsidRPr="64A11853">
        <w:rPr>
          <w:rFonts w:ascii="Times New Roman" w:hAnsi="Times New Roman"/>
          <w:sz w:val="24"/>
          <w:szCs w:val="24"/>
          <w:lang w:val="lv-LV"/>
        </w:rPr>
        <w:t xml:space="preserve">neierindojas pasaules universitāšu reitinga </w:t>
      </w:r>
      <w:r w:rsidR="276B122A">
        <w:rPr>
          <w:rFonts w:ascii="Times New Roman" w:hAnsi="Times New Roman"/>
          <w:sz w:val="24"/>
          <w:szCs w:val="24"/>
          <w:lang w:val="lv-LV"/>
        </w:rPr>
        <w:t>500</w:t>
      </w:r>
      <w:r w:rsidR="276B122A" w:rsidRPr="64A11853">
        <w:rPr>
          <w:rFonts w:ascii="Times New Roman" w:hAnsi="Times New Roman"/>
          <w:sz w:val="24"/>
          <w:szCs w:val="24"/>
          <w:lang w:val="lv-LV"/>
        </w:rPr>
        <w:t xml:space="preserve"> </w:t>
      </w:r>
      <w:r w:rsidRPr="64A11853">
        <w:rPr>
          <w:rFonts w:ascii="Times New Roman" w:hAnsi="Times New Roman"/>
          <w:sz w:val="24"/>
          <w:szCs w:val="24"/>
          <w:lang w:val="lv-LV"/>
        </w:rPr>
        <w:t>labāko universitāšu sarakstā</w:t>
      </w:r>
      <w:bookmarkEnd w:id="2"/>
      <w:r w:rsidRPr="64A11853">
        <w:rPr>
          <w:rFonts w:ascii="Times New Roman" w:hAnsi="Times New Roman"/>
          <w:sz w:val="24"/>
          <w:szCs w:val="24"/>
          <w:lang w:val="lv-LV"/>
        </w:rPr>
        <w:t xml:space="preserve">; </w:t>
      </w:r>
    </w:p>
    <w:p w14:paraId="6826E4F2" w14:textId="189F22FE" w:rsidR="00E2304A" w:rsidRDefault="00E2304A" w:rsidP="00E2304A">
      <w:pPr>
        <w:spacing w:line="240" w:lineRule="auto"/>
        <w:jc w:val="both"/>
        <w:rPr>
          <w:rFonts w:ascii="Times New Roman" w:hAnsi="Times New Roman"/>
          <w:sz w:val="24"/>
          <w:szCs w:val="24"/>
          <w:lang w:val="lv-LV"/>
        </w:rPr>
      </w:pPr>
      <w:r>
        <w:rPr>
          <w:rFonts w:ascii="Times New Roman" w:hAnsi="Times New Roman"/>
          <w:sz w:val="24"/>
          <w:szCs w:val="24"/>
          <w:lang w:val="lv-LV"/>
        </w:rPr>
        <w:t xml:space="preserve">2) </w:t>
      </w:r>
      <w:bookmarkStart w:id="3" w:name="_Hlk189051378"/>
      <w:r>
        <w:rPr>
          <w:rFonts w:ascii="Times New Roman" w:hAnsi="Times New Roman"/>
          <w:sz w:val="24"/>
          <w:szCs w:val="24"/>
          <w:lang w:val="lv-LV"/>
        </w:rPr>
        <w:t>85 procenti un vairāk no visiem studējošajiem atbalstītajā objektā</w:t>
      </w:r>
      <w:r w:rsidR="00060003">
        <w:rPr>
          <w:rStyle w:val="FootnoteReference"/>
          <w:rFonts w:ascii="Times New Roman" w:hAnsi="Times New Roman"/>
          <w:sz w:val="24"/>
          <w:szCs w:val="24"/>
          <w:lang w:val="lv-LV"/>
        </w:rPr>
        <w:footnoteReference w:id="3"/>
      </w:r>
      <w:r>
        <w:rPr>
          <w:rFonts w:ascii="Times New Roman" w:hAnsi="Times New Roman"/>
          <w:sz w:val="24"/>
          <w:szCs w:val="24"/>
          <w:lang w:val="lv-LV"/>
        </w:rPr>
        <w:t xml:space="preserve"> gadā ir Latvijas iedzīvotāji</w:t>
      </w:r>
      <w:bookmarkEnd w:id="3"/>
      <w:r>
        <w:rPr>
          <w:rFonts w:ascii="Times New Roman" w:hAnsi="Times New Roman"/>
          <w:sz w:val="24"/>
          <w:szCs w:val="24"/>
          <w:lang w:val="lv-LV"/>
        </w:rPr>
        <w:t>;</w:t>
      </w:r>
    </w:p>
    <w:p w14:paraId="3729FFD7" w14:textId="77777777" w:rsidR="00E2304A" w:rsidRDefault="00E2304A" w:rsidP="00E2304A">
      <w:pPr>
        <w:spacing w:line="240" w:lineRule="auto"/>
        <w:jc w:val="both"/>
        <w:rPr>
          <w:rFonts w:ascii="Times New Roman" w:hAnsi="Times New Roman"/>
          <w:sz w:val="24"/>
          <w:szCs w:val="24"/>
          <w:lang w:val="lv-LV"/>
        </w:rPr>
      </w:pPr>
      <w:r>
        <w:rPr>
          <w:rFonts w:ascii="Times New Roman" w:hAnsi="Times New Roman"/>
          <w:sz w:val="24"/>
          <w:szCs w:val="24"/>
          <w:lang w:val="lv-LV"/>
        </w:rPr>
        <w:t xml:space="preserve">3) </w:t>
      </w:r>
      <w:bookmarkStart w:id="4" w:name="_Hlk187750922"/>
      <w:r>
        <w:rPr>
          <w:rFonts w:ascii="Times New Roman" w:hAnsi="Times New Roman"/>
          <w:sz w:val="24"/>
          <w:szCs w:val="24"/>
          <w:lang w:val="lv-LV"/>
        </w:rPr>
        <w:t>studijas pārsvarā notiek latviešu valodā</w:t>
      </w:r>
      <w:bookmarkEnd w:id="4"/>
      <w:r>
        <w:rPr>
          <w:rFonts w:ascii="Times New Roman" w:hAnsi="Times New Roman"/>
          <w:sz w:val="24"/>
          <w:szCs w:val="24"/>
          <w:lang w:val="lv-LV"/>
        </w:rPr>
        <w:t>.</w:t>
      </w:r>
    </w:p>
    <w:p w14:paraId="6148B278" w14:textId="77777777" w:rsidR="00E2304A" w:rsidRPr="00E2304A" w:rsidRDefault="00E2304A" w:rsidP="00E2304A">
      <w:pPr>
        <w:spacing w:line="240" w:lineRule="auto"/>
        <w:jc w:val="both"/>
        <w:rPr>
          <w:lang w:val="lv-LV"/>
        </w:rPr>
      </w:pPr>
      <w:r>
        <w:rPr>
          <w:rFonts w:ascii="Times New Roman" w:hAnsi="Times New Roman"/>
          <w:sz w:val="24"/>
          <w:szCs w:val="24"/>
          <w:lang w:val="lv-LV"/>
        </w:rPr>
        <w:t xml:space="preserve">Ja neizpildās vismaz viens kritērijs, tad pārējos kritērijus nevērtē. </w:t>
      </w:r>
    </w:p>
    <w:p w14:paraId="3CF39DDB" w14:textId="0A46200E" w:rsidR="00E2304A" w:rsidRPr="00E2304A" w:rsidRDefault="00E2304A" w:rsidP="00E2304A">
      <w:pPr>
        <w:spacing w:line="240" w:lineRule="auto"/>
        <w:jc w:val="both"/>
        <w:rPr>
          <w:lang w:val="lv-LV"/>
        </w:rPr>
      </w:pPr>
      <w:r>
        <w:rPr>
          <w:rFonts w:ascii="Times New Roman" w:hAnsi="Times New Roman"/>
          <w:b/>
          <w:bCs/>
          <w:sz w:val="24"/>
          <w:szCs w:val="24"/>
          <w:lang w:val="lv-LV"/>
        </w:rPr>
        <w:t>Pirmais kritērijs</w:t>
      </w:r>
      <w:r>
        <w:rPr>
          <w:rFonts w:ascii="Times New Roman" w:hAnsi="Times New Roman"/>
          <w:sz w:val="24"/>
          <w:szCs w:val="24"/>
          <w:lang w:val="lv-LV"/>
        </w:rPr>
        <w:t xml:space="preserve"> “augstskola neierindojas pasaules universitāšu reitinga </w:t>
      </w:r>
      <w:r w:rsidR="008F26C0">
        <w:rPr>
          <w:rFonts w:ascii="Times New Roman" w:hAnsi="Times New Roman"/>
          <w:sz w:val="24"/>
          <w:szCs w:val="24"/>
          <w:lang w:val="lv-LV"/>
        </w:rPr>
        <w:t xml:space="preserve">500 </w:t>
      </w:r>
      <w:r>
        <w:rPr>
          <w:rFonts w:ascii="Times New Roman" w:hAnsi="Times New Roman"/>
          <w:sz w:val="24"/>
          <w:szCs w:val="24"/>
          <w:lang w:val="lv-LV"/>
        </w:rPr>
        <w:t xml:space="preserve">labāko universitāšu sarakstā”, kas pamato Latvijas AII vietējo mērogu, ir Latvijas augstākās izglītības institūciju vieta pasaules augstskolu reitingos, un tas tiek vērtēts pēc šobrīd trīs ietekmīgākajiem universitāšu reitingiem: </w:t>
      </w:r>
    </w:p>
    <w:p w14:paraId="68FBA27D" w14:textId="77777777" w:rsidR="00E2304A" w:rsidRDefault="00E2304A" w:rsidP="0C939FFA">
      <w:pPr>
        <w:numPr>
          <w:ilvl w:val="0"/>
          <w:numId w:val="1"/>
        </w:numPr>
        <w:spacing w:line="240" w:lineRule="auto"/>
        <w:contextualSpacing/>
        <w:jc w:val="both"/>
        <w:rPr>
          <w:rFonts w:ascii="Times New Roman" w:hAnsi="Times New Roman"/>
          <w:sz w:val="24"/>
          <w:szCs w:val="24"/>
          <w:lang w:val="lv-LV"/>
        </w:rPr>
      </w:pPr>
      <w:r>
        <w:rPr>
          <w:rFonts w:ascii="Times New Roman" w:hAnsi="Times New Roman"/>
          <w:sz w:val="24"/>
          <w:szCs w:val="24"/>
          <w:lang w:val="lv-LV"/>
        </w:rPr>
        <w:t>“QS World University Rankings”</w:t>
      </w:r>
      <w:r>
        <w:rPr>
          <w:rFonts w:ascii="Times New Roman" w:hAnsi="Times New Roman"/>
          <w:sz w:val="24"/>
          <w:szCs w:val="24"/>
          <w:vertAlign w:val="superscript"/>
          <w:lang w:val="lv-LV"/>
        </w:rPr>
        <w:footnoteReference w:id="4"/>
      </w:r>
      <w:r>
        <w:rPr>
          <w:rFonts w:ascii="Times New Roman" w:hAnsi="Times New Roman"/>
          <w:sz w:val="24"/>
          <w:szCs w:val="24"/>
          <w:lang w:val="lv-LV"/>
        </w:rPr>
        <w:t xml:space="preserve">; </w:t>
      </w:r>
    </w:p>
    <w:p w14:paraId="18957DA3" w14:textId="77777777" w:rsidR="00E2304A" w:rsidRDefault="00E2304A" w:rsidP="00E2304A">
      <w:pPr>
        <w:numPr>
          <w:ilvl w:val="0"/>
          <w:numId w:val="1"/>
        </w:numPr>
        <w:spacing w:line="240" w:lineRule="auto"/>
        <w:contextualSpacing/>
        <w:jc w:val="both"/>
      </w:pPr>
      <w:r>
        <w:rPr>
          <w:rFonts w:ascii="Times New Roman" w:hAnsi="Times New Roman"/>
          <w:sz w:val="24"/>
          <w:szCs w:val="24"/>
          <w:lang w:val="lv-LV"/>
        </w:rPr>
        <w:lastRenderedPageBreak/>
        <w:t>“Times Higher Education (THE) World University Rankings”</w:t>
      </w:r>
      <w:r>
        <w:rPr>
          <w:rFonts w:ascii="Times New Roman" w:hAnsi="Times New Roman"/>
          <w:sz w:val="24"/>
          <w:szCs w:val="24"/>
          <w:vertAlign w:val="superscript"/>
          <w:lang w:val="lv-LV"/>
        </w:rPr>
        <w:footnoteReference w:id="5"/>
      </w:r>
      <w:r>
        <w:rPr>
          <w:rFonts w:ascii="Times New Roman" w:hAnsi="Times New Roman"/>
          <w:sz w:val="24"/>
          <w:szCs w:val="24"/>
          <w:lang w:val="lv-LV"/>
        </w:rPr>
        <w:t>;</w:t>
      </w:r>
    </w:p>
    <w:p w14:paraId="3A01A318" w14:textId="336D3DE7" w:rsidR="00E2304A" w:rsidRDefault="00E2304A" w:rsidP="440D6752">
      <w:pPr>
        <w:numPr>
          <w:ilvl w:val="0"/>
          <w:numId w:val="1"/>
        </w:numPr>
        <w:spacing w:line="240" w:lineRule="auto"/>
        <w:contextualSpacing/>
        <w:jc w:val="both"/>
        <w:rPr>
          <w:rFonts w:ascii="Times New Roman" w:hAnsi="Times New Roman"/>
          <w:sz w:val="24"/>
          <w:szCs w:val="24"/>
        </w:rPr>
      </w:pPr>
      <w:r w:rsidRPr="440D6752">
        <w:rPr>
          <w:rFonts w:ascii="Times New Roman" w:hAnsi="Times New Roman"/>
          <w:sz w:val="24"/>
          <w:szCs w:val="24"/>
        </w:rPr>
        <w:t xml:space="preserve">Šanhajas </w:t>
      </w:r>
      <w:bookmarkStart w:id="5" w:name="_Hlk187749564"/>
      <w:r w:rsidR="008F26C0" w:rsidRPr="440D6752">
        <w:rPr>
          <w:rFonts w:ascii="Times New Roman" w:hAnsi="Times New Roman"/>
          <w:sz w:val="24"/>
          <w:szCs w:val="24"/>
        </w:rPr>
        <w:t xml:space="preserve">reitings </w:t>
      </w:r>
      <w:r w:rsidRPr="440D6752">
        <w:rPr>
          <w:rFonts w:ascii="Times New Roman" w:hAnsi="Times New Roman"/>
          <w:sz w:val="24"/>
          <w:szCs w:val="24"/>
        </w:rPr>
        <w:t xml:space="preserve">“Academic Ranking of World Universities” </w:t>
      </w:r>
      <w:bookmarkEnd w:id="5"/>
      <w:r w:rsidRPr="440D6752">
        <w:rPr>
          <w:rFonts w:ascii="Times New Roman" w:hAnsi="Times New Roman"/>
          <w:sz w:val="24"/>
          <w:szCs w:val="24"/>
        </w:rPr>
        <w:t>(ARWU)</w:t>
      </w:r>
      <w:r w:rsidRPr="440D6752">
        <w:rPr>
          <w:rFonts w:ascii="Times New Roman" w:hAnsi="Times New Roman"/>
          <w:sz w:val="24"/>
          <w:szCs w:val="24"/>
          <w:vertAlign w:val="superscript"/>
        </w:rPr>
        <w:footnoteReference w:id="6"/>
      </w:r>
      <w:r w:rsidRPr="440D6752">
        <w:rPr>
          <w:rFonts w:ascii="Times New Roman" w:hAnsi="Times New Roman"/>
          <w:sz w:val="24"/>
          <w:szCs w:val="24"/>
        </w:rPr>
        <w:t xml:space="preserve"> . </w:t>
      </w:r>
    </w:p>
    <w:p w14:paraId="6BDA9121" w14:textId="77777777" w:rsidR="00E2304A" w:rsidRDefault="00E2304A" w:rsidP="00E2304A">
      <w:pPr>
        <w:spacing w:line="240" w:lineRule="auto"/>
        <w:ind w:left="720"/>
        <w:contextualSpacing/>
        <w:jc w:val="both"/>
      </w:pPr>
    </w:p>
    <w:p w14:paraId="3AFE8EC8" w14:textId="77777777" w:rsidR="00E2304A" w:rsidRDefault="00E2304A" w:rsidP="00E2304A">
      <w:pPr>
        <w:spacing w:after="0" w:line="240" w:lineRule="auto"/>
        <w:ind w:firstLine="360"/>
        <w:jc w:val="both"/>
        <w:rPr>
          <w:rFonts w:ascii="Times New Roman" w:hAnsi="Times New Roman"/>
          <w:sz w:val="24"/>
          <w:szCs w:val="24"/>
          <w:lang w:val="lv-LV"/>
        </w:rPr>
      </w:pPr>
      <w:r>
        <w:rPr>
          <w:rFonts w:ascii="Times New Roman" w:hAnsi="Times New Roman"/>
          <w:sz w:val="24"/>
          <w:szCs w:val="24"/>
          <w:lang w:val="lv-LV"/>
        </w:rPr>
        <w:t xml:space="preserve">Reitings “QS World University Rankings” tiek veidots kopš 2004. gada, vadoties pēc vairākiem indikatoriem: pasaules mēroga reputācijas (Academic and Employer reputation), augstskolu mācībspēku un darba devēju aptauju rezultātiem, citējamības (Research citations per paper, H-index), pasniedzēju un studentu skaita attiecības, kā arī ārvalstu studentu un mācībspēku īpatsvara. </w:t>
      </w:r>
    </w:p>
    <w:p w14:paraId="52B868CB" w14:textId="77777777" w:rsidR="00E2304A" w:rsidRDefault="00E2304A" w:rsidP="00E2304A">
      <w:pPr>
        <w:spacing w:after="0" w:line="240" w:lineRule="auto"/>
        <w:ind w:firstLine="360"/>
        <w:jc w:val="both"/>
        <w:rPr>
          <w:rFonts w:ascii="Times New Roman" w:hAnsi="Times New Roman"/>
          <w:sz w:val="24"/>
          <w:szCs w:val="24"/>
          <w:lang w:val="lv-LV"/>
        </w:rPr>
      </w:pPr>
      <w:r>
        <w:rPr>
          <w:rFonts w:ascii="Times New Roman" w:hAnsi="Times New Roman"/>
          <w:sz w:val="24"/>
          <w:szCs w:val="24"/>
          <w:lang w:val="lv-LV"/>
        </w:rPr>
        <w:t>Reitings “Times Higher Education (THE) World University Rankings” analizē zinātnes universitātes pēc pieciem parametriem, proti, mācīšanas kvalitātes (Teaching), citējumu skaita (Citations), pētniecības (research), starptautiskās perspektīvas (International Outlook) un ienākumiem no industrijas (Industry Income), kuri savukārt tiek tālāk sadalīti 13 rūpīgi izstrādātos veiktspējas rādītājos.</w:t>
      </w:r>
    </w:p>
    <w:p w14:paraId="0799214C" w14:textId="77777777" w:rsidR="00E2304A" w:rsidRPr="00E2304A" w:rsidRDefault="00E2304A" w:rsidP="00E2304A">
      <w:pPr>
        <w:spacing w:after="0" w:line="240" w:lineRule="auto"/>
        <w:ind w:firstLine="360"/>
        <w:jc w:val="both"/>
        <w:rPr>
          <w:lang w:val="lv-LV"/>
        </w:rPr>
      </w:pPr>
      <w:r>
        <w:rPr>
          <w:rFonts w:ascii="Times New Roman" w:hAnsi="Times New Roman"/>
          <w:sz w:val="24"/>
          <w:szCs w:val="24"/>
          <w:lang w:val="lv-LV"/>
        </w:rPr>
        <w:t xml:space="preserve">Šanhajas reitingā “Academic Ranking of World Universities” kopš 2003. gada universitātes tiek vērtētas, izmantojot vairākus akadēmiskos vai pētnieciskos veiktspējas rādītājus, tostarp absolventus un darbiniekus, kuri saņēmuši Nobela prēmijas (Nobel Prizes) un Fīldsa medaļas (Fields Medals), augsti citētus pētniekus, publikācijas žurnālos </w:t>
      </w:r>
      <w:r>
        <w:rPr>
          <w:rFonts w:ascii="Times New Roman" w:hAnsi="Times New Roman"/>
          <w:i/>
          <w:iCs/>
          <w:sz w:val="24"/>
          <w:szCs w:val="24"/>
          <w:lang w:val="lv-LV"/>
        </w:rPr>
        <w:t>Nature</w:t>
      </w:r>
      <w:r>
        <w:rPr>
          <w:rFonts w:ascii="Times New Roman" w:hAnsi="Times New Roman"/>
          <w:sz w:val="24"/>
          <w:szCs w:val="24"/>
          <w:lang w:val="lv-LV"/>
        </w:rPr>
        <w:t xml:space="preserve"> un </w:t>
      </w:r>
      <w:r>
        <w:rPr>
          <w:rFonts w:ascii="Times New Roman" w:hAnsi="Times New Roman"/>
          <w:i/>
          <w:iCs/>
          <w:sz w:val="24"/>
          <w:szCs w:val="24"/>
          <w:lang w:val="lv-LV"/>
        </w:rPr>
        <w:t>Science</w:t>
      </w:r>
      <w:r>
        <w:rPr>
          <w:rFonts w:ascii="Times New Roman" w:hAnsi="Times New Roman"/>
          <w:sz w:val="24"/>
          <w:szCs w:val="24"/>
          <w:lang w:val="lv-LV"/>
        </w:rPr>
        <w:t>, publikācijas, kas indeksētas galvenajos citējumu indeksos, kā arī institūcijas akadēmisko veiktspēju uz vienu iedzīvotāju. Katrai rādītāju kategorijai augstāko rezultātu ieguvusī institūcija saņem 100 punktus, un pārējo institūciju rezultāti tiek aprēķināti procentos attiecībā pret augstāko rezultātu.</w:t>
      </w:r>
    </w:p>
    <w:p w14:paraId="189F0327" w14:textId="77B36621" w:rsidR="00E2304A" w:rsidRPr="00E2304A" w:rsidRDefault="00E2304A" w:rsidP="00E2304A">
      <w:pPr>
        <w:spacing w:after="0" w:line="240" w:lineRule="auto"/>
        <w:ind w:firstLine="360"/>
        <w:jc w:val="both"/>
        <w:rPr>
          <w:lang w:val="lv-LV"/>
        </w:rPr>
      </w:pPr>
      <w:r>
        <w:rPr>
          <w:rFonts w:ascii="Times New Roman" w:hAnsi="Times New Roman"/>
          <w:sz w:val="24"/>
          <w:szCs w:val="24"/>
          <w:lang w:val="lv-LV"/>
        </w:rPr>
        <w:t xml:space="preserve">Ja augstskola nav ierindojusies nevienā pasaules universitāšu reitinga </w:t>
      </w:r>
      <w:r w:rsidR="00421742">
        <w:rPr>
          <w:rFonts w:ascii="Times New Roman" w:hAnsi="Times New Roman"/>
          <w:sz w:val="24"/>
          <w:szCs w:val="24"/>
          <w:lang w:val="lv-LV"/>
        </w:rPr>
        <w:t xml:space="preserve">500 </w:t>
      </w:r>
      <w:r>
        <w:rPr>
          <w:rFonts w:ascii="Times New Roman" w:hAnsi="Times New Roman"/>
          <w:sz w:val="24"/>
          <w:szCs w:val="24"/>
          <w:lang w:val="lv-LV"/>
        </w:rPr>
        <w:t>labāko universitāšu sarakstā, tad šādai AII un tās sniegtajiem pakalpojumiem nav ietekmes uz konkurenci un tirdzniecību Eiropas Savienības iekšējā tirgū un 4.2.1.8. pasākuma ietvaros sniegtais atbalsts nav kvalificējams kā komercdarbības atbalsts.</w:t>
      </w:r>
    </w:p>
    <w:p w14:paraId="2748BEE5" w14:textId="77777777" w:rsidR="00E2304A" w:rsidRDefault="00E2304A" w:rsidP="00E2304A">
      <w:pPr>
        <w:spacing w:after="0" w:line="240" w:lineRule="auto"/>
        <w:jc w:val="both"/>
        <w:rPr>
          <w:rFonts w:ascii="Times New Roman" w:hAnsi="Times New Roman"/>
          <w:sz w:val="24"/>
          <w:szCs w:val="24"/>
          <w:lang w:val="lv-LV"/>
        </w:rPr>
      </w:pPr>
    </w:p>
    <w:p w14:paraId="2CD014DC" w14:textId="5EAD0B99" w:rsidR="00E2304A" w:rsidRPr="00E2304A" w:rsidRDefault="775BBCC0" w:rsidP="00E2304A">
      <w:pPr>
        <w:spacing w:after="0" w:line="240" w:lineRule="auto"/>
        <w:jc w:val="both"/>
        <w:rPr>
          <w:lang w:val="lv-LV"/>
        </w:rPr>
      </w:pPr>
      <w:r w:rsidRPr="44318605">
        <w:rPr>
          <w:rFonts w:ascii="Times New Roman" w:hAnsi="Times New Roman"/>
          <w:b/>
          <w:bCs/>
          <w:sz w:val="24"/>
          <w:szCs w:val="24"/>
          <w:lang w:val="lv-LV"/>
        </w:rPr>
        <w:t>Otrais kritērijs</w:t>
      </w:r>
      <w:r w:rsidRPr="44318605">
        <w:rPr>
          <w:rFonts w:ascii="Times New Roman" w:hAnsi="Times New Roman"/>
          <w:sz w:val="24"/>
          <w:szCs w:val="24"/>
          <w:lang w:val="lv-LV"/>
        </w:rPr>
        <w:t xml:space="preserve"> “85 procenti un vairāk no visiem studējošajiem atbalstītajā objektā gadā ir Latvijas iedzīvotāji” tiek vērtēts atbilstoši Valsts izglītības informācijas</w:t>
      </w:r>
      <w:r w:rsidR="3F2771ED" w:rsidRPr="44318605">
        <w:rPr>
          <w:rFonts w:ascii="Times New Roman" w:hAnsi="Times New Roman"/>
          <w:sz w:val="24"/>
          <w:szCs w:val="24"/>
          <w:lang w:val="lv-LV"/>
        </w:rPr>
        <w:t xml:space="preserve"> sistēmas</w:t>
      </w:r>
      <w:r w:rsidRPr="44318605">
        <w:rPr>
          <w:rFonts w:ascii="Times New Roman" w:hAnsi="Times New Roman"/>
          <w:sz w:val="24"/>
          <w:szCs w:val="24"/>
          <w:lang w:val="lv-LV"/>
        </w:rPr>
        <w:t xml:space="preserve"> datiem (turpmāk – VIIS). Ja augstskolā ārvalstu </w:t>
      </w:r>
      <w:r w:rsidR="60356172" w:rsidRPr="44318605">
        <w:rPr>
          <w:rFonts w:ascii="Times New Roman" w:hAnsi="Times New Roman"/>
          <w:sz w:val="24"/>
          <w:szCs w:val="24"/>
          <w:lang w:val="lv-LV"/>
        </w:rPr>
        <w:t>studējošo</w:t>
      </w:r>
      <w:r w:rsidRPr="44318605">
        <w:rPr>
          <w:rFonts w:ascii="Times New Roman" w:hAnsi="Times New Roman"/>
          <w:sz w:val="24"/>
          <w:szCs w:val="24"/>
          <w:lang w:val="lv-LV"/>
        </w:rPr>
        <w:t xml:space="preserve"> īpatsvars ir mazāks par 15 %, tad šādai AII un tās sniegtajiem izglītības pakalpojumiem nav ietekmes uz konkurenci un tirdzniecību Eiropas Savienības iekšējā tirgū un 4.2.1.8. pasākuma ietvaros sniegtais atbalsts nav kvalificējams kā komercdarbības atbalsts.</w:t>
      </w:r>
    </w:p>
    <w:p w14:paraId="45BD0234" w14:textId="77777777" w:rsidR="00E2304A" w:rsidRDefault="00E2304A" w:rsidP="00E2304A">
      <w:pPr>
        <w:spacing w:after="0" w:line="240" w:lineRule="auto"/>
        <w:jc w:val="both"/>
        <w:rPr>
          <w:rFonts w:ascii="Times New Roman" w:hAnsi="Times New Roman"/>
          <w:sz w:val="24"/>
          <w:szCs w:val="24"/>
          <w:lang w:val="lv-LV"/>
        </w:rPr>
      </w:pPr>
    </w:p>
    <w:p w14:paraId="7F0A6D43" w14:textId="58D23F6A" w:rsidR="00E2304A" w:rsidRPr="00E2304A" w:rsidRDefault="00E2304A" w:rsidP="00E2304A">
      <w:pPr>
        <w:spacing w:after="0" w:line="240" w:lineRule="auto"/>
        <w:jc w:val="both"/>
        <w:rPr>
          <w:lang w:val="lv-LV"/>
        </w:rPr>
      </w:pPr>
      <w:r>
        <w:rPr>
          <w:rFonts w:ascii="Times New Roman" w:hAnsi="Times New Roman"/>
          <w:b/>
          <w:bCs/>
          <w:sz w:val="24"/>
          <w:szCs w:val="24"/>
          <w:lang w:val="lv-LV"/>
        </w:rPr>
        <w:t xml:space="preserve">Trešais kritērijs </w:t>
      </w:r>
      <w:r>
        <w:rPr>
          <w:rFonts w:ascii="Times New Roman" w:hAnsi="Times New Roman"/>
          <w:sz w:val="24"/>
          <w:szCs w:val="24"/>
          <w:lang w:val="lv-LV"/>
        </w:rPr>
        <w:t xml:space="preserve">“studijas pārsvarā notiek latviešu valodā” tiek </w:t>
      </w:r>
      <w:r w:rsidR="00F474EA">
        <w:rPr>
          <w:rFonts w:ascii="Times New Roman" w:hAnsi="Times New Roman"/>
          <w:sz w:val="24"/>
          <w:szCs w:val="24"/>
          <w:lang w:val="lv-LV"/>
        </w:rPr>
        <w:t xml:space="preserve">vērtēts, </w:t>
      </w:r>
      <w:r>
        <w:rPr>
          <w:rFonts w:ascii="Times New Roman" w:hAnsi="Times New Roman"/>
          <w:sz w:val="24"/>
          <w:szCs w:val="24"/>
          <w:lang w:val="lv-LV"/>
        </w:rPr>
        <w:t>izmanto</w:t>
      </w:r>
      <w:r w:rsidR="00F474EA">
        <w:rPr>
          <w:rFonts w:ascii="Times New Roman" w:hAnsi="Times New Roman"/>
          <w:sz w:val="24"/>
          <w:szCs w:val="24"/>
          <w:lang w:val="lv-LV"/>
        </w:rPr>
        <w:t>jot</w:t>
      </w:r>
      <w:r>
        <w:rPr>
          <w:rFonts w:ascii="Times New Roman" w:hAnsi="Times New Roman"/>
          <w:sz w:val="24"/>
          <w:szCs w:val="24"/>
          <w:lang w:val="lv-LV"/>
        </w:rPr>
        <w:t xml:space="preserve"> VIIS dat</w:t>
      </w:r>
      <w:r w:rsidR="00F474EA">
        <w:rPr>
          <w:rFonts w:ascii="Times New Roman" w:hAnsi="Times New Roman"/>
          <w:sz w:val="24"/>
          <w:szCs w:val="24"/>
          <w:lang w:val="lv-LV"/>
        </w:rPr>
        <w:t>us</w:t>
      </w:r>
      <w:r>
        <w:rPr>
          <w:rFonts w:ascii="Times New Roman" w:hAnsi="Times New Roman"/>
          <w:sz w:val="24"/>
          <w:szCs w:val="24"/>
          <w:lang w:val="lv-LV"/>
        </w:rPr>
        <w:t xml:space="preserve"> par atbilstošās studiju valodas īpatsvaru AII. Ar jēdzienu “pārsvarā” tiek saprasta proporcija vairāk nekā 50 %.</w:t>
      </w:r>
    </w:p>
    <w:p w14:paraId="4E0EA484" w14:textId="77777777" w:rsidR="00E2304A" w:rsidRDefault="00E2304A" w:rsidP="00E2304A">
      <w:pPr>
        <w:spacing w:after="0" w:line="240" w:lineRule="auto"/>
        <w:jc w:val="both"/>
        <w:rPr>
          <w:rFonts w:ascii="Times New Roman" w:hAnsi="Times New Roman"/>
          <w:sz w:val="24"/>
          <w:szCs w:val="24"/>
          <w:shd w:val="clear" w:color="auto" w:fill="FFFF00"/>
          <w:lang w:val="lv-LV"/>
        </w:rPr>
      </w:pPr>
    </w:p>
    <w:p w14:paraId="22CA3B7D" w14:textId="77777777" w:rsidR="00E2304A" w:rsidRDefault="00E2304A" w:rsidP="00E2304A">
      <w:pPr>
        <w:spacing w:after="0" w:line="240" w:lineRule="auto"/>
        <w:rPr>
          <w:rFonts w:ascii="Times New Roman" w:hAnsi="Times New Roman"/>
          <w:b/>
          <w:bCs/>
          <w:sz w:val="24"/>
          <w:szCs w:val="24"/>
          <w:lang w:val="lv-LV"/>
        </w:rPr>
      </w:pPr>
      <w:r>
        <w:rPr>
          <w:rFonts w:ascii="Times New Roman" w:hAnsi="Times New Roman"/>
          <w:b/>
          <w:bCs/>
          <w:sz w:val="24"/>
          <w:szCs w:val="24"/>
          <w:lang w:val="lv-LV"/>
        </w:rPr>
        <w:t>Kritēriju izvērtēšanas soļi</w:t>
      </w:r>
    </w:p>
    <w:p w14:paraId="4358F497" w14:textId="77777777" w:rsidR="00E2304A" w:rsidRDefault="00E2304A" w:rsidP="00E2304A">
      <w:pPr>
        <w:spacing w:after="0" w:line="240" w:lineRule="auto"/>
        <w:ind w:firstLine="720"/>
        <w:jc w:val="center"/>
        <w:rPr>
          <w:rFonts w:ascii="Times New Roman" w:hAnsi="Times New Roman"/>
          <w:b/>
          <w:bCs/>
          <w:sz w:val="24"/>
          <w:szCs w:val="24"/>
          <w:lang w:val="lv-LV"/>
        </w:rPr>
      </w:pPr>
    </w:p>
    <w:p w14:paraId="46AC17F3" w14:textId="26C0004E" w:rsidR="00E2304A" w:rsidRDefault="00E2304A" w:rsidP="00E2304A">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Metodikas ietvaros noteikti izvērtēšanas soļi, lai analizētu iepriekš minēto izglītības nozares kritēriju piemērošanu komercdarbības atbalsta klātbūtnes konstatēšanā 4.2.1.8. pasākuma projektu ietvaros. Komercdarbības atbalstu var sākt izvērēt  ar jebkuru iepriekš minēto kritēriju.</w:t>
      </w:r>
    </w:p>
    <w:p w14:paraId="531FAFF9" w14:textId="77777777" w:rsidR="00E2304A" w:rsidRDefault="00E2304A" w:rsidP="00E2304A">
      <w:pPr>
        <w:spacing w:after="0" w:line="240" w:lineRule="auto"/>
        <w:ind w:firstLine="720"/>
        <w:jc w:val="both"/>
        <w:rPr>
          <w:rFonts w:ascii="Times New Roman" w:hAnsi="Times New Roman"/>
          <w:sz w:val="24"/>
          <w:szCs w:val="24"/>
          <w:lang w:val="lv-LV"/>
        </w:rPr>
      </w:pPr>
    </w:p>
    <w:p w14:paraId="01AED67A" w14:textId="5B8CE902" w:rsidR="00E2304A" w:rsidRDefault="00E2304A" w:rsidP="00E2304A">
      <w:pPr>
        <w:spacing w:line="240" w:lineRule="auto"/>
        <w:jc w:val="both"/>
      </w:pPr>
      <w:r>
        <w:rPr>
          <w:rFonts w:ascii="Segoe UI Symbol" w:hAnsi="Segoe UI Symbol" w:cs="Segoe UI Symbol"/>
          <w:sz w:val="24"/>
          <w:szCs w:val="24"/>
          <w:lang w:val="lv-LV"/>
        </w:rPr>
        <w:lastRenderedPageBreak/>
        <w:t xml:space="preserve">✓ </w:t>
      </w:r>
      <w:r>
        <w:rPr>
          <w:rFonts w:ascii="Times New Roman" w:hAnsi="Times New Roman"/>
          <w:b/>
          <w:bCs/>
          <w:sz w:val="24"/>
          <w:szCs w:val="24"/>
          <w:lang w:val="lv-LV"/>
        </w:rPr>
        <w:t xml:space="preserve">Izvērtēšanu ieteicams  sākt ar kritēriju “augstskola neierindojas pasaules universitāšu reitinga </w:t>
      </w:r>
      <w:r w:rsidR="00635E53">
        <w:rPr>
          <w:rFonts w:ascii="Times New Roman" w:hAnsi="Times New Roman"/>
          <w:b/>
          <w:bCs/>
          <w:sz w:val="24"/>
          <w:szCs w:val="24"/>
          <w:lang w:val="lv-LV"/>
        </w:rPr>
        <w:t xml:space="preserve">500 </w:t>
      </w:r>
      <w:r>
        <w:rPr>
          <w:rFonts w:ascii="Times New Roman" w:hAnsi="Times New Roman"/>
          <w:b/>
          <w:bCs/>
          <w:sz w:val="24"/>
          <w:szCs w:val="24"/>
          <w:lang w:val="lv-LV"/>
        </w:rPr>
        <w:t>labāko universitāšu sarakstā”</w:t>
      </w:r>
      <w:r w:rsidR="00643AFB">
        <w:rPr>
          <w:rStyle w:val="FootnoteReference"/>
          <w:rFonts w:ascii="Times New Roman" w:hAnsi="Times New Roman"/>
          <w:b/>
          <w:bCs/>
          <w:sz w:val="24"/>
          <w:szCs w:val="24"/>
          <w:lang w:val="lv-LV"/>
        </w:rPr>
        <w:footnoteReference w:id="7"/>
      </w:r>
      <w:r>
        <w:rPr>
          <w:rFonts w:ascii="Times New Roman" w:hAnsi="Times New Roman"/>
          <w:sz w:val="24"/>
          <w:szCs w:val="24"/>
          <w:lang w:val="lv-LV"/>
        </w:rPr>
        <w:t xml:space="preserve">, nosakot, vai AII ierindojas kādā no iepriekš minētajiem reitingiem </w:t>
      </w:r>
      <w:r w:rsidR="00421742">
        <w:rPr>
          <w:rFonts w:ascii="Times New Roman" w:hAnsi="Times New Roman"/>
          <w:sz w:val="24"/>
          <w:szCs w:val="24"/>
          <w:lang w:val="lv-LV"/>
        </w:rPr>
        <w:t xml:space="preserve">500 </w:t>
      </w:r>
      <w:r>
        <w:rPr>
          <w:rFonts w:ascii="Times New Roman" w:hAnsi="Times New Roman"/>
          <w:sz w:val="24"/>
          <w:szCs w:val="24"/>
          <w:lang w:val="lv-LV"/>
        </w:rPr>
        <w:t>labāko universitāšu sarakstā. AII reitings tiek vērtēts:</w:t>
      </w:r>
    </w:p>
    <w:p w14:paraId="2B66B2D4" w14:textId="77777777" w:rsidR="00E2304A" w:rsidRDefault="00E2304A" w:rsidP="00E2304A">
      <w:pPr>
        <w:numPr>
          <w:ilvl w:val="0"/>
          <w:numId w:val="2"/>
        </w:numPr>
        <w:spacing w:line="240" w:lineRule="auto"/>
        <w:contextualSpacing/>
        <w:jc w:val="both"/>
      </w:pPr>
      <w:r>
        <w:rPr>
          <w:rFonts w:ascii="Times New Roman" w:hAnsi="Times New Roman"/>
          <w:sz w:val="24"/>
          <w:szCs w:val="24"/>
          <w:lang w:val="lv-LV"/>
        </w:rPr>
        <w:t xml:space="preserve">pasaules universitāšu reitingā “QS World University Rankings”, kas pieejams: </w:t>
      </w:r>
      <w:hyperlink r:id="rId11" w:history="1">
        <w:r>
          <w:rPr>
            <w:rFonts w:ascii="Times New Roman" w:hAnsi="Times New Roman"/>
            <w:color w:val="467886"/>
            <w:u w:val="single"/>
          </w:rPr>
          <w:t>https://www.topuniversities.com/university-rankings</w:t>
        </w:r>
      </w:hyperlink>
      <w:r>
        <w:rPr>
          <w:rFonts w:ascii="Times New Roman" w:hAnsi="Times New Roman"/>
        </w:rPr>
        <w:t xml:space="preserve">; </w:t>
      </w:r>
    </w:p>
    <w:p w14:paraId="1DE744D0" w14:textId="77777777" w:rsidR="00E2304A" w:rsidRDefault="00E2304A" w:rsidP="786258C8">
      <w:pPr>
        <w:numPr>
          <w:ilvl w:val="0"/>
          <w:numId w:val="2"/>
        </w:numPr>
        <w:spacing w:line="240" w:lineRule="auto"/>
        <w:contextualSpacing/>
        <w:jc w:val="both"/>
        <w:rPr>
          <w:rFonts w:ascii="Times New Roman" w:hAnsi="Times New Roman"/>
        </w:rPr>
      </w:pPr>
      <w:r w:rsidRPr="64A11853">
        <w:rPr>
          <w:rFonts w:ascii="Times New Roman" w:hAnsi="Times New Roman"/>
          <w:sz w:val="24"/>
          <w:szCs w:val="24"/>
          <w:lang w:val="lv-LV"/>
        </w:rPr>
        <w:t xml:space="preserve">pasaules universitāšu reitingā “Times Higher Education (THE) World University Rankings”, kas pieejams: </w:t>
      </w:r>
      <w:hyperlink r:id="rId12">
        <w:r w:rsidRPr="64A11853">
          <w:rPr>
            <w:rStyle w:val="Hyperlink"/>
            <w:rFonts w:ascii="Times New Roman" w:hAnsi="Times New Roman"/>
          </w:rPr>
          <w:t>https://www.timeshighereducation.com/world-university-rankings</w:t>
        </w:r>
      </w:hyperlink>
      <w:r w:rsidRPr="64A11853">
        <w:rPr>
          <w:rFonts w:ascii="Times New Roman" w:hAnsi="Times New Roman"/>
        </w:rPr>
        <w:t>;</w:t>
      </w:r>
    </w:p>
    <w:p w14:paraId="4C47A937" w14:textId="2862F640" w:rsidR="00E2304A" w:rsidRDefault="00E2304A" w:rsidP="00E2304A">
      <w:pPr>
        <w:numPr>
          <w:ilvl w:val="0"/>
          <w:numId w:val="2"/>
        </w:numPr>
        <w:spacing w:line="240" w:lineRule="auto"/>
        <w:contextualSpacing/>
        <w:jc w:val="both"/>
      </w:pPr>
      <w:r>
        <w:rPr>
          <w:rFonts w:ascii="Times New Roman" w:hAnsi="Times New Roman"/>
          <w:sz w:val="24"/>
          <w:szCs w:val="24"/>
          <w:lang w:val="lv-LV"/>
        </w:rPr>
        <w:t xml:space="preserve">Šanhajas </w:t>
      </w:r>
      <w:r w:rsidR="00635E53">
        <w:rPr>
          <w:rFonts w:ascii="Times New Roman" w:hAnsi="Times New Roman"/>
          <w:sz w:val="24"/>
          <w:szCs w:val="24"/>
          <w:lang w:val="lv-LV"/>
        </w:rPr>
        <w:t xml:space="preserve">reitingā </w:t>
      </w:r>
      <w:r>
        <w:rPr>
          <w:rFonts w:ascii="Times New Roman" w:hAnsi="Times New Roman"/>
          <w:sz w:val="24"/>
          <w:szCs w:val="24"/>
          <w:lang w:val="lv-LV"/>
        </w:rPr>
        <w:t xml:space="preserve">“Academic Ranking of World Universities” (ARWU), kas pieejams: </w:t>
      </w:r>
      <w:hyperlink r:id="rId13" w:history="1">
        <w:r>
          <w:rPr>
            <w:rStyle w:val="Hyperlink"/>
            <w:rFonts w:ascii="Times New Roman" w:hAnsi="Times New Roman"/>
          </w:rPr>
          <w:t>http://www.shanghairanking.com/</w:t>
        </w:r>
      </w:hyperlink>
    </w:p>
    <w:p w14:paraId="74339205" w14:textId="77777777" w:rsidR="00E2304A" w:rsidRDefault="00E2304A" w:rsidP="00E2304A">
      <w:pPr>
        <w:spacing w:line="240" w:lineRule="auto"/>
        <w:ind w:left="800"/>
        <w:contextualSpacing/>
        <w:jc w:val="both"/>
        <w:rPr>
          <w:rFonts w:ascii="Times New Roman" w:hAnsi="Times New Roman"/>
          <w:sz w:val="24"/>
          <w:szCs w:val="24"/>
          <w:lang w:val="lv-LV"/>
        </w:rPr>
      </w:pPr>
    </w:p>
    <w:p w14:paraId="7975D15C" w14:textId="0E624E71" w:rsidR="00E2304A" w:rsidRPr="00E2304A" w:rsidRDefault="00E2304A" w:rsidP="00E2304A">
      <w:pPr>
        <w:spacing w:line="240" w:lineRule="auto"/>
        <w:jc w:val="both"/>
        <w:rPr>
          <w:lang w:val="lv-LV"/>
        </w:rPr>
      </w:pPr>
      <w:r w:rsidRPr="64A11853">
        <w:rPr>
          <w:rFonts w:ascii="Segoe UI Symbol" w:hAnsi="Segoe UI Symbol" w:cs="Segoe UI Symbol"/>
          <w:sz w:val="24"/>
          <w:szCs w:val="24"/>
          <w:lang w:val="lv-LV"/>
        </w:rPr>
        <w:t>✓</w:t>
      </w:r>
      <w:r w:rsidRPr="64A11853">
        <w:rPr>
          <w:rFonts w:ascii="Times New Roman" w:hAnsi="Times New Roman"/>
          <w:sz w:val="24"/>
          <w:szCs w:val="24"/>
          <w:lang w:val="lv-LV"/>
        </w:rPr>
        <w:t xml:space="preserve"> Ja pēc izvērtēšanas secināms, ka AII neierindojas </w:t>
      </w:r>
      <w:r w:rsidR="00635E53">
        <w:rPr>
          <w:rFonts w:ascii="Times New Roman" w:hAnsi="Times New Roman"/>
          <w:sz w:val="24"/>
          <w:szCs w:val="24"/>
          <w:lang w:val="lv-LV"/>
        </w:rPr>
        <w:t>500</w:t>
      </w:r>
      <w:r w:rsidR="00635E53" w:rsidRPr="64A11853">
        <w:rPr>
          <w:rFonts w:ascii="Times New Roman" w:hAnsi="Times New Roman"/>
          <w:sz w:val="24"/>
          <w:szCs w:val="24"/>
          <w:lang w:val="lv-LV"/>
        </w:rPr>
        <w:t xml:space="preserve"> </w:t>
      </w:r>
      <w:r w:rsidRPr="64A11853">
        <w:rPr>
          <w:rFonts w:ascii="Times New Roman" w:hAnsi="Times New Roman"/>
          <w:sz w:val="24"/>
          <w:szCs w:val="24"/>
          <w:lang w:val="lv-LV"/>
        </w:rPr>
        <w:t>labāko universitāšu  nevienā sarakstā</w:t>
      </w:r>
      <w:r w:rsidR="00F23576">
        <w:rPr>
          <w:rStyle w:val="FootnoteReference"/>
          <w:rFonts w:ascii="Times New Roman" w:hAnsi="Times New Roman"/>
          <w:sz w:val="24"/>
          <w:szCs w:val="24"/>
          <w:lang w:val="lv-LV"/>
        </w:rPr>
        <w:footnoteReference w:id="8"/>
      </w:r>
      <w:r w:rsidRPr="64A11853">
        <w:rPr>
          <w:rFonts w:ascii="Times New Roman" w:hAnsi="Times New Roman"/>
          <w:sz w:val="24"/>
          <w:szCs w:val="24"/>
          <w:lang w:val="lv-LV"/>
        </w:rPr>
        <w:t xml:space="preserve">, tad </w:t>
      </w:r>
      <w:r w:rsidR="00635E53" w:rsidRPr="64A11853">
        <w:rPr>
          <w:rFonts w:ascii="Times New Roman" w:hAnsi="Times New Roman"/>
          <w:sz w:val="24"/>
          <w:szCs w:val="24"/>
          <w:lang w:val="lv-LV"/>
        </w:rPr>
        <w:t>tālāk</w:t>
      </w:r>
      <w:r w:rsidR="00635E53">
        <w:rPr>
          <w:rFonts w:ascii="Times New Roman" w:hAnsi="Times New Roman"/>
          <w:sz w:val="24"/>
          <w:szCs w:val="24"/>
          <w:lang w:val="lv-LV"/>
        </w:rPr>
        <w:t>u</w:t>
      </w:r>
      <w:r w:rsidR="00635E53" w:rsidRPr="64A11853">
        <w:rPr>
          <w:rFonts w:ascii="Times New Roman" w:hAnsi="Times New Roman"/>
          <w:sz w:val="24"/>
          <w:szCs w:val="24"/>
          <w:lang w:val="lv-LV"/>
        </w:rPr>
        <w:t xml:space="preserve"> </w:t>
      </w:r>
      <w:r w:rsidRPr="64A11853">
        <w:rPr>
          <w:rFonts w:ascii="Times New Roman" w:hAnsi="Times New Roman"/>
          <w:sz w:val="24"/>
          <w:szCs w:val="24"/>
          <w:lang w:val="lv-LV"/>
        </w:rPr>
        <w:t xml:space="preserve">izvērtēšanu neveic, un 4.2.1.8. pasākuma ietvaros piešķirtais finansējums nav atbalsts komercdarbībai, tas neietekmē tirgu un pasākumam ir vietējs raksturs. </w:t>
      </w:r>
    </w:p>
    <w:p w14:paraId="37EDA6E4" w14:textId="77777777" w:rsidR="00E2304A" w:rsidRPr="00E2304A" w:rsidRDefault="00E2304A" w:rsidP="00E2304A">
      <w:pPr>
        <w:spacing w:line="240" w:lineRule="auto"/>
        <w:jc w:val="both"/>
        <w:rPr>
          <w:lang w:val="lv-LV"/>
        </w:rPr>
      </w:pPr>
      <w:r>
        <w:rPr>
          <w:rFonts w:ascii="Segoe UI Symbol" w:hAnsi="Segoe UI Symbol" w:cs="Segoe UI Symbol"/>
          <w:sz w:val="24"/>
          <w:szCs w:val="24"/>
          <w:lang w:val="lv-LV"/>
        </w:rPr>
        <w:t>✓</w:t>
      </w:r>
      <w:r>
        <w:rPr>
          <w:rFonts w:ascii="Times New Roman" w:hAnsi="Times New Roman"/>
          <w:sz w:val="24"/>
          <w:szCs w:val="24"/>
          <w:lang w:val="lv-LV"/>
        </w:rPr>
        <w:t xml:space="preserve"> Ja kritērijs</w:t>
      </w:r>
      <w:r>
        <w:rPr>
          <w:rFonts w:ascii="Times New Roman" w:hAnsi="Times New Roman"/>
          <w:b/>
          <w:bCs/>
          <w:sz w:val="24"/>
          <w:szCs w:val="24"/>
          <w:lang w:val="lv-LV"/>
        </w:rPr>
        <w:t xml:space="preserve"> “</w:t>
      </w:r>
      <w:bookmarkStart w:id="6" w:name="_Hlk187751123"/>
      <w:r>
        <w:rPr>
          <w:rFonts w:ascii="Times New Roman" w:hAnsi="Times New Roman"/>
          <w:b/>
          <w:bCs/>
          <w:sz w:val="24"/>
          <w:szCs w:val="24"/>
          <w:lang w:val="lv-LV"/>
        </w:rPr>
        <w:t>augstskola neierindojas pasaules universitāšu reitinga piecsimt labāko universitāšu sarakstā</w:t>
      </w:r>
      <w:bookmarkEnd w:id="6"/>
      <w:r>
        <w:rPr>
          <w:rFonts w:ascii="Times New Roman" w:hAnsi="Times New Roman"/>
          <w:b/>
          <w:bCs/>
          <w:sz w:val="24"/>
          <w:szCs w:val="24"/>
          <w:lang w:val="lv-LV"/>
        </w:rPr>
        <w:t xml:space="preserve">” </w:t>
      </w:r>
      <w:r>
        <w:rPr>
          <w:rFonts w:ascii="Times New Roman" w:hAnsi="Times New Roman"/>
          <w:sz w:val="24"/>
          <w:szCs w:val="24"/>
          <w:lang w:val="lv-LV"/>
        </w:rPr>
        <w:t xml:space="preserve">izpildās, tad tiek vērtēts nākamais kritērijs </w:t>
      </w:r>
      <w:r>
        <w:rPr>
          <w:rFonts w:ascii="Times New Roman" w:hAnsi="Times New Roman"/>
          <w:b/>
          <w:bCs/>
          <w:sz w:val="24"/>
          <w:szCs w:val="24"/>
          <w:lang w:val="lv-LV"/>
        </w:rPr>
        <w:t>“</w:t>
      </w:r>
      <w:bookmarkStart w:id="7" w:name="_Hlk187750801"/>
      <w:r>
        <w:rPr>
          <w:rFonts w:ascii="Times New Roman" w:hAnsi="Times New Roman"/>
          <w:b/>
          <w:bCs/>
          <w:sz w:val="24"/>
          <w:szCs w:val="24"/>
          <w:lang w:val="lv-LV"/>
        </w:rPr>
        <w:t>85 procenti un vairāk no visiem studējošajiem atbalstītajā objektā gadā ir Latvijas iedzīvotāji.</w:t>
      </w:r>
      <w:bookmarkEnd w:id="7"/>
      <w:r>
        <w:rPr>
          <w:rFonts w:ascii="Times New Roman" w:hAnsi="Times New Roman"/>
          <w:b/>
          <w:bCs/>
          <w:sz w:val="24"/>
          <w:szCs w:val="24"/>
          <w:lang w:val="lv-LV"/>
        </w:rPr>
        <w:t>”</w:t>
      </w:r>
    </w:p>
    <w:p w14:paraId="33284508" w14:textId="133D7F2C" w:rsidR="00E2304A" w:rsidRPr="00E2304A" w:rsidRDefault="00E2304A" w:rsidP="00E2304A">
      <w:pPr>
        <w:spacing w:line="240" w:lineRule="auto"/>
        <w:rPr>
          <w:lang w:val="lv-LV"/>
        </w:rPr>
      </w:pPr>
      <w:bookmarkStart w:id="8" w:name="_Hlk188360794"/>
      <w:r>
        <w:rPr>
          <w:rFonts w:ascii="Times New Roman" w:hAnsi="Times New Roman"/>
          <w:b/>
          <w:bCs/>
          <w:sz w:val="24"/>
          <w:szCs w:val="24"/>
          <w:lang w:val="lv-LV"/>
        </w:rPr>
        <w:t xml:space="preserve">Datus izvērtē atbilstoši informācijai, kas pieejama VIIS. </w:t>
      </w:r>
      <w:r w:rsidR="00900D14">
        <w:rPr>
          <w:rFonts w:ascii="Times New Roman" w:hAnsi="Times New Roman"/>
          <w:sz w:val="24"/>
          <w:szCs w:val="24"/>
          <w:lang w:val="lv-LV"/>
        </w:rPr>
        <w:t>Centrālā finanšu un līgumu aģentūra (turpmāk – CFLA)</w:t>
      </w:r>
      <w:r>
        <w:rPr>
          <w:rFonts w:ascii="Times New Roman" w:hAnsi="Times New Roman"/>
          <w:b/>
          <w:bCs/>
          <w:sz w:val="24"/>
          <w:szCs w:val="24"/>
          <w:lang w:val="lv-LV"/>
        </w:rPr>
        <w:t xml:space="preserve"> iesniedz pieprasījumu par datu saņemšanu IZM. </w:t>
      </w:r>
    </w:p>
    <w:bookmarkEnd w:id="8"/>
    <w:p w14:paraId="2AED1355" w14:textId="77777777" w:rsidR="00E2304A" w:rsidRPr="00E2304A" w:rsidRDefault="00E2304A" w:rsidP="00E2304A">
      <w:pPr>
        <w:spacing w:line="240" w:lineRule="auto"/>
        <w:jc w:val="both"/>
        <w:rPr>
          <w:lang w:val="lv-LV"/>
        </w:rPr>
      </w:pPr>
      <w:r>
        <w:rPr>
          <w:rFonts w:ascii="Segoe UI Symbol" w:hAnsi="Segoe UI Symbol" w:cs="Segoe UI Symbol"/>
          <w:sz w:val="24"/>
          <w:szCs w:val="24"/>
          <w:lang w:val="lv-LV"/>
        </w:rPr>
        <w:t>✓</w:t>
      </w:r>
      <w:r>
        <w:rPr>
          <w:rFonts w:ascii="Times New Roman" w:hAnsi="Times New Roman"/>
          <w:sz w:val="24"/>
          <w:szCs w:val="24"/>
          <w:lang w:val="lv-LV"/>
        </w:rPr>
        <w:t xml:space="preserve"> Ja pēc izvērtēšanas secināms, ka 85 procenti un vairāk no visiem studējošajiem atbalstītajā objektā gadā ir Latvijas iedzīvotāji, tad tālāko izvērtēšanu neveic. Un 4.2.1.8. pasākuma ietvaros piešķirtais finansējums nav atbalsts komercdarbībai, tas neietekmē tirgu un pasākumam ir vietējs raksturs. </w:t>
      </w:r>
    </w:p>
    <w:p w14:paraId="640B6C08" w14:textId="77777777" w:rsidR="00E2304A" w:rsidRPr="00E2304A" w:rsidRDefault="00E2304A" w:rsidP="00E2304A">
      <w:pPr>
        <w:spacing w:line="240" w:lineRule="auto"/>
        <w:jc w:val="both"/>
        <w:rPr>
          <w:lang w:val="lv-LV"/>
        </w:rPr>
      </w:pPr>
      <w:r>
        <w:rPr>
          <w:rFonts w:ascii="Segoe UI Symbol" w:hAnsi="Segoe UI Symbol" w:cs="Segoe UI Symbol"/>
          <w:sz w:val="24"/>
          <w:szCs w:val="24"/>
          <w:lang w:val="lv-LV"/>
        </w:rPr>
        <w:t>✓</w:t>
      </w:r>
      <w:r>
        <w:rPr>
          <w:rFonts w:ascii="Times New Roman" w:hAnsi="Times New Roman"/>
          <w:sz w:val="24"/>
          <w:szCs w:val="24"/>
          <w:lang w:val="lv-LV"/>
        </w:rPr>
        <w:t xml:space="preserve"> Ja kritērijs</w:t>
      </w:r>
      <w:r>
        <w:rPr>
          <w:rFonts w:ascii="Times New Roman" w:hAnsi="Times New Roman"/>
          <w:b/>
          <w:bCs/>
          <w:sz w:val="24"/>
          <w:szCs w:val="24"/>
          <w:lang w:val="lv-LV"/>
        </w:rPr>
        <w:t xml:space="preserve"> “85 procenti un vairāk no visiem studējošajiem atbalstītajā objektā gadā ir Latvijas iedzīvotāji” </w:t>
      </w:r>
      <w:r>
        <w:rPr>
          <w:rFonts w:ascii="Times New Roman" w:hAnsi="Times New Roman"/>
          <w:sz w:val="24"/>
          <w:szCs w:val="24"/>
          <w:lang w:val="lv-LV"/>
        </w:rPr>
        <w:t xml:space="preserve">neizpildās, proti, Latvijas iedzīvotāji no visiem studējošajiem atbalstītajā objektā ir mazāk nekā 85 %, tad tiek vērtēts nākamais kritērijs </w:t>
      </w:r>
      <w:r>
        <w:rPr>
          <w:rFonts w:ascii="Times New Roman" w:hAnsi="Times New Roman"/>
          <w:b/>
          <w:bCs/>
          <w:sz w:val="24"/>
          <w:szCs w:val="24"/>
          <w:lang w:val="lv-LV"/>
        </w:rPr>
        <w:t>“studijas pārsvarā notiek latviešu valodā.”</w:t>
      </w:r>
    </w:p>
    <w:p w14:paraId="253C6C0A" w14:textId="77777777" w:rsidR="00E2304A" w:rsidRPr="00E2304A" w:rsidRDefault="00E2304A" w:rsidP="00E2304A">
      <w:pPr>
        <w:spacing w:line="240" w:lineRule="auto"/>
        <w:rPr>
          <w:lang w:val="lv-LV"/>
        </w:rPr>
      </w:pPr>
      <w:r>
        <w:rPr>
          <w:rFonts w:ascii="Times New Roman" w:hAnsi="Times New Roman"/>
          <w:b/>
          <w:bCs/>
          <w:sz w:val="24"/>
          <w:szCs w:val="24"/>
          <w:lang w:val="lv-LV"/>
        </w:rPr>
        <w:t xml:space="preserve">Datus izvērtē atbilstoši informācijai, kas pieejama VIIS. CFLA iesniedz pieprasījumu par datu saņemšanu IZM. </w:t>
      </w:r>
    </w:p>
    <w:p w14:paraId="1A097C26" w14:textId="77777777" w:rsidR="00E2304A" w:rsidRPr="00E2304A" w:rsidRDefault="00E2304A" w:rsidP="00E2304A">
      <w:pPr>
        <w:spacing w:line="240" w:lineRule="auto"/>
        <w:jc w:val="both"/>
        <w:rPr>
          <w:lang w:val="lv-LV"/>
        </w:rPr>
      </w:pPr>
      <w:r>
        <w:rPr>
          <w:rFonts w:ascii="Segoe UI Symbol" w:hAnsi="Segoe UI Symbol" w:cs="Segoe UI Symbol"/>
          <w:sz w:val="24"/>
          <w:szCs w:val="24"/>
          <w:lang w:val="lv-LV"/>
        </w:rPr>
        <w:t xml:space="preserve">✓ </w:t>
      </w:r>
      <w:r>
        <w:rPr>
          <w:rFonts w:ascii="Times New Roman" w:hAnsi="Times New Roman"/>
          <w:sz w:val="24"/>
          <w:szCs w:val="24"/>
          <w:lang w:val="lv-LV"/>
        </w:rPr>
        <w:t xml:space="preserve">Ja pēc izvērtēšanas secināms, ka studijas pārsvarā notiek latviešu valodā, tad 4.2.1.8. pasākuma ietvaros piešķirtais finansējums nav atbalsts komercdarbībai, tas neietekmē tirgu un pasākumam ir vietējs raksturs. </w:t>
      </w:r>
    </w:p>
    <w:p w14:paraId="78EC8056" w14:textId="1CD5EB66" w:rsidR="00E2304A" w:rsidRPr="00E2304A" w:rsidRDefault="00E2304A" w:rsidP="002F53F4">
      <w:pPr>
        <w:spacing w:after="0" w:line="240" w:lineRule="auto"/>
        <w:jc w:val="both"/>
        <w:rPr>
          <w:lang w:val="lv-LV"/>
        </w:rPr>
      </w:pPr>
      <w:r>
        <w:rPr>
          <w:rFonts w:ascii="Times New Roman" w:hAnsi="Times New Roman"/>
          <w:sz w:val="24"/>
          <w:szCs w:val="24"/>
          <w:lang w:val="lv-LV"/>
        </w:rPr>
        <w:t xml:space="preserve">Situācijās, kad </w:t>
      </w:r>
      <w:r>
        <w:rPr>
          <w:rFonts w:ascii="Times New Roman" w:hAnsi="Times New Roman"/>
          <w:b/>
          <w:bCs/>
          <w:sz w:val="24"/>
          <w:szCs w:val="24"/>
          <w:lang w:val="lv-LV"/>
        </w:rPr>
        <w:t xml:space="preserve">neizpildās visi trīs kritēriji </w:t>
      </w:r>
      <w:r>
        <w:rPr>
          <w:rFonts w:ascii="Times New Roman" w:hAnsi="Times New Roman"/>
          <w:sz w:val="24"/>
          <w:szCs w:val="24"/>
          <w:lang w:val="lv-LV"/>
        </w:rPr>
        <w:t xml:space="preserve">komercdarbības atbalsta izpratnē – t.i. gan augstskola ierindojas pasaules universitāšu reitinga </w:t>
      </w:r>
      <w:r w:rsidR="001D5BB4">
        <w:rPr>
          <w:rFonts w:ascii="Times New Roman" w:hAnsi="Times New Roman"/>
          <w:sz w:val="24"/>
          <w:szCs w:val="24"/>
          <w:lang w:val="lv-LV"/>
        </w:rPr>
        <w:t xml:space="preserve">500 </w:t>
      </w:r>
      <w:r>
        <w:rPr>
          <w:rFonts w:ascii="Times New Roman" w:hAnsi="Times New Roman"/>
          <w:sz w:val="24"/>
          <w:szCs w:val="24"/>
          <w:lang w:val="lv-LV"/>
        </w:rPr>
        <w:t xml:space="preserve">labāko universitāšu sarakstā vismaz vienā no minētajiem reitingiem, gan mazāk nekā 85 % no visiem studējošajiem atbalstītajā objektā gadā ir Latvijas iedzīvotāji, gan  studijas pārsvarā nenotiek latviešu valodā, uzskatāms, ka projekta ietvaros piešķirtais publiskais finansējums ir kvalificējams kā komercdarbības atbalsts. </w:t>
      </w:r>
      <w:r w:rsidR="000D4528" w:rsidRPr="44318605">
        <w:rPr>
          <w:rFonts w:ascii="Times New Roman" w:hAnsi="Times New Roman"/>
          <w:sz w:val="24"/>
          <w:szCs w:val="24"/>
          <w:lang w:val="lv-LV"/>
        </w:rPr>
        <w:t xml:space="preserve">Ja neizpildās visi trīs kritēriji, tad Latvijas AII sniegtajiem pakalpojumiem ir ietekme uz Eiropas </w:t>
      </w:r>
      <w:r w:rsidR="000D4528" w:rsidRPr="44318605">
        <w:rPr>
          <w:rFonts w:ascii="Times New Roman" w:hAnsi="Times New Roman"/>
          <w:sz w:val="24"/>
          <w:szCs w:val="24"/>
          <w:lang w:val="lv-LV"/>
        </w:rPr>
        <w:lastRenderedPageBreak/>
        <w:t>Savienības iekšējo tirgu, kā rezultātā atbalsts 4.2.1.8. pasākuma ietvaros ir kvalificējams kā komercdarbības atbalsts un šāds projekta iesniegums netiek apstiprināts.</w:t>
      </w:r>
    </w:p>
    <w:p w14:paraId="591CCA81" w14:textId="5E570CF3" w:rsidR="00E2304A" w:rsidRDefault="775BBCC0" w:rsidP="002F53F4">
      <w:pPr>
        <w:spacing w:after="0" w:line="240" w:lineRule="auto"/>
        <w:ind w:firstLine="720"/>
        <w:jc w:val="both"/>
        <w:rPr>
          <w:rFonts w:ascii="Times New Roman" w:hAnsi="Times New Roman"/>
          <w:sz w:val="24"/>
          <w:szCs w:val="24"/>
          <w:lang w:val="lv-LV"/>
        </w:rPr>
      </w:pPr>
      <w:r w:rsidRPr="44318605">
        <w:rPr>
          <w:rFonts w:ascii="Times New Roman" w:hAnsi="Times New Roman"/>
          <w:sz w:val="24"/>
          <w:szCs w:val="24"/>
          <w:lang w:val="lv-LV"/>
        </w:rPr>
        <w:t xml:space="preserve">Ja kaut viens no komercdarbības atbalstu izslēdzošiem kritērijiem izpildās (pārējos </w:t>
      </w:r>
      <w:r w:rsidR="7DEA1160" w:rsidRPr="44318605">
        <w:rPr>
          <w:rFonts w:ascii="Times New Roman" w:hAnsi="Times New Roman"/>
          <w:sz w:val="24"/>
          <w:szCs w:val="24"/>
          <w:lang w:val="lv-LV"/>
        </w:rPr>
        <w:t xml:space="preserve">komercdarbības atbalstu izslēdzošos kritērijus </w:t>
      </w:r>
      <w:r w:rsidRPr="44318605">
        <w:rPr>
          <w:rFonts w:ascii="Times New Roman" w:hAnsi="Times New Roman"/>
          <w:sz w:val="24"/>
          <w:szCs w:val="24"/>
          <w:lang w:val="lv-LV"/>
        </w:rPr>
        <w:t>nevērtē), tad Latvijas AII sniegtajiem izglītības pakalpojumiem ir vietējs raksturs, šādi pakalpojumi neietekmē tirdzniecību un neizkropļo konkurenci E</w:t>
      </w:r>
      <w:r w:rsidR="7DEA1160" w:rsidRPr="44318605">
        <w:rPr>
          <w:rFonts w:ascii="Times New Roman" w:hAnsi="Times New Roman"/>
          <w:sz w:val="24"/>
          <w:szCs w:val="24"/>
          <w:lang w:val="lv-LV"/>
        </w:rPr>
        <w:t xml:space="preserve">iropas </w:t>
      </w:r>
      <w:r w:rsidRPr="44318605">
        <w:rPr>
          <w:rFonts w:ascii="Times New Roman" w:hAnsi="Times New Roman"/>
          <w:sz w:val="24"/>
          <w:szCs w:val="24"/>
          <w:lang w:val="lv-LV"/>
        </w:rPr>
        <w:t>S</w:t>
      </w:r>
      <w:r w:rsidR="7DEA1160" w:rsidRPr="44318605">
        <w:rPr>
          <w:rFonts w:ascii="Times New Roman" w:hAnsi="Times New Roman"/>
          <w:sz w:val="24"/>
          <w:szCs w:val="24"/>
          <w:lang w:val="lv-LV"/>
        </w:rPr>
        <w:t>avienības</w:t>
      </w:r>
      <w:r w:rsidRPr="44318605">
        <w:rPr>
          <w:rFonts w:ascii="Times New Roman" w:hAnsi="Times New Roman"/>
          <w:sz w:val="24"/>
          <w:szCs w:val="24"/>
          <w:lang w:val="lv-LV"/>
        </w:rPr>
        <w:t xml:space="preserve"> iekšējā tirgū,  un 4.2.1.8. pasākuma projektiem nav ietekmes uz konkurenci un tirdzniecību Eiropas Savienības iekšējā tirgū, kā rezultātā projektu vērtēšanas brīdī tiek konstatēts, ka šādam projektam var tikt piešķirts atbalsts</w:t>
      </w:r>
      <w:r w:rsidR="00A94AD8">
        <w:rPr>
          <w:rFonts w:ascii="Times New Roman" w:hAnsi="Times New Roman"/>
          <w:sz w:val="24"/>
          <w:szCs w:val="24"/>
          <w:lang w:val="lv-LV"/>
        </w:rPr>
        <w:t xml:space="preserve">, </w:t>
      </w:r>
      <w:r w:rsidR="00A94AD8" w:rsidRPr="00A94AD8">
        <w:rPr>
          <w:rFonts w:ascii="Times New Roman" w:hAnsi="Times New Roman"/>
          <w:sz w:val="24"/>
          <w:szCs w:val="24"/>
          <w:lang w:val="lv-LV"/>
        </w:rPr>
        <w:t>ja projekta iesniegums atbilst arī visiem pārējiem</w:t>
      </w:r>
      <w:r w:rsidR="00A94AD8">
        <w:rPr>
          <w:rFonts w:ascii="Times New Roman" w:hAnsi="Times New Roman"/>
          <w:sz w:val="24"/>
          <w:szCs w:val="24"/>
          <w:lang w:val="lv-LV"/>
        </w:rPr>
        <w:t xml:space="preserve"> vērtēšanas</w:t>
      </w:r>
      <w:r w:rsidR="00A94AD8" w:rsidRPr="00A94AD8">
        <w:rPr>
          <w:rFonts w:ascii="Times New Roman" w:hAnsi="Times New Roman"/>
          <w:sz w:val="24"/>
          <w:szCs w:val="24"/>
          <w:lang w:val="lv-LV"/>
        </w:rPr>
        <w:t xml:space="preserve"> kritērijiem.</w:t>
      </w:r>
    </w:p>
    <w:p w14:paraId="40918AA2" w14:textId="42ADC69F" w:rsidR="00E2304A" w:rsidRPr="00E2304A" w:rsidRDefault="775BBCC0" w:rsidP="00E2304A">
      <w:pPr>
        <w:spacing w:line="240" w:lineRule="auto"/>
        <w:ind w:firstLine="720"/>
        <w:rPr>
          <w:lang w:val="lv-LV"/>
        </w:rPr>
      </w:pPr>
      <w:r w:rsidRPr="44318605">
        <w:rPr>
          <w:rFonts w:ascii="Times New Roman" w:hAnsi="Times New Roman"/>
          <w:sz w:val="24"/>
          <w:szCs w:val="24"/>
          <w:lang w:val="lv-LV"/>
        </w:rPr>
        <w:t xml:space="preserve">Izvērtētos komercdarbības atbalsta kritērijus pēc projekta apstiprināšanas sadarbības iestāde nepārvērtē. </w:t>
      </w:r>
      <w:r w:rsidR="6A83175A" w:rsidRPr="44318605">
        <w:rPr>
          <w:rFonts w:ascii="Times New Roman" w:hAnsi="Times New Roman"/>
          <w:sz w:val="24"/>
          <w:szCs w:val="24"/>
          <w:lang w:val="lv-LV"/>
        </w:rPr>
        <w:t>Metodika ir izstrādāta tikai projektu izvērtēšanas vajadzībām.</w:t>
      </w:r>
    </w:p>
    <w:p w14:paraId="2A80458A" w14:textId="77777777" w:rsidR="00E2304A" w:rsidRPr="00E2304A" w:rsidRDefault="00E2304A" w:rsidP="00E2304A">
      <w:pPr>
        <w:rPr>
          <w:lang w:val="lv-LV"/>
        </w:rPr>
      </w:pPr>
    </w:p>
    <w:p w14:paraId="4F70D432" w14:textId="77777777" w:rsidR="006E72E8" w:rsidRPr="00E2304A" w:rsidRDefault="006E72E8">
      <w:pPr>
        <w:rPr>
          <w:lang w:val="lv-LV"/>
        </w:rPr>
      </w:pPr>
    </w:p>
    <w:sectPr w:rsidR="006E72E8" w:rsidRPr="00E2304A" w:rsidSect="00E2304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B881" w14:textId="77777777" w:rsidR="00454B5B" w:rsidRDefault="00454B5B" w:rsidP="00E2304A">
      <w:pPr>
        <w:spacing w:after="0" w:line="240" w:lineRule="auto"/>
      </w:pPr>
      <w:r>
        <w:separator/>
      </w:r>
    </w:p>
  </w:endnote>
  <w:endnote w:type="continuationSeparator" w:id="0">
    <w:p w14:paraId="45ECEDE3" w14:textId="77777777" w:rsidR="00454B5B" w:rsidRDefault="00454B5B" w:rsidP="00E2304A">
      <w:pPr>
        <w:spacing w:after="0" w:line="240" w:lineRule="auto"/>
      </w:pPr>
      <w:r>
        <w:continuationSeparator/>
      </w:r>
    </w:p>
  </w:endnote>
  <w:endnote w:type="continuationNotice" w:id="1">
    <w:p w14:paraId="172BC4D4" w14:textId="77777777" w:rsidR="00EF69B0" w:rsidRDefault="00EF6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2BD7" w14:textId="77777777" w:rsidR="00454B5B" w:rsidRDefault="00454B5B" w:rsidP="00E2304A">
      <w:pPr>
        <w:spacing w:after="0" w:line="240" w:lineRule="auto"/>
      </w:pPr>
      <w:r>
        <w:separator/>
      </w:r>
    </w:p>
  </w:footnote>
  <w:footnote w:type="continuationSeparator" w:id="0">
    <w:p w14:paraId="4A48CCE3" w14:textId="77777777" w:rsidR="00454B5B" w:rsidRDefault="00454B5B" w:rsidP="00E2304A">
      <w:pPr>
        <w:spacing w:after="0" w:line="240" w:lineRule="auto"/>
      </w:pPr>
      <w:r>
        <w:continuationSeparator/>
      </w:r>
    </w:p>
  </w:footnote>
  <w:footnote w:type="continuationNotice" w:id="1">
    <w:p w14:paraId="3904CF69" w14:textId="77777777" w:rsidR="00EF69B0" w:rsidRDefault="00EF69B0">
      <w:pPr>
        <w:spacing w:after="0" w:line="240" w:lineRule="auto"/>
      </w:pPr>
    </w:p>
  </w:footnote>
  <w:footnote w:id="2">
    <w:p w14:paraId="0F581D12" w14:textId="3A07C1D3" w:rsidR="00D87357" w:rsidRPr="009875EB" w:rsidRDefault="00D87357">
      <w:pPr>
        <w:pStyle w:val="FootnoteText"/>
        <w:rPr>
          <w:rFonts w:ascii="Times New Roman" w:hAnsi="Times New Roman"/>
        </w:rPr>
      </w:pPr>
      <w:r>
        <w:rPr>
          <w:rStyle w:val="FootnoteReference"/>
        </w:rPr>
        <w:footnoteRef/>
      </w:r>
      <w:r>
        <w:t xml:space="preserve"> </w:t>
      </w:r>
      <w:r w:rsidRPr="009875EB">
        <w:rPr>
          <w:rFonts w:ascii="Times New Roman" w:hAnsi="Times New Roman"/>
        </w:rPr>
        <w:t xml:space="preserve">4.2.1.8. </w:t>
      </w:r>
      <w:proofErr w:type="spellStart"/>
      <w:r w:rsidRPr="009875EB">
        <w:rPr>
          <w:rFonts w:ascii="Times New Roman" w:hAnsi="Times New Roman"/>
        </w:rPr>
        <w:t>pasākuma</w:t>
      </w:r>
      <w:proofErr w:type="spellEnd"/>
      <w:r w:rsidRPr="009875EB">
        <w:rPr>
          <w:rFonts w:ascii="Times New Roman" w:hAnsi="Times New Roman"/>
        </w:rPr>
        <w:t xml:space="preserve"> </w:t>
      </w:r>
      <w:proofErr w:type="spellStart"/>
      <w:r w:rsidRPr="009875EB">
        <w:rPr>
          <w:rFonts w:ascii="Times New Roman" w:hAnsi="Times New Roman"/>
        </w:rPr>
        <w:t>finansējuma</w:t>
      </w:r>
      <w:proofErr w:type="spellEnd"/>
      <w:r w:rsidRPr="009875EB">
        <w:rPr>
          <w:rFonts w:ascii="Times New Roman" w:hAnsi="Times New Roman"/>
        </w:rPr>
        <w:t xml:space="preserve"> </w:t>
      </w:r>
      <w:proofErr w:type="spellStart"/>
      <w:r w:rsidRPr="009875EB">
        <w:rPr>
          <w:rFonts w:ascii="Times New Roman" w:hAnsi="Times New Roman"/>
        </w:rPr>
        <w:t>saņēmēji</w:t>
      </w:r>
      <w:proofErr w:type="spellEnd"/>
      <w:r w:rsidRPr="009875EB">
        <w:rPr>
          <w:rFonts w:ascii="Times New Roman" w:hAnsi="Times New Roman"/>
        </w:rPr>
        <w:t xml:space="preserve"> </w:t>
      </w:r>
      <w:proofErr w:type="spellStart"/>
      <w:r w:rsidRPr="009875EB">
        <w:rPr>
          <w:rFonts w:ascii="Times New Roman" w:hAnsi="Times New Roman"/>
        </w:rPr>
        <w:t>ir</w:t>
      </w:r>
      <w:proofErr w:type="spellEnd"/>
      <w:r w:rsidRPr="009875EB">
        <w:rPr>
          <w:rFonts w:ascii="Times New Roman" w:hAnsi="Times New Roman"/>
        </w:rPr>
        <w:t xml:space="preserve"> </w:t>
      </w:r>
      <w:proofErr w:type="spellStart"/>
      <w:r w:rsidRPr="009875EB">
        <w:rPr>
          <w:rFonts w:ascii="Times New Roman" w:hAnsi="Times New Roman"/>
        </w:rPr>
        <w:t>augstskolas</w:t>
      </w:r>
      <w:proofErr w:type="spellEnd"/>
      <w:r w:rsidRPr="009875EB">
        <w:rPr>
          <w:rFonts w:ascii="Times New Roman" w:hAnsi="Times New Roman"/>
        </w:rPr>
        <w:t xml:space="preserve"> un </w:t>
      </w:r>
      <w:proofErr w:type="spellStart"/>
      <w:r w:rsidRPr="009875EB">
        <w:rPr>
          <w:rFonts w:ascii="Times New Roman" w:hAnsi="Times New Roman"/>
        </w:rPr>
        <w:t>koledžas</w:t>
      </w:r>
      <w:proofErr w:type="spellEnd"/>
      <w:r w:rsidRPr="009875EB">
        <w:rPr>
          <w:rFonts w:ascii="Times New Roman" w:hAnsi="Times New Roman"/>
        </w:rPr>
        <w:t xml:space="preserve">. Ja </w:t>
      </w:r>
      <w:proofErr w:type="spellStart"/>
      <w:r w:rsidRPr="009875EB">
        <w:rPr>
          <w:rFonts w:ascii="Times New Roman" w:hAnsi="Times New Roman"/>
        </w:rPr>
        <w:t>finansējuma</w:t>
      </w:r>
      <w:proofErr w:type="spellEnd"/>
      <w:r w:rsidRPr="009875EB">
        <w:rPr>
          <w:rFonts w:ascii="Times New Roman" w:hAnsi="Times New Roman"/>
        </w:rPr>
        <w:t xml:space="preserve"> </w:t>
      </w:r>
      <w:proofErr w:type="spellStart"/>
      <w:r w:rsidRPr="009875EB">
        <w:rPr>
          <w:rFonts w:ascii="Times New Roman" w:hAnsi="Times New Roman"/>
        </w:rPr>
        <w:t>saņēmējs</w:t>
      </w:r>
      <w:proofErr w:type="spellEnd"/>
      <w:r w:rsidRPr="009875EB">
        <w:rPr>
          <w:rFonts w:ascii="Times New Roman" w:hAnsi="Times New Roman"/>
        </w:rPr>
        <w:t xml:space="preserve"> </w:t>
      </w:r>
      <w:proofErr w:type="spellStart"/>
      <w:r w:rsidRPr="009875EB">
        <w:rPr>
          <w:rFonts w:ascii="Times New Roman" w:hAnsi="Times New Roman"/>
        </w:rPr>
        <w:t>ir</w:t>
      </w:r>
      <w:proofErr w:type="spellEnd"/>
      <w:r w:rsidRPr="009875EB">
        <w:rPr>
          <w:rFonts w:ascii="Times New Roman" w:hAnsi="Times New Roman"/>
        </w:rPr>
        <w:t xml:space="preserve"> </w:t>
      </w:r>
      <w:proofErr w:type="spellStart"/>
      <w:r w:rsidRPr="009875EB">
        <w:rPr>
          <w:rFonts w:ascii="Times New Roman" w:hAnsi="Times New Roman"/>
        </w:rPr>
        <w:t>koledža</w:t>
      </w:r>
      <w:proofErr w:type="spellEnd"/>
      <w:r w:rsidRPr="009875EB">
        <w:rPr>
          <w:rFonts w:ascii="Times New Roman" w:hAnsi="Times New Roman"/>
        </w:rPr>
        <w:t xml:space="preserve">, tad </w:t>
      </w:r>
      <w:proofErr w:type="spellStart"/>
      <w:r w:rsidRPr="009875EB">
        <w:rPr>
          <w:rFonts w:ascii="Times New Roman" w:hAnsi="Times New Roman"/>
        </w:rPr>
        <w:t>projekta</w:t>
      </w:r>
      <w:proofErr w:type="spellEnd"/>
      <w:r w:rsidR="00EE7955" w:rsidRPr="009875EB">
        <w:rPr>
          <w:rFonts w:ascii="Times New Roman" w:hAnsi="Times New Roman"/>
          <w:lang w:val="lv-LV"/>
        </w:rPr>
        <w:t xml:space="preserve"> atbilstību komercdarbības atbalstu izslēdzošajiem kritērijiem vērtē atbilstoši šādiem komercdarbības atbalstu izslēdzošiem kritērijiem: “85 procenti un vairāk no visiem studējošajiem atbalstītajā objektā gadā ir Latvijas iedzīvotāji” un “studijas pārsvarā notiek latviešu valodā”, jo kritērijs “augstskola neierindojas pasaules universitāšu reitinga piecsimt labāko universitāšu sarakstā” nav attiecināms uz koledžām. Ja koledža ir finansējuma saņēmēja sadarbības partneris, tad to atsevišķi nevērtē. </w:t>
      </w:r>
    </w:p>
  </w:footnote>
  <w:footnote w:id="3">
    <w:p w14:paraId="2C0E2818" w14:textId="17C40E34" w:rsidR="00060003" w:rsidRPr="009875EB" w:rsidRDefault="00060003">
      <w:pPr>
        <w:pStyle w:val="FootnoteText"/>
        <w:rPr>
          <w:rFonts w:ascii="Times New Roman" w:hAnsi="Times New Roman"/>
        </w:rPr>
      </w:pPr>
      <w:r w:rsidRPr="009875EB">
        <w:rPr>
          <w:rStyle w:val="FootnoteReference"/>
          <w:rFonts w:ascii="Times New Roman" w:hAnsi="Times New Roman"/>
        </w:rPr>
        <w:footnoteRef/>
      </w:r>
      <w:r w:rsidRPr="009875EB">
        <w:rPr>
          <w:rFonts w:ascii="Times New Roman" w:hAnsi="Times New Roman"/>
        </w:rPr>
        <w:t xml:space="preserve"> </w:t>
      </w:r>
      <w:proofErr w:type="spellStart"/>
      <w:r w:rsidRPr="009875EB">
        <w:rPr>
          <w:rFonts w:ascii="Times New Roman" w:hAnsi="Times New Roman"/>
        </w:rPr>
        <w:t>Ar</w:t>
      </w:r>
      <w:proofErr w:type="spellEnd"/>
      <w:r w:rsidRPr="009875EB">
        <w:rPr>
          <w:rFonts w:ascii="Times New Roman" w:hAnsi="Times New Roman"/>
        </w:rPr>
        <w:t xml:space="preserve"> </w:t>
      </w:r>
      <w:proofErr w:type="spellStart"/>
      <w:r w:rsidRPr="009875EB">
        <w:rPr>
          <w:rFonts w:ascii="Times New Roman" w:hAnsi="Times New Roman"/>
        </w:rPr>
        <w:t>jēdzienu</w:t>
      </w:r>
      <w:proofErr w:type="spellEnd"/>
      <w:r w:rsidRPr="009875EB">
        <w:rPr>
          <w:rFonts w:ascii="Times New Roman" w:hAnsi="Times New Roman"/>
        </w:rPr>
        <w:t xml:space="preserve"> “</w:t>
      </w:r>
      <w:proofErr w:type="spellStart"/>
      <w:r w:rsidRPr="009875EB">
        <w:rPr>
          <w:rFonts w:ascii="Times New Roman" w:hAnsi="Times New Roman"/>
        </w:rPr>
        <w:t>atbalstītajā</w:t>
      </w:r>
      <w:proofErr w:type="spellEnd"/>
      <w:r w:rsidRPr="009875EB">
        <w:rPr>
          <w:rFonts w:ascii="Times New Roman" w:hAnsi="Times New Roman"/>
        </w:rPr>
        <w:t xml:space="preserve"> </w:t>
      </w:r>
      <w:proofErr w:type="spellStart"/>
      <w:r w:rsidRPr="009875EB">
        <w:rPr>
          <w:rFonts w:ascii="Times New Roman" w:hAnsi="Times New Roman"/>
        </w:rPr>
        <w:t>objektā</w:t>
      </w:r>
      <w:proofErr w:type="spellEnd"/>
      <w:r w:rsidRPr="009875EB">
        <w:rPr>
          <w:rFonts w:ascii="Times New Roman" w:hAnsi="Times New Roman"/>
        </w:rPr>
        <w:t xml:space="preserve">” </w:t>
      </w:r>
      <w:proofErr w:type="spellStart"/>
      <w:r w:rsidRPr="009875EB">
        <w:rPr>
          <w:rFonts w:ascii="Times New Roman" w:hAnsi="Times New Roman"/>
        </w:rPr>
        <w:t>tiek</w:t>
      </w:r>
      <w:proofErr w:type="spellEnd"/>
      <w:r w:rsidRPr="009875EB">
        <w:rPr>
          <w:rFonts w:ascii="Times New Roman" w:hAnsi="Times New Roman"/>
        </w:rPr>
        <w:t xml:space="preserve"> </w:t>
      </w:r>
      <w:proofErr w:type="spellStart"/>
      <w:r w:rsidR="00A46363" w:rsidRPr="009875EB">
        <w:rPr>
          <w:rFonts w:ascii="Times New Roman" w:hAnsi="Times New Roman"/>
        </w:rPr>
        <w:t>saprasta</w:t>
      </w:r>
      <w:proofErr w:type="spellEnd"/>
      <w:r w:rsidRPr="009875EB">
        <w:rPr>
          <w:rFonts w:ascii="Times New Roman" w:hAnsi="Times New Roman"/>
        </w:rPr>
        <w:t xml:space="preserve"> </w:t>
      </w:r>
      <w:r w:rsidR="00643AFB">
        <w:rPr>
          <w:rFonts w:ascii="Times New Roman" w:hAnsi="Times New Roman"/>
        </w:rPr>
        <w:t>AII</w:t>
      </w:r>
      <w:r w:rsidRPr="009875EB">
        <w:rPr>
          <w:rFonts w:ascii="Times New Roman" w:hAnsi="Times New Roman"/>
        </w:rPr>
        <w:t>.</w:t>
      </w:r>
    </w:p>
  </w:footnote>
  <w:footnote w:id="4">
    <w:p w14:paraId="15F88D10" w14:textId="77777777" w:rsidR="00E2304A" w:rsidRDefault="00E2304A" w:rsidP="00E2304A">
      <w:pPr>
        <w:pStyle w:val="FootnoteText"/>
      </w:pPr>
      <w:r>
        <w:rPr>
          <w:rStyle w:val="FootnoteReference"/>
        </w:rPr>
        <w:footnoteRef/>
      </w:r>
      <w:r>
        <w:rPr>
          <w:rFonts w:ascii="Times New Roman" w:hAnsi="Times New Roman"/>
        </w:rPr>
        <w:t xml:space="preserve"> https://www.topuniversities.com/university-rankings</w:t>
      </w:r>
    </w:p>
  </w:footnote>
  <w:footnote w:id="5">
    <w:p w14:paraId="7B484EB0" w14:textId="77777777" w:rsidR="00E2304A" w:rsidRDefault="00E2304A" w:rsidP="00E2304A">
      <w:pPr>
        <w:pStyle w:val="FootnoteText"/>
      </w:pPr>
      <w:r>
        <w:rPr>
          <w:rStyle w:val="FootnoteReference"/>
        </w:rPr>
        <w:footnoteRef/>
      </w:r>
      <w:r>
        <w:rPr>
          <w:rFonts w:ascii="Times New Roman" w:hAnsi="Times New Roman"/>
        </w:rPr>
        <w:t xml:space="preserve"> https://www.timeshighereducation.com/world-university-rankings</w:t>
      </w:r>
    </w:p>
  </w:footnote>
  <w:footnote w:id="6">
    <w:p w14:paraId="1FFFB8C4" w14:textId="77777777" w:rsidR="00E2304A" w:rsidRDefault="00E2304A" w:rsidP="00E2304A">
      <w:pPr>
        <w:pStyle w:val="FootnoteText"/>
      </w:pPr>
      <w:r>
        <w:rPr>
          <w:rStyle w:val="FootnoteReference"/>
        </w:rPr>
        <w:footnoteRef/>
      </w:r>
      <w:r>
        <w:rPr>
          <w:rFonts w:ascii="Times New Roman" w:hAnsi="Times New Roman"/>
        </w:rPr>
        <w:t xml:space="preserve"> http://www.shanghairanking.com/</w:t>
      </w:r>
    </w:p>
  </w:footnote>
  <w:footnote w:id="7">
    <w:p w14:paraId="40F257C8" w14:textId="5AF3884F" w:rsidR="00643AFB" w:rsidRPr="005C1B2A" w:rsidRDefault="00643AFB">
      <w:pPr>
        <w:pStyle w:val="FootnoteText"/>
        <w:rPr>
          <w:rFonts w:ascii="Times New Roman" w:hAnsi="Times New Roman"/>
        </w:rPr>
      </w:pPr>
      <w:r>
        <w:rPr>
          <w:rStyle w:val="FootnoteReference"/>
        </w:rPr>
        <w:footnoteRef/>
      </w:r>
      <w:r>
        <w:t xml:space="preserve"> </w:t>
      </w:r>
      <w:r w:rsidRPr="005C1B2A">
        <w:rPr>
          <w:rFonts w:ascii="Times New Roman" w:hAnsi="Times New Roman"/>
        </w:rPr>
        <w:t xml:space="preserve">Lai </w:t>
      </w:r>
      <w:proofErr w:type="spellStart"/>
      <w:r w:rsidRPr="005C1B2A">
        <w:rPr>
          <w:rFonts w:ascii="Times New Roman" w:hAnsi="Times New Roman"/>
        </w:rPr>
        <w:t>mazinātu</w:t>
      </w:r>
      <w:proofErr w:type="spellEnd"/>
      <w:r w:rsidRPr="005C1B2A">
        <w:rPr>
          <w:rFonts w:ascii="Times New Roman" w:hAnsi="Times New Roman"/>
        </w:rPr>
        <w:t xml:space="preserve"> </w:t>
      </w:r>
      <w:proofErr w:type="spellStart"/>
      <w:r w:rsidRPr="005C1B2A">
        <w:rPr>
          <w:rFonts w:ascii="Times New Roman" w:hAnsi="Times New Roman"/>
        </w:rPr>
        <w:t>administratīvo</w:t>
      </w:r>
      <w:proofErr w:type="spellEnd"/>
      <w:r w:rsidRPr="005C1B2A">
        <w:rPr>
          <w:rFonts w:ascii="Times New Roman" w:hAnsi="Times New Roman"/>
        </w:rPr>
        <w:t xml:space="preserve"> </w:t>
      </w:r>
      <w:proofErr w:type="spellStart"/>
      <w:r w:rsidRPr="005C1B2A">
        <w:rPr>
          <w:rFonts w:ascii="Times New Roman" w:hAnsi="Times New Roman"/>
        </w:rPr>
        <w:t>slogu</w:t>
      </w:r>
      <w:proofErr w:type="spellEnd"/>
      <w:r w:rsidRPr="005C1B2A">
        <w:rPr>
          <w:rFonts w:ascii="Times New Roman" w:hAnsi="Times New Roman"/>
        </w:rPr>
        <w:t xml:space="preserve">, </w:t>
      </w:r>
      <w:proofErr w:type="spellStart"/>
      <w:r w:rsidRPr="005C1B2A">
        <w:rPr>
          <w:rFonts w:ascii="Times New Roman" w:hAnsi="Times New Roman"/>
        </w:rPr>
        <w:t>vērtēšanu</w:t>
      </w:r>
      <w:proofErr w:type="spellEnd"/>
      <w:r w:rsidRPr="005C1B2A">
        <w:rPr>
          <w:rFonts w:ascii="Times New Roman" w:hAnsi="Times New Roman"/>
        </w:rPr>
        <w:t xml:space="preserve"> </w:t>
      </w:r>
      <w:proofErr w:type="spellStart"/>
      <w:r w:rsidRPr="005C1B2A">
        <w:rPr>
          <w:rFonts w:ascii="Times New Roman" w:hAnsi="Times New Roman"/>
        </w:rPr>
        <w:t>ieteicams</w:t>
      </w:r>
      <w:proofErr w:type="spellEnd"/>
      <w:r w:rsidRPr="005C1B2A">
        <w:rPr>
          <w:rFonts w:ascii="Times New Roman" w:hAnsi="Times New Roman"/>
        </w:rPr>
        <w:t xml:space="preserve"> </w:t>
      </w:r>
      <w:proofErr w:type="spellStart"/>
      <w:r w:rsidRPr="005C1B2A">
        <w:rPr>
          <w:rFonts w:ascii="Times New Roman" w:hAnsi="Times New Roman"/>
        </w:rPr>
        <w:t>sākt</w:t>
      </w:r>
      <w:proofErr w:type="spellEnd"/>
      <w:r w:rsidRPr="005C1B2A">
        <w:rPr>
          <w:rFonts w:ascii="Times New Roman" w:hAnsi="Times New Roman"/>
        </w:rPr>
        <w:t xml:space="preserve"> </w:t>
      </w:r>
      <w:proofErr w:type="spellStart"/>
      <w:r w:rsidRPr="005C1B2A">
        <w:rPr>
          <w:rFonts w:ascii="Times New Roman" w:hAnsi="Times New Roman"/>
        </w:rPr>
        <w:t>ar</w:t>
      </w:r>
      <w:proofErr w:type="spellEnd"/>
      <w:r w:rsidRPr="005C1B2A">
        <w:rPr>
          <w:rFonts w:ascii="Times New Roman" w:hAnsi="Times New Roman"/>
        </w:rPr>
        <w:t xml:space="preserve"> </w:t>
      </w:r>
      <w:proofErr w:type="spellStart"/>
      <w:r w:rsidRPr="005C1B2A">
        <w:rPr>
          <w:rFonts w:ascii="Times New Roman" w:hAnsi="Times New Roman"/>
        </w:rPr>
        <w:t>kritēriju</w:t>
      </w:r>
      <w:proofErr w:type="spellEnd"/>
      <w:r w:rsidRPr="005C1B2A">
        <w:rPr>
          <w:rFonts w:ascii="Times New Roman" w:hAnsi="Times New Roman"/>
        </w:rPr>
        <w:t xml:space="preserve"> “</w:t>
      </w:r>
      <w:proofErr w:type="spellStart"/>
      <w:r w:rsidRPr="005C1B2A">
        <w:rPr>
          <w:rFonts w:ascii="Times New Roman" w:hAnsi="Times New Roman"/>
        </w:rPr>
        <w:t>augstskola</w:t>
      </w:r>
      <w:proofErr w:type="spellEnd"/>
      <w:r w:rsidRPr="005C1B2A">
        <w:rPr>
          <w:rFonts w:ascii="Times New Roman" w:hAnsi="Times New Roman"/>
        </w:rPr>
        <w:t xml:space="preserve"> </w:t>
      </w:r>
      <w:proofErr w:type="spellStart"/>
      <w:r w:rsidRPr="005C1B2A">
        <w:rPr>
          <w:rFonts w:ascii="Times New Roman" w:hAnsi="Times New Roman"/>
        </w:rPr>
        <w:t>neierindojas</w:t>
      </w:r>
      <w:proofErr w:type="spellEnd"/>
      <w:r w:rsidRPr="005C1B2A">
        <w:rPr>
          <w:rFonts w:ascii="Times New Roman" w:hAnsi="Times New Roman"/>
        </w:rPr>
        <w:t xml:space="preserve"> </w:t>
      </w:r>
      <w:proofErr w:type="spellStart"/>
      <w:r w:rsidRPr="005C1B2A">
        <w:rPr>
          <w:rFonts w:ascii="Times New Roman" w:hAnsi="Times New Roman"/>
        </w:rPr>
        <w:t>pasaules</w:t>
      </w:r>
      <w:proofErr w:type="spellEnd"/>
      <w:r w:rsidRPr="005C1B2A">
        <w:rPr>
          <w:rFonts w:ascii="Times New Roman" w:hAnsi="Times New Roman"/>
        </w:rPr>
        <w:t xml:space="preserve"> </w:t>
      </w:r>
      <w:proofErr w:type="spellStart"/>
      <w:r w:rsidRPr="005C1B2A">
        <w:rPr>
          <w:rFonts w:ascii="Times New Roman" w:hAnsi="Times New Roman"/>
        </w:rPr>
        <w:t>universitāšu</w:t>
      </w:r>
      <w:proofErr w:type="spellEnd"/>
      <w:r w:rsidRPr="005C1B2A">
        <w:rPr>
          <w:rFonts w:ascii="Times New Roman" w:hAnsi="Times New Roman"/>
        </w:rPr>
        <w:t xml:space="preserve"> </w:t>
      </w:r>
      <w:proofErr w:type="spellStart"/>
      <w:r w:rsidRPr="005C1B2A">
        <w:rPr>
          <w:rFonts w:ascii="Times New Roman" w:hAnsi="Times New Roman"/>
        </w:rPr>
        <w:t>reitinga</w:t>
      </w:r>
      <w:proofErr w:type="spellEnd"/>
      <w:r w:rsidRPr="005C1B2A">
        <w:rPr>
          <w:rFonts w:ascii="Times New Roman" w:hAnsi="Times New Roman"/>
        </w:rPr>
        <w:t xml:space="preserve"> 500 </w:t>
      </w:r>
      <w:proofErr w:type="spellStart"/>
      <w:r w:rsidRPr="005C1B2A">
        <w:rPr>
          <w:rFonts w:ascii="Times New Roman" w:hAnsi="Times New Roman"/>
        </w:rPr>
        <w:t>labāko</w:t>
      </w:r>
      <w:proofErr w:type="spellEnd"/>
      <w:r w:rsidRPr="005C1B2A">
        <w:rPr>
          <w:rFonts w:ascii="Times New Roman" w:hAnsi="Times New Roman"/>
        </w:rPr>
        <w:t xml:space="preserve"> </w:t>
      </w:r>
      <w:proofErr w:type="spellStart"/>
      <w:r w:rsidRPr="005C1B2A">
        <w:rPr>
          <w:rFonts w:ascii="Times New Roman" w:hAnsi="Times New Roman"/>
        </w:rPr>
        <w:t>universitāšu</w:t>
      </w:r>
      <w:proofErr w:type="spellEnd"/>
      <w:r w:rsidRPr="005C1B2A">
        <w:rPr>
          <w:rFonts w:ascii="Times New Roman" w:hAnsi="Times New Roman"/>
        </w:rPr>
        <w:t xml:space="preserve"> </w:t>
      </w:r>
      <w:proofErr w:type="spellStart"/>
      <w:r w:rsidRPr="005C1B2A">
        <w:rPr>
          <w:rFonts w:ascii="Times New Roman" w:hAnsi="Times New Roman"/>
        </w:rPr>
        <w:t>sarakstā</w:t>
      </w:r>
      <w:proofErr w:type="spellEnd"/>
      <w:r w:rsidRPr="005C1B2A">
        <w:rPr>
          <w:rFonts w:ascii="Times New Roman" w:hAnsi="Times New Roman"/>
        </w:rPr>
        <w:t>”.</w:t>
      </w:r>
    </w:p>
  </w:footnote>
  <w:footnote w:id="8">
    <w:p w14:paraId="721A6C94" w14:textId="12BE738C" w:rsidR="00F23576" w:rsidRPr="009875EB" w:rsidRDefault="00F23576">
      <w:pPr>
        <w:pStyle w:val="FootnoteText"/>
        <w:rPr>
          <w:rFonts w:ascii="Times New Roman" w:hAnsi="Times New Roman"/>
        </w:rPr>
      </w:pPr>
      <w:r w:rsidRPr="005C1B2A">
        <w:rPr>
          <w:rStyle w:val="FootnoteReference"/>
          <w:rFonts w:ascii="Times New Roman" w:hAnsi="Times New Roman"/>
        </w:rPr>
        <w:footnoteRef/>
      </w:r>
      <w:r w:rsidRPr="005C1B2A">
        <w:rPr>
          <w:rFonts w:ascii="Times New Roman" w:hAnsi="Times New Roman"/>
        </w:rPr>
        <w:t xml:space="preserve"> Ja </w:t>
      </w:r>
      <w:proofErr w:type="spellStart"/>
      <w:r w:rsidRPr="005C1B2A">
        <w:rPr>
          <w:rFonts w:ascii="Times New Roman" w:hAnsi="Times New Roman"/>
        </w:rPr>
        <w:t>augstskola</w:t>
      </w:r>
      <w:proofErr w:type="spellEnd"/>
      <w:r w:rsidRPr="005C1B2A">
        <w:rPr>
          <w:rFonts w:ascii="Times New Roman" w:hAnsi="Times New Roman"/>
        </w:rPr>
        <w:t xml:space="preserve"> nav </w:t>
      </w:r>
      <w:proofErr w:type="spellStart"/>
      <w:r w:rsidRPr="005C1B2A">
        <w:rPr>
          <w:rFonts w:ascii="Times New Roman" w:hAnsi="Times New Roman"/>
        </w:rPr>
        <w:t>iekļauta</w:t>
      </w:r>
      <w:proofErr w:type="spellEnd"/>
      <w:r w:rsidRPr="005C1B2A">
        <w:rPr>
          <w:rFonts w:ascii="Times New Roman" w:hAnsi="Times New Roman"/>
        </w:rPr>
        <w:t xml:space="preserve"> </w:t>
      </w:r>
      <w:proofErr w:type="spellStart"/>
      <w:r w:rsidRPr="005C1B2A">
        <w:rPr>
          <w:rFonts w:ascii="Times New Roman" w:hAnsi="Times New Roman"/>
        </w:rPr>
        <w:t>nevienā</w:t>
      </w:r>
      <w:proofErr w:type="spellEnd"/>
      <w:r w:rsidRPr="005C1B2A">
        <w:rPr>
          <w:rFonts w:ascii="Times New Roman" w:hAnsi="Times New Roman"/>
        </w:rPr>
        <w:t xml:space="preserve"> </w:t>
      </w:r>
      <w:proofErr w:type="spellStart"/>
      <w:r w:rsidRPr="005C1B2A">
        <w:rPr>
          <w:rFonts w:ascii="Times New Roman" w:hAnsi="Times New Roman"/>
        </w:rPr>
        <w:t>labāko</w:t>
      </w:r>
      <w:proofErr w:type="spellEnd"/>
      <w:r w:rsidRPr="005C1B2A">
        <w:rPr>
          <w:rFonts w:ascii="Times New Roman" w:hAnsi="Times New Roman"/>
        </w:rPr>
        <w:t xml:space="preserve"> </w:t>
      </w:r>
      <w:proofErr w:type="spellStart"/>
      <w:r w:rsidRPr="005C1B2A">
        <w:rPr>
          <w:rFonts w:ascii="Times New Roman" w:hAnsi="Times New Roman"/>
        </w:rPr>
        <w:t>universitāšu</w:t>
      </w:r>
      <w:proofErr w:type="spellEnd"/>
      <w:r w:rsidRPr="005C1B2A">
        <w:rPr>
          <w:rFonts w:ascii="Times New Roman" w:hAnsi="Times New Roman"/>
        </w:rPr>
        <w:t xml:space="preserve"> </w:t>
      </w:r>
      <w:proofErr w:type="spellStart"/>
      <w:r w:rsidRPr="005C1B2A">
        <w:rPr>
          <w:rFonts w:ascii="Times New Roman" w:hAnsi="Times New Roman"/>
        </w:rPr>
        <w:t>sarakstā</w:t>
      </w:r>
      <w:proofErr w:type="spellEnd"/>
      <w:r w:rsidRPr="005C1B2A">
        <w:rPr>
          <w:rFonts w:ascii="Times New Roman" w:hAnsi="Times New Roman"/>
        </w:rPr>
        <w:t xml:space="preserve">, </w:t>
      </w:r>
      <w:proofErr w:type="spellStart"/>
      <w:r w:rsidRPr="005C1B2A">
        <w:rPr>
          <w:rFonts w:ascii="Times New Roman" w:hAnsi="Times New Roman"/>
        </w:rPr>
        <w:t>uzskatāms</w:t>
      </w:r>
      <w:proofErr w:type="spellEnd"/>
      <w:r w:rsidRPr="005C1B2A">
        <w:rPr>
          <w:rFonts w:ascii="Times New Roman" w:hAnsi="Times New Roman"/>
        </w:rPr>
        <w:t xml:space="preserve">, ka </w:t>
      </w:r>
      <w:proofErr w:type="spellStart"/>
      <w:r w:rsidRPr="005C1B2A">
        <w:rPr>
          <w:rFonts w:ascii="Times New Roman" w:hAnsi="Times New Roman"/>
        </w:rPr>
        <w:t>augstskola</w:t>
      </w:r>
      <w:proofErr w:type="spellEnd"/>
      <w:r w:rsidRPr="005C1B2A">
        <w:rPr>
          <w:rFonts w:ascii="Times New Roman" w:hAnsi="Times New Roman"/>
        </w:rPr>
        <w:t xml:space="preserve"> </w:t>
      </w:r>
      <w:proofErr w:type="spellStart"/>
      <w:r w:rsidRPr="005C1B2A">
        <w:rPr>
          <w:rFonts w:ascii="Times New Roman" w:hAnsi="Times New Roman"/>
        </w:rPr>
        <w:t>neierindojas</w:t>
      </w:r>
      <w:proofErr w:type="spellEnd"/>
      <w:r w:rsidRPr="005C1B2A">
        <w:rPr>
          <w:rFonts w:ascii="Times New Roman" w:hAnsi="Times New Roman"/>
        </w:rPr>
        <w:t xml:space="preserve"> </w:t>
      </w:r>
      <w:proofErr w:type="spellStart"/>
      <w:r w:rsidRPr="005C1B2A">
        <w:rPr>
          <w:rFonts w:ascii="Times New Roman" w:hAnsi="Times New Roman"/>
        </w:rPr>
        <w:t>nevienā</w:t>
      </w:r>
      <w:proofErr w:type="spellEnd"/>
      <w:r w:rsidRPr="005C1B2A">
        <w:rPr>
          <w:rFonts w:ascii="Times New Roman" w:hAnsi="Times New Roman"/>
        </w:rPr>
        <w:t xml:space="preserve"> </w:t>
      </w:r>
      <w:proofErr w:type="spellStart"/>
      <w:r w:rsidRPr="005C1B2A">
        <w:rPr>
          <w:rFonts w:ascii="Times New Roman" w:hAnsi="Times New Roman"/>
        </w:rPr>
        <w:t>labāko</w:t>
      </w:r>
      <w:proofErr w:type="spellEnd"/>
      <w:r w:rsidRPr="005C1B2A">
        <w:rPr>
          <w:rFonts w:ascii="Times New Roman" w:hAnsi="Times New Roman"/>
        </w:rPr>
        <w:t xml:space="preserve"> </w:t>
      </w:r>
      <w:proofErr w:type="spellStart"/>
      <w:r w:rsidRPr="005C1B2A">
        <w:rPr>
          <w:rFonts w:ascii="Times New Roman" w:hAnsi="Times New Roman"/>
        </w:rPr>
        <w:t>universitāšu</w:t>
      </w:r>
      <w:proofErr w:type="spellEnd"/>
      <w:r w:rsidRPr="005C1B2A">
        <w:rPr>
          <w:rFonts w:ascii="Times New Roman" w:hAnsi="Times New Roman"/>
        </w:rPr>
        <w:t xml:space="preserve"> </w:t>
      </w:r>
      <w:proofErr w:type="spellStart"/>
      <w:r w:rsidRPr="005C1B2A">
        <w:rPr>
          <w:rFonts w:ascii="Times New Roman" w:hAnsi="Times New Roman"/>
        </w:rPr>
        <w:t>sarakstā</w:t>
      </w:r>
      <w:proofErr w:type="spellEnd"/>
      <w:r w:rsidRPr="005C1B2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CEE"/>
    <w:multiLevelType w:val="multilevel"/>
    <w:tmpl w:val="B6D464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EE2798C"/>
    <w:multiLevelType w:val="multilevel"/>
    <w:tmpl w:val="A5A09250"/>
    <w:lvl w:ilvl="0">
      <w:start w:val="1"/>
      <w:numFmt w:val="decimal"/>
      <w:lvlText w:val="%1)"/>
      <w:lvlJc w:val="left"/>
      <w:pPr>
        <w:ind w:left="800" w:hanging="440"/>
      </w:pPr>
      <w:rPr>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965158659">
    <w:abstractNumId w:val="0"/>
  </w:num>
  <w:num w:numId="2" w16cid:durableId="126819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4A"/>
    <w:rsid w:val="00060003"/>
    <w:rsid w:val="000635EA"/>
    <w:rsid w:val="000D1BE3"/>
    <w:rsid w:val="000D4528"/>
    <w:rsid w:val="000E08E7"/>
    <w:rsid w:val="000F6DC5"/>
    <w:rsid w:val="001147CF"/>
    <w:rsid w:val="00115EED"/>
    <w:rsid w:val="0012567E"/>
    <w:rsid w:val="00141CCB"/>
    <w:rsid w:val="001C06B1"/>
    <w:rsid w:val="001D5BB4"/>
    <w:rsid w:val="0021604B"/>
    <w:rsid w:val="002F53F4"/>
    <w:rsid w:val="003477B4"/>
    <w:rsid w:val="00391B79"/>
    <w:rsid w:val="003D75C4"/>
    <w:rsid w:val="003E15E0"/>
    <w:rsid w:val="003E27C8"/>
    <w:rsid w:val="003F1899"/>
    <w:rsid w:val="00421742"/>
    <w:rsid w:val="004341CC"/>
    <w:rsid w:val="00454B5B"/>
    <w:rsid w:val="00493A68"/>
    <w:rsid w:val="004A48C3"/>
    <w:rsid w:val="004B012A"/>
    <w:rsid w:val="00504690"/>
    <w:rsid w:val="00522CC1"/>
    <w:rsid w:val="00575C59"/>
    <w:rsid w:val="0059352F"/>
    <w:rsid w:val="005C1B2A"/>
    <w:rsid w:val="005C52FD"/>
    <w:rsid w:val="00635E53"/>
    <w:rsid w:val="00643AFB"/>
    <w:rsid w:val="006B7B72"/>
    <w:rsid w:val="006E72E8"/>
    <w:rsid w:val="00764162"/>
    <w:rsid w:val="007C47A7"/>
    <w:rsid w:val="00825073"/>
    <w:rsid w:val="00825D35"/>
    <w:rsid w:val="00893EA0"/>
    <w:rsid w:val="008C5861"/>
    <w:rsid w:val="008C605D"/>
    <w:rsid w:val="008F26C0"/>
    <w:rsid w:val="00900D14"/>
    <w:rsid w:val="009875EB"/>
    <w:rsid w:val="009F2956"/>
    <w:rsid w:val="00A1194C"/>
    <w:rsid w:val="00A46363"/>
    <w:rsid w:val="00A8776A"/>
    <w:rsid w:val="00A94AD8"/>
    <w:rsid w:val="00AF74B6"/>
    <w:rsid w:val="00B16838"/>
    <w:rsid w:val="00B37B8A"/>
    <w:rsid w:val="00B943C6"/>
    <w:rsid w:val="00BF5146"/>
    <w:rsid w:val="00C15266"/>
    <w:rsid w:val="00C6527E"/>
    <w:rsid w:val="00C83CF1"/>
    <w:rsid w:val="00D53C2A"/>
    <w:rsid w:val="00D87357"/>
    <w:rsid w:val="00E046B7"/>
    <w:rsid w:val="00E2304A"/>
    <w:rsid w:val="00E336A6"/>
    <w:rsid w:val="00E34444"/>
    <w:rsid w:val="00EA1126"/>
    <w:rsid w:val="00EE7955"/>
    <w:rsid w:val="00EF69B0"/>
    <w:rsid w:val="00F23576"/>
    <w:rsid w:val="00F474EA"/>
    <w:rsid w:val="00F84B53"/>
    <w:rsid w:val="00FD07F8"/>
    <w:rsid w:val="00FD740F"/>
    <w:rsid w:val="00FF0757"/>
    <w:rsid w:val="00FF346F"/>
    <w:rsid w:val="07459A8E"/>
    <w:rsid w:val="0C939FFA"/>
    <w:rsid w:val="12FDD2AF"/>
    <w:rsid w:val="14408CD6"/>
    <w:rsid w:val="1937A3A8"/>
    <w:rsid w:val="19EFEB8E"/>
    <w:rsid w:val="276B122A"/>
    <w:rsid w:val="285F7D47"/>
    <w:rsid w:val="2ACF41FE"/>
    <w:rsid w:val="2E844528"/>
    <w:rsid w:val="2F20932C"/>
    <w:rsid w:val="3240A33C"/>
    <w:rsid w:val="329F578C"/>
    <w:rsid w:val="38DCD6A0"/>
    <w:rsid w:val="3F2771ED"/>
    <w:rsid w:val="440D6752"/>
    <w:rsid w:val="44318605"/>
    <w:rsid w:val="45BF17A1"/>
    <w:rsid w:val="4991E708"/>
    <w:rsid w:val="4DFA8F6D"/>
    <w:rsid w:val="55511BE7"/>
    <w:rsid w:val="5D151A7F"/>
    <w:rsid w:val="60356172"/>
    <w:rsid w:val="60CF948E"/>
    <w:rsid w:val="64A11853"/>
    <w:rsid w:val="6A83175A"/>
    <w:rsid w:val="775BBCC0"/>
    <w:rsid w:val="777ABA03"/>
    <w:rsid w:val="786258C8"/>
    <w:rsid w:val="7DEA116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D821"/>
  <w15:chartTrackingRefBased/>
  <w15:docId w15:val="{280AE06D-4C0F-41D6-AE96-B0B9570A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04A"/>
    <w:pPr>
      <w:suppressAutoHyphens/>
      <w:autoSpaceDN w:val="0"/>
      <w:spacing w:line="249" w:lineRule="auto"/>
    </w:pPr>
    <w:rPr>
      <w:rFonts w:ascii="Aptos" w:eastAsia="Aptos" w:hAnsi="Aptos" w:cs="Times New Roman"/>
      <w:kern w:val="3"/>
      <w:sz w:val="22"/>
      <w:szCs w:val="22"/>
      <w:lang w:val="en-US"/>
      <w14:ligatures w14:val="none"/>
    </w:rPr>
  </w:style>
  <w:style w:type="paragraph" w:styleId="Heading1">
    <w:name w:val="heading 1"/>
    <w:basedOn w:val="Normal"/>
    <w:next w:val="Normal"/>
    <w:link w:val="Heading1Char"/>
    <w:uiPriority w:val="9"/>
    <w:qFormat/>
    <w:rsid w:val="00E23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4A"/>
    <w:rPr>
      <w:rFonts w:eastAsiaTheme="majorEastAsia" w:cstheme="majorBidi"/>
      <w:color w:val="272727" w:themeColor="text1" w:themeTint="D8"/>
    </w:rPr>
  </w:style>
  <w:style w:type="paragraph" w:styleId="Title">
    <w:name w:val="Title"/>
    <w:basedOn w:val="Normal"/>
    <w:next w:val="Normal"/>
    <w:link w:val="TitleChar"/>
    <w:uiPriority w:val="10"/>
    <w:qFormat/>
    <w:rsid w:val="00E23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4A"/>
    <w:pPr>
      <w:spacing w:before="160"/>
      <w:jc w:val="center"/>
    </w:pPr>
    <w:rPr>
      <w:i/>
      <w:iCs/>
      <w:color w:val="404040" w:themeColor="text1" w:themeTint="BF"/>
    </w:rPr>
  </w:style>
  <w:style w:type="character" w:customStyle="1" w:styleId="QuoteChar">
    <w:name w:val="Quote Char"/>
    <w:basedOn w:val="DefaultParagraphFont"/>
    <w:link w:val="Quote"/>
    <w:uiPriority w:val="29"/>
    <w:rsid w:val="00E2304A"/>
    <w:rPr>
      <w:i/>
      <w:iCs/>
      <w:color w:val="404040" w:themeColor="text1" w:themeTint="BF"/>
    </w:rPr>
  </w:style>
  <w:style w:type="paragraph" w:styleId="ListParagraph">
    <w:name w:val="List Paragraph"/>
    <w:basedOn w:val="Normal"/>
    <w:uiPriority w:val="34"/>
    <w:qFormat/>
    <w:rsid w:val="00E2304A"/>
    <w:pPr>
      <w:ind w:left="720"/>
      <w:contextualSpacing/>
    </w:pPr>
  </w:style>
  <w:style w:type="character" w:styleId="IntenseEmphasis">
    <w:name w:val="Intense Emphasis"/>
    <w:basedOn w:val="DefaultParagraphFont"/>
    <w:uiPriority w:val="21"/>
    <w:qFormat/>
    <w:rsid w:val="00E2304A"/>
    <w:rPr>
      <w:i/>
      <w:iCs/>
      <w:color w:val="0F4761" w:themeColor="accent1" w:themeShade="BF"/>
    </w:rPr>
  </w:style>
  <w:style w:type="paragraph" w:styleId="IntenseQuote">
    <w:name w:val="Intense Quote"/>
    <w:basedOn w:val="Normal"/>
    <w:next w:val="Normal"/>
    <w:link w:val="IntenseQuoteChar"/>
    <w:uiPriority w:val="30"/>
    <w:qFormat/>
    <w:rsid w:val="00E23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04A"/>
    <w:rPr>
      <w:i/>
      <w:iCs/>
      <w:color w:val="0F4761" w:themeColor="accent1" w:themeShade="BF"/>
    </w:rPr>
  </w:style>
  <w:style w:type="character" w:styleId="IntenseReference">
    <w:name w:val="Intense Reference"/>
    <w:basedOn w:val="DefaultParagraphFont"/>
    <w:uiPriority w:val="32"/>
    <w:qFormat/>
    <w:rsid w:val="00E2304A"/>
    <w:rPr>
      <w:b/>
      <w:bCs/>
      <w:smallCaps/>
      <w:color w:val="0F4761" w:themeColor="accent1" w:themeShade="BF"/>
      <w:spacing w:val="5"/>
    </w:rPr>
  </w:style>
  <w:style w:type="paragraph" w:styleId="FootnoteText">
    <w:name w:val="footnote text"/>
    <w:basedOn w:val="Normal"/>
    <w:link w:val="FootnoteTextChar"/>
    <w:rsid w:val="00E2304A"/>
    <w:pPr>
      <w:spacing w:after="0" w:line="240" w:lineRule="auto"/>
    </w:pPr>
    <w:rPr>
      <w:sz w:val="20"/>
      <w:szCs w:val="20"/>
    </w:rPr>
  </w:style>
  <w:style w:type="character" w:customStyle="1" w:styleId="FootnoteTextChar">
    <w:name w:val="Footnote Text Char"/>
    <w:basedOn w:val="DefaultParagraphFont"/>
    <w:link w:val="FootnoteText"/>
    <w:rsid w:val="00E2304A"/>
    <w:rPr>
      <w:rFonts w:ascii="Aptos" w:eastAsia="Aptos" w:hAnsi="Aptos" w:cs="Times New Roman"/>
      <w:kern w:val="3"/>
      <w:sz w:val="20"/>
      <w:szCs w:val="20"/>
      <w:lang w:val="en-US"/>
      <w14:ligatures w14:val="none"/>
    </w:rPr>
  </w:style>
  <w:style w:type="character" w:styleId="FootnoteReference">
    <w:name w:val="footnote reference"/>
    <w:basedOn w:val="DefaultParagraphFont"/>
    <w:rsid w:val="00E2304A"/>
    <w:rPr>
      <w:position w:val="0"/>
      <w:vertAlign w:val="superscript"/>
    </w:rPr>
  </w:style>
  <w:style w:type="character" w:styleId="Hyperlink">
    <w:name w:val="Hyperlink"/>
    <w:basedOn w:val="DefaultParagraphFont"/>
    <w:rsid w:val="00E2304A"/>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ptos" w:eastAsia="Aptos" w:hAnsi="Aptos" w:cs="Times New Roman"/>
      <w:kern w:val="3"/>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75EB"/>
    <w:rPr>
      <w:b/>
      <w:bCs/>
    </w:rPr>
  </w:style>
  <w:style w:type="character" w:customStyle="1" w:styleId="CommentSubjectChar">
    <w:name w:val="Comment Subject Char"/>
    <w:basedOn w:val="CommentTextChar"/>
    <w:link w:val="CommentSubject"/>
    <w:uiPriority w:val="99"/>
    <w:semiHidden/>
    <w:rsid w:val="009875EB"/>
    <w:rPr>
      <w:rFonts w:ascii="Aptos" w:eastAsia="Aptos" w:hAnsi="Aptos" w:cs="Times New Roman"/>
      <w:b/>
      <w:bCs/>
      <w:kern w:val="3"/>
      <w:sz w:val="20"/>
      <w:szCs w:val="20"/>
      <w:lang w:val="en-US"/>
      <w14:ligatures w14:val="none"/>
    </w:rPr>
  </w:style>
  <w:style w:type="paragraph" w:styleId="Revision">
    <w:name w:val="Revision"/>
    <w:hidden/>
    <w:uiPriority w:val="99"/>
    <w:semiHidden/>
    <w:rsid w:val="00FF0757"/>
    <w:pPr>
      <w:spacing w:after="0" w:line="240" w:lineRule="auto"/>
    </w:pPr>
    <w:rPr>
      <w:rFonts w:ascii="Aptos" w:eastAsia="Aptos" w:hAnsi="Aptos" w:cs="Times New Roman"/>
      <w:kern w:val="3"/>
      <w:sz w:val="22"/>
      <w:szCs w:val="22"/>
      <w:lang w:val="en-US"/>
      <w14:ligatures w14:val="none"/>
    </w:rPr>
  </w:style>
  <w:style w:type="paragraph" w:styleId="Header">
    <w:name w:val="header"/>
    <w:basedOn w:val="Normal"/>
    <w:link w:val="HeaderChar"/>
    <w:uiPriority w:val="99"/>
    <w:semiHidden/>
    <w:unhideWhenUsed/>
    <w:rsid w:val="00EF69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9B0"/>
    <w:rPr>
      <w:rFonts w:ascii="Aptos" w:eastAsia="Aptos" w:hAnsi="Aptos" w:cs="Times New Roman"/>
      <w:kern w:val="3"/>
      <w:sz w:val="22"/>
      <w:szCs w:val="22"/>
      <w:lang w:val="en-US"/>
      <w14:ligatures w14:val="none"/>
    </w:rPr>
  </w:style>
  <w:style w:type="paragraph" w:styleId="Footer">
    <w:name w:val="footer"/>
    <w:basedOn w:val="Normal"/>
    <w:link w:val="FooterChar"/>
    <w:uiPriority w:val="99"/>
    <w:semiHidden/>
    <w:unhideWhenUsed/>
    <w:rsid w:val="00EF6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69B0"/>
    <w:rPr>
      <w:rFonts w:ascii="Aptos" w:eastAsia="Aptos" w:hAnsi="Aptos" w:cs="Times New Roman"/>
      <w:kern w:val="3"/>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70886">
      <w:bodyDiv w:val="1"/>
      <w:marLeft w:val="0"/>
      <w:marRight w:val="0"/>
      <w:marTop w:val="0"/>
      <w:marBottom w:val="0"/>
      <w:divBdr>
        <w:top w:val="none" w:sz="0" w:space="0" w:color="auto"/>
        <w:left w:val="none" w:sz="0" w:space="0" w:color="auto"/>
        <w:bottom w:val="none" w:sz="0" w:space="0" w:color="auto"/>
        <w:right w:val="none" w:sz="0" w:space="0" w:color="auto"/>
      </w:divBdr>
      <w:divsChild>
        <w:div w:id="284653087">
          <w:marLeft w:val="0"/>
          <w:marRight w:val="0"/>
          <w:marTop w:val="0"/>
          <w:marBottom w:val="0"/>
          <w:divBdr>
            <w:top w:val="none" w:sz="0" w:space="0" w:color="auto"/>
            <w:left w:val="none" w:sz="0" w:space="0" w:color="auto"/>
            <w:bottom w:val="none" w:sz="0" w:space="0" w:color="auto"/>
            <w:right w:val="none" w:sz="0" w:space="0" w:color="auto"/>
          </w:divBdr>
        </w:div>
        <w:div w:id="959610489">
          <w:marLeft w:val="0"/>
          <w:marRight w:val="0"/>
          <w:marTop w:val="0"/>
          <w:marBottom w:val="0"/>
          <w:divBdr>
            <w:top w:val="none" w:sz="0" w:space="0" w:color="auto"/>
            <w:left w:val="none" w:sz="0" w:space="0" w:color="auto"/>
            <w:bottom w:val="none" w:sz="0" w:space="0" w:color="auto"/>
            <w:right w:val="none" w:sz="0" w:space="0" w:color="auto"/>
          </w:divBdr>
        </w:div>
      </w:divsChild>
    </w:div>
    <w:div w:id="775910298">
      <w:bodyDiv w:val="1"/>
      <w:marLeft w:val="0"/>
      <w:marRight w:val="0"/>
      <w:marTop w:val="0"/>
      <w:marBottom w:val="0"/>
      <w:divBdr>
        <w:top w:val="none" w:sz="0" w:space="0" w:color="auto"/>
        <w:left w:val="none" w:sz="0" w:space="0" w:color="auto"/>
        <w:bottom w:val="none" w:sz="0" w:space="0" w:color="auto"/>
        <w:right w:val="none" w:sz="0" w:space="0" w:color="auto"/>
      </w:divBdr>
    </w:div>
    <w:div w:id="812865734">
      <w:bodyDiv w:val="1"/>
      <w:marLeft w:val="0"/>
      <w:marRight w:val="0"/>
      <w:marTop w:val="0"/>
      <w:marBottom w:val="0"/>
      <w:divBdr>
        <w:top w:val="none" w:sz="0" w:space="0" w:color="auto"/>
        <w:left w:val="none" w:sz="0" w:space="0" w:color="auto"/>
        <w:bottom w:val="none" w:sz="0" w:space="0" w:color="auto"/>
        <w:right w:val="none" w:sz="0" w:space="0" w:color="auto"/>
      </w:divBdr>
    </w:div>
    <w:div w:id="1717655517">
      <w:bodyDiv w:val="1"/>
      <w:marLeft w:val="0"/>
      <w:marRight w:val="0"/>
      <w:marTop w:val="0"/>
      <w:marBottom w:val="0"/>
      <w:divBdr>
        <w:top w:val="none" w:sz="0" w:space="0" w:color="auto"/>
        <w:left w:val="none" w:sz="0" w:space="0" w:color="auto"/>
        <w:bottom w:val="none" w:sz="0" w:space="0" w:color="auto"/>
        <w:right w:val="none" w:sz="0" w:space="0" w:color="auto"/>
      </w:divBdr>
      <w:divsChild>
        <w:div w:id="1734541465">
          <w:marLeft w:val="0"/>
          <w:marRight w:val="0"/>
          <w:marTop w:val="0"/>
          <w:marBottom w:val="0"/>
          <w:divBdr>
            <w:top w:val="none" w:sz="0" w:space="0" w:color="auto"/>
            <w:left w:val="none" w:sz="0" w:space="0" w:color="auto"/>
            <w:bottom w:val="none" w:sz="0" w:space="0" w:color="auto"/>
            <w:right w:val="none" w:sz="0" w:space="0" w:color="auto"/>
          </w:divBdr>
        </w:div>
        <w:div w:id="193836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anghairank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meshighereducation.com/world-university-rank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universities.com/university-ranking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F882-D2B6-4DBD-81DA-F1A3794A32FE}">
  <ds:schemaRefs>
    <ds:schemaRef ds:uri="25a75a1d-8b78-49a6-8e4b-dbe94589a28d"/>
    <ds:schemaRef ds:uri="http://schemas.microsoft.com/office/2006/documentManagement/types"/>
    <ds:schemaRef ds:uri="42144e59-5907-413f-b624-803f3a022d9b"/>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042D28A-C6D1-4185-A03C-B66CA2D43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6739E-7AAF-4B39-8899-2B77B36EB9F6}">
  <ds:schemaRefs>
    <ds:schemaRef ds:uri="http://schemas.microsoft.com/sharepoint/v3/contenttype/forms"/>
  </ds:schemaRefs>
</ds:datastoreItem>
</file>

<file path=customXml/itemProps4.xml><?xml version="1.0" encoding="utf-8"?>
<ds:datastoreItem xmlns:ds="http://schemas.openxmlformats.org/officeDocument/2006/customXml" ds:itemID="{923AACEC-9256-4F84-A4A7-F6983CCF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6014</Words>
  <Characters>3429</Characters>
  <Application>Microsoft Office Word</Application>
  <DocSecurity>0</DocSecurity>
  <Lines>28</Lines>
  <Paragraphs>18</Paragraphs>
  <ScaleCrop>false</ScaleCrop>
  <Company/>
  <LinksUpToDate>false</LinksUpToDate>
  <CharactersWithSpaces>9425</CharactersWithSpaces>
  <SharedDoc>false</SharedDoc>
  <HLinks>
    <vt:vector size="18" baseType="variant">
      <vt:variant>
        <vt:i4>2293874</vt:i4>
      </vt:variant>
      <vt:variant>
        <vt:i4>6</vt:i4>
      </vt:variant>
      <vt:variant>
        <vt:i4>0</vt:i4>
      </vt:variant>
      <vt:variant>
        <vt:i4>5</vt:i4>
      </vt:variant>
      <vt:variant>
        <vt:lpwstr>http://www.shanghairanking.com/</vt:lpwstr>
      </vt:variant>
      <vt:variant>
        <vt:lpwstr/>
      </vt:variant>
      <vt:variant>
        <vt:i4>7536749</vt:i4>
      </vt:variant>
      <vt:variant>
        <vt:i4>3</vt:i4>
      </vt:variant>
      <vt:variant>
        <vt:i4>0</vt:i4>
      </vt:variant>
      <vt:variant>
        <vt:i4>5</vt:i4>
      </vt:variant>
      <vt:variant>
        <vt:lpwstr>https://www.timeshighereducation.com/world-university-rankings</vt:lpwstr>
      </vt:variant>
      <vt:variant>
        <vt:lpwstr/>
      </vt:variant>
      <vt:variant>
        <vt:i4>3801188</vt:i4>
      </vt:variant>
      <vt:variant>
        <vt:i4>0</vt:i4>
      </vt:variant>
      <vt:variant>
        <vt:i4>0</vt:i4>
      </vt:variant>
      <vt:variant>
        <vt:i4>5</vt:i4>
      </vt:variant>
      <vt:variant>
        <vt:lpwstr>https://www.topuniversities.com/university-rankings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Līce</dc:creator>
  <cp:keywords/>
  <dc:description/>
  <cp:lastModifiedBy>Elīna Līce</cp:lastModifiedBy>
  <cp:revision>19</cp:revision>
  <dcterms:created xsi:type="dcterms:W3CDTF">2025-02-02T21:31:00Z</dcterms:created>
  <dcterms:modified xsi:type="dcterms:W3CDTF">2025-02-03T12:19:00Z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