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3CB4" w14:textId="77777777" w:rsidR="008A2F67" w:rsidRPr="00970540" w:rsidRDefault="008A2F67" w:rsidP="008A2F67">
      <w:pPr>
        <w:jc w:val="center"/>
        <w:rPr>
          <w:rFonts w:ascii="Times New Roman" w:hAnsi="Times New Roman" w:cs="Times New Roman"/>
          <w:b/>
          <w:bCs/>
          <w:u w:val="single"/>
        </w:rPr>
      </w:pPr>
      <w:r w:rsidRPr="00970540">
        <w:rPr>
          <w:rFonts w:ascii="Times New Roman" w:hAnsi="Times New Roman" w:cs="Times New Roman"/>
          <w:b/>
          <w:bCs/>
        </w:rPr>
        <w:t xml:space="preserve">1.1.1.5. Latvijas pilnvērtīga dalība Apvārsnis Eiropa programmā, tajā skaitā nodrošinot kompleksu atbalsta instrumentu klāstu un sasaisti ar RIS3 specializācijas jomu </w:t>
      </w:r>
      <w:r w:rsidRPr="00970540">
        <w:rPr>
          <w:rFonts w:ascii="Times New Roman" w:hAnsi="Times New Roman" w:cs="Times New Roman"/>
          <w:b/>
          <w:bCs/>
          <w:u w:val="single"/>
        </w:rPr>
        <w:t>attīstīšanu, 3. kārta.</w:t>
      </w:r>
    </w:p>
    <w:p w14:paraId="3BC396C3" w14:textId="40ED720D" w:rsidR="008A2F67" w:rsidRPr="00970540" w:rsidRDefault="008A2F67">
      <w:pPr>
        <w:rPr>
          <w:rFonts w:ascii="Times New Roman" w:hAnsi="Times New Roman" w:cs="Times New Roman"/>
          <w:u w:val="single"/>
        </w:rPr>
      </w:pPr>
      <w:r w:rsidRPr="00970540">
        <w:rPr>
          <w:rFonts w:ascii="Times New Roman" w:hAnsi="Times New Roman" w:cs="Times New Roman"/>
          <w:u w:val="single"/>
        </w:rPr>
        <w:t>Jautājumi un atbildes.</w:t>
      </w:r>
    </w:p>
    <w:tbl>
      <w:tblPr>
        <w:tblStyle w:val="TableGrid"/>
        <w:tblW w:w="9209" w:type="dxa"/>
        <w:tblLook w:val="04A0" w:firstRow="1" w:lastRow="0" w:firstColumn="1" w:lastColumn="0" w:noHBand="0" w:noVBand="1"/>
      </w:tblPr>
      <w:tblGrid>
        <w:gridCol w:w="813"/>
        <w:gridCol w:w="4070"/>
        <w:gridCol w:w="4326"/>
      </w:tblGrid>
      <w:tr w:rsidR="008A2F67" w:rsidRPr="00970540" w14:paraId="02B25EB8" w14:textId="77777777" w:rsidTr="022324D8">
        <w:tc>
          <w:tcPr>
            <w:tcW w:w="813" w:type="dxa"/>
          </w:tcPr>
          <w:p w14:paraId="1FEF2549" w14:textId="297E8C75" w:rsidR="008A2F67" w:rsidRPr="00970540" w:rsidRDefault="008A2F67" w:rsidP="008A2F67">
            <w:pPr>
              <w:jc w:val="center"/>
              <w:rPr>
                <w:rFonts w:ascii="Times New Roman" w:hAnsi="Times New Roman" w:cs="Times New Roman"/>
                <w:b/>
                <w:bCs/>
              </w:rPr>
            </w:pPr>
            <w:r w:rsidRPr="00970540">
              <w:rPr>
                <w:rFonts w:ascii="Times New Roman" w:hAnsi="Times New Roman" w:cs="Times New Roman"/>
                <w:b/>
                <w:bCs/>
              </w:rPr>
              <w:t>Nr.p.k</w:t>
            </w:r>
          </w:p>
        </w:tc>
        <w:tc>
          <w:tcPr>
            <w:tcW w:w="4070" w:type="dxa"/>
          </w:tcPr>
          <w:p w14:paraId="34761333" w14:textId="33A357F9" w:rsidR="008A2F67" w:rsidRPr="00970540" w:rsidRDefault="008A2F67" w:rsidP="008A2F67">
            <w:pPr>
              <w:jc w:val="center"/>
              <w:rPr>
                <w:rFonts w:ascii="Times New Roman" w:hAnsi="Times New Roman" w:cs="Times New Roman"/>
                <w:b/>
                <w:bCs/>
              </w:rPr>
            </w:pPr>
            <w:r w:rsidRPr="00970540">
              <w:rPr>
                <w:rFonts w:ascii="Times New Roman" w:hAnsi="Times New Roman" w:cs="Times New Roman"/>
                <w:b/>
                <w:bCs/>
              </w:rPr>
              <w:t>Jautājums</w:t>
            </w:r>
          </w:p>
        </w:tc>
        <w:tc>
          <w:tcPr>
            <w:tcW w:w="4326" w:type="dxa"/>
          </w:tcPr>
          <w:p w14:paraId="30CB4F6A" w14:textId="499D8DA0" w:rsidR="008A2F67" w:rsidRPr="00970540" w:rsidRDefault="008A2F67" w:rsidP="008A2F67">
            <w:pPr>
              <w:jc w:val="center"/>
              <w:rPr>
                <w:rFonts w:ascii="Times New Roman" w:hAnsi="Times New Roman" w:cs="Times New Roman"/>
                <w:b/>
                <w:bCs/>
              </w:rPr>
            </w:pPr>
            <w:r w:rsidRPr="00970540">
              <w:rPr>
                <w:rFonts w:ascii="Times New Roman" w:hAnsi="Times New Roman" w:cs="Times New Roman"/>
                <w:b/>
                <w:bCs/>
              </w:rPr>
              <w:t>Atbilde</w:t>
            </w:r>
          </w:p>
        </w:tc>
      </w:tr>
      <w:tr w:rsidR="008A2F67" w:rsidRPr="00970540" w14:paraId="5265B9BD" w14:textId="77777777" w:rsidTr="022324D8">
        <w:tc>
          <w:tcPr>
            <w:tcW w:w="813" w:type="dxa"/>
          </w:tcPr>
          <w:p w14:paraId="0FE857B8" w14:textId="77777777" w:rsidR="008A2F67" w:rsidRPr="00970540" w:rsidRDefault="008A2F67" w:rsidP="008A2F67">
            <w:pPr>
              <w:pStyle w:val="ListParagraph"/>
              <w:numPr>
                <w:ilvl w:val="0"/>
                <w:numId w:val="2"/>
              </w:numPr>
              <w:rPr>
                <w:rFonts w:ascii="Times New Roman" w:hAnsi="Times New Roman" w:cs="Times New Roman"/>
              </w:rPr>
            </w:pPr>
          </w:p>
        </w:tc>
        <w:tc>
          <w:tcPr>
            <w:tcW w:w="4070" w:type="dxa"/>
          </w:tcPr>
          <w:p w14:paraId="1A9064E2" w14:textId="7153324C" w:rsidR="00EE6734" w:rsidRPr="00970540" w:rsidRDefault="00EE6734" w:rsidP="00BD6598">
            <w:pPr>
              <w:jc w:val="both"/>
              <w:rPr>
                <w:rFonts w:ascii="Times New Roman" w:hAnsi="Times New Roman" w:cs="Times New Roman"/>
              </w:rPr>
            </w:pPr>
            <w:r w:rsidRPr="00970540">
              <w:rPr>
                <w:rFonts w:ascii="Times New Roman" w:hAnsi="Times New Roman" w:cs="Times New Roman"/>
              </w:rPr>
              <w:t xml:space="preserve">No kura brīža tiek skaitīts, ka finansējuma saņēmējam vismaz reizi gadā, kurš īsteno MK noteikumu 18.3. apakšpunktā minētās atbalstāmās darbības, jāiesniedz Izglītības un zinātnes ministrijai </w:t>
            </w:r>
            <w:r w:rsidR="00285B65" w:rsidRPr="00970540">
              <w:rPr>
                <w:rFonts w:ascii="Times New Roman" w:hAnsi="Times New Roman" w:cs="Times New Roman"/>
              </w:rPr>
              <w:t xml:space="preserve"> MK </w:t>
            </w:r>
            <w:r w:rsidRPr="00970540">
              <w:rPr>
                <w:rFonts w:ascii="Times New Roman" w:hAnsi="Times New Roman" w:cs="Times New Roman"/>
              </w:rPr>
              <w:t xml:space="preserve">noteikumu 13.2. apakšpunktā minētā atbilstošā plāna progresa ziņojums. </w:t>
            </w:r>
          </w:p>
          <w:p w14:paraId="5F79DB07" w14:textId="307AE2E2" w:rsidR="008A2F67" w:rsidRPr="00970540" w:rsidRDefault="00EE6734" w:rsidP="00BD6598">
            <w:pPr>
              <w:jc w:val="both"/>
              <w:rPr>
                <w:rFonts w:ascii="Times New Roman" w:hAnsi="Times New Roman" w:cs="Times New Roman"/>
              </w:rPr>
            </w:pPr>
            <w:r w:rsidRPr="00970540">
              <w:rPr>
                <w:rFonts w:ascii="Times New Roman" w:hAnsi="Times New Roman" w:cs="Times New Roman"/>
              </w:rPr>
              <w:t xml:space="preserve">No plānu saskaņošanas brīža, vai plānu īstenošanas uzsākšanas brīža, vai ir piemērojama cita veida uzskaite? </w:t>
            </w:r>
          </w:p>
        </w:tc>
        <w:tc>
          <w:tcPr>
            <w:tcW w:w="4326" w:type="dxa"/>
          </w:tcPr>
          <w:p w14:paraId="60D47A53" w14:textId="7579E1BD" w:rsidR="008A2F67" w:rsidRPr="00970540" w:rsidRDefault="00EE6734" w:rsidP="00BD6598">
            <w:pPr>
              <w:spacing w:after="160" w:line="259" w:lineRule="auto"/>
              <w:jc w:val="both"/>
              <w:rPr>
                <w:rFonts w:ascii="Times New Roman" w:hAnsi="Times New Roman" w:cs="Times New Roman"/>
              </w:rPr>
            </w:pPr>
            <w:r w:rsidRPr="00970540">
              <w:rPr>
                <w:rFonts w:ascii="Times New Roman" w:hAnsi="Times New Roman" w:cs="Times New Roman"/>
              </w:rPr>
              <w:t>Par MK noteikumu 36.punktā noteikto pienākumu vismaz reizi gadā iesniegt Izglītības un zinātnes ministrijai ziņojumu par atbilstošā plāna īstenošanas progresu. Plānots, ka progresa ziņojumu  par iepriekšējo kalendāro gadu iesniedz  līdz nākamā gada 31.janvārim. T.i., par 2025.gadā paveikto iesniedz progresa ziņojumu līdz 2026.gada 31.janvārim, par 2026.gadā paveikto iesniedz progresa ziņojumu līdz 2027.gada 31.janvārim u.tml.</w:t>
            </w:r>
          </w:p>
        </w:tc>
      </w:tr>
      <w:tr w:rsidR="008A2F67" w:rsidRPr="00970540" w14:paraId="5D39D88E" w14:textId="77777777" w:rsidTr="022324D8">
        <w:tc>
          <w:tcPr>
            <w:tcW w:w="813" w:type="dxa"/>
          </w:tcPr>
          <w:p w14:paraId="23935D9B" w14:textId="77777777" w:rsidR="008A2F67" w:rsidRPr="00970540" w:rsidRDefault="008A2F67" w:rsidP="008A2F67">
            <w:pPr>
              <w:pStyle w:val="ListParagraph"/>
              <w:numPr>
                <w:ilvl w:val="0"/>
                <w:numId w:val="2"/>
              </w:numPr>
              <w:rPr>
                <w:rFonts w:ascii="Times New Roman" w:hAnsi="Times New Roman" w:cs="Times New Roman"/>
              </w:rPr>
            </w:pPr>
          </w:p>
        </w:tc>
        <w:tc>
          <w:tcPr>
            <w:tcW w:w="4070" w:type="dxa"/>
          </w:tcPr>
          <w:p w14:paraId="3C466C37" w14:textId="77777777" w:rsidR="002C7822" w:rsidRPr="00970540" w:rsidRDefault="002C7822" w:rsidP="00BD6598">
            <w:pPr>
              <w:jc w:val="both"/>
              <w:rPr>
                <w:rFonts w:ascii="Times New Roman" w:hAnsi="Times New Roman" w:cs="Times New Roman"/>
              </w:rPr>
            </w:pPr>
            <w:r w:rsidRPr="00970540">
              <w:rPr>
                <w:rFonts w:ascii="Times New Roman" w:hAnsi="Times New Roman" w:cs="Times New Roman"/>
                <w:b/>
                <w:bCs/>
              </w:rPr>
              <w:t>Kādā veidā projektu pieteikumi jāievada projekta budžetā KP VIS sistēmā,</w:t>
            </w:r>
            <w:r w:rsidRPr="00970540">
              <w:rPr>
                <w:rFonts w:ascii="Times New Roman" w:hAnsi="Times New Roman" w:cs="Times New Roman"/>
              </w:rPr>
              <w:t> ja vienas vienības izmaksas aprēķinu metodika vēl ir izstrādes procesā?</w:t>
            </w:r>
          </w:p>
          <w:p w14:paraId="677AC3E5" w14:textId="77777777" w:rsidR="008A2F67" w:rsidRPr="00970540" w:rsidRDefault="008A2F67" w:rsidP="00BD6598">
            <w:pPr>
              <w:jc w:val="both"/>
              <w:rPr>
                <w:rFonts w:ascii="Times New Roman" w:hAnsi="Times New Roman" w:cs="Times New Roman"/>
              </w:rPr>
            </w:pPr>
          </w:p>
        </w:tc>
        <w:tc>
          <w:tcPr>
            <w:tcW w:w="4326" w:type="dxa"/>
          </w:tcPr>
          <w:p w14:paraId="353F3416" w14:textId="77777777" w:rsidR="002C7822" w:rsidRPr="00970540" w:rsidRDefault="002C7822" w:rsidP="00BD6598">
            <w:pPr>
              <w:jc w:val="both"/>
              <w:rPr>
                <w:rFonts w:ascii="Times New Roman" w:hAnsi="Times New Roman" w:cs="Times New Roman"/>
              </w:rPr>
            </w:pPr>
            <w:r w:rsidRPr="00970540">
              <w:rPr>
                <w:rFonts w:ascii="Times New Roman" w:hAnsi="Times New Roman" w:cs="Times New Roman"/>
              </w:rPr>
              <w:t>"Apvārsnis Eiropa" projekta pieteikuma sagatavošanas izmaksas projekta iesnieguma budžetā norāda izmaksu pozīcijā Nr. 13.1. un izmaksas šobrīd plāno projekta pieteikuma koordinatoram 13 000 EUR un projekta pieteikuma partnerim 7 000 EUR (kā šobrīd ir plānots metodikas projektā un kā ir norādīts 1.1.1.5.pasākuma 3.kārtas MK noteikumu anotācijā).</w:t>
            </w:r>
          </w:p>
          <w:p w14:paraId="54BDF85F" w14:textId="77777777" w:rsidR="002C7822" w:rsidRPr="00970540" w:rsidRDefault="002C7822" w:rsidP="00BD6598">
            <w:pPr>
              <w:jc w:val="both"/>
              <w:rPr>
                <w:rFonts w:ascii="Times New Roman" w:hAnsi="Times New Roman" w:cs="Times New Roman"/>
              </w:rPr>
            </w:pPr>
            <w:r w:rsidRPr="00970540">
              <w:rPr>
                <w:rFonts w:ascii="Times New Roman" w:hAnsi="Times New Roman" w:cs="Times New Roman"/>
              </w:rPr>
              <w:t>Skaidrojam, ja līdz projektu iesniegumu iesniegšanas brīdim vienkāršoto izmaksu metodika nebūs apstiprināta, projektu iesniegumu atlasē netiks veikta viena programmas "Apvārsnis Eiropa" projekta pieteikuma sagatavošanas izmaksu apmēra pamatotības analīze.</w:t>
            </w:r>
          </w:p>
          <w:p w14:paraId="6BBA180F" w14:textId="16EE4030" w:rsidR="008A2F67" w:rsidRPr="00970540" w:rsidRDefault="002C7822" w:rsidP="00BD6598">
            <w:pPr>
              <w:jc w:val="both"/>
              <w:rPr>
                <w:rFonts w:ascii="Times New Roman" w:hAnsi="Times New Roman" w:cs="Times New Roman"/>
              </w:rPr>
            </w:pPr>
            <w:r w:rsidRPr="00970540">
              <w:rPr>
                <w:rFonts w:ascii="Times New Roman" w:hAnsi="Times New Roman" w:cs="Times New Roman"/>
              </w:rPr>
              <w:t>Vienlaikus vēršam uzmanību, ka iespējams būs nepieciešami projekta grozījumi, kad metodika būs apstiprināta, aktualizējot likmes atbilstoši apstiprinātajai metodikai.</w:t>
            </w:r>
          </w:p>
        </w:tc>
      </w:tr>
      <w:tr w:rsidR="008A2F67" w:rsidRPr="00970540" w14:paraId="40EE8CE8" w14:textId="77777777" w:rsidTr="022324D8">
        <w:tc>
          <w:tcPr>
            <w:tcW w:w="813" w:type="dxa"/>
          </w:tcPr>
          <w:p w14:paraId="0F35A903" w14:textId="77777777" w:rsidR="008A2F67" w:rsidRPr="00970540" w:rsidRDefault="008A2F67" w:rsidP="008A2F67">
            <w:pPr>
              <w:pStyle w:val="ListParagraph"/>
              <w:numPr>
                <w:ilvl w:val="0"/>
                <w:numId w:val="2"/>
              </w:numPr>
              <w:rPr>
                <w:rFonts w:ascii="Times New Roman" w:hAnsi="Times New Roman" w:cs="Times New Roman"/>
              </w:rPr>
            </w:pPr>
          </w:p>
        </w:tc>
        <w:tc>
          <w:tcPr>
            <w:tcW w:w="4070" w:type="dxa"/>
          </w:tcPr>
          <w:p w14:paraId="18A1A15F" w14:textId="141AE2E2" w:rsidR="008A2F67" w:rsidRPr="00970540" w:rsidRDefault="002C7822" w:rsidP="00BD6598">
            <w:pPr>
              <w:jc w:val="both"/>
              <w:rPr>
                <w:rFonts w:ascii="Times New Roman" w:hAnsi="Times New Roman" w:cs="Times New Roman"/>
              </w:rPr>
            </w:pPr>
            <w:r w:rsidRPr="00970540">
              <w:rPr>
                <w:rFonts w:ascii="Times New Roman" w:hAnsi="Times New Roman" w:cs="Times New Roman"/>
              </w:rPr>
              <w:t>Vai ir zināmas programmas Apvārsnis Eiropa apakšprogrammas/uzsaukumi, kas var tikt apstiprināti kā rezultatīvie rādītāji? Iepriekšējā plānošanas periodā 1.1.1.5. pasākumā tāds saraksts no IZM puses bija pieejams.</w:t>
            </w:r>
          </w:p>
        </w:tc>
        <w:tc>
          <w:tcPr>
            <w:tcW w:w="4326" w:type="dxa"/>
          </w:tcPr>
          <w:p w14:paraId="13090F07" w14:textId="785A79BE" w:rsidR="002C7822" w:rsidRPr="00970540" w:rsidRDefault="002C7822" w:rsidP="00BD6598">
            <w:pPr>
              <w:jc w:val="both"/>
              <w:rPr>
                <w:rFonts w:ascii="Times New Roman" w:hAnsi="Times New Roman" w:cs="Times New Roman"/>
              </w:rPr>
            </w:pPr>
            <w:r w:rsidRPr="00970540">
              <w:rPr>
                <w:rFonts w:ascii="Times New Roman" w:hAnsi="Times New Roman" w:cs="Times New Roman"/>
              </w:rPr>
              <w:t>Rādītājā “ERAF atbalstīti un virs kvalitātes sliekšņa novērtēti programmas “</w:t>
            </w:r>
            <w:r w:rsidRPr="00970540">
              <w:rPr>
                <w:rFonts w:ascii="Times New Roman" w:hAnsi="Times New Roman" w:cs="Times New Roman"/>
                <w:b/>
                <w:bCs/>
              </w:rPr>
              <w:t xml:space="preserve">Apvārsnis Eiropa” un “10.IP projekti” </w:t>
            </w:r>
            <w:r w:rsidRPr="00970540">
              <w:rPr>
                <w:rFonts w:ascii="Times New Roman" w:hAnsi="Times New Roman" w:cs="Times New Roman"/>
              </w:rPr>
              <w:t>var tikt ieskaitīti projektu pieteikumi, kas iesniegti:</w:t>
            </w:r>
          </w:p>
          <w:p w14:paraId="5D923DCF" w14:textId="0A94293E" w:rsidR="002C7822" w:rsidRPr="00970540" w:rsidRDefault="002C7822" w:rsidP="00BD6598">
            <w:pPr>
              <w:jc w:val="both"/>
              <w:rPr>
                <w:rFonts w:ascii="Times New Roman" w:hAnsi="Times New Roman" w:cs="Times New Roman"/>
              </w:rPr>
            </w:pPr>
            <w:r w:rsidRPr="00970540">
              <w:rPr>
                <w:rFonts w:ascii="Times New Roman" w:hAnsi="Times New Roman" w:cs="Times New Roman"/>
              </w:rPr>
              <w:t>1.</w:t>
            </w:r>
            <w:r w:rsidRPr="00970540">
              <w:rPr>
                <w:rFonts w:ascii="Times New Roman" w:hAnsi="Times New Roman" w:cs="Times New Roman"/>
                <w:u w:val="single"/>
              </w:rPr>
              <w:t>pamatprogramma "Apvārsnis Eiropa</w:t>
            </w:r>
            <w:r w:rsidRPr="00970540">
              <w:rPr>
                <w:rFonts w:ascii="Times New Roman" w:hAnsi="Times New Roman" w:cs="Times New Roman"/>
              </w:rPr>
              <w:t>", ko izveido atbilstoši Eiropas Parlamenta un Padomes 2021. gada 28. aprīļa Regulai (ES) Nr. 2021/695, ar ko izveido pētniecības un inovācijas pamatprogrammu "Apvārsnis Eiropa", nosaka tās dalības un rezultātu izplatīšanas noteikumus un atceļ Regulas (ES) Nr. 1290/2013 un (ES) Nr. 1291/2013 (turpmāk – Regula Nr. 2021/695);</w:t>
            </w:r>
          </w:p>
          <w:p w14:paraId="4E5A05DD" w14:textId="70FEDAFB" w:rsidR="002C7822" w:rsidRPr="00970540" w:rsidRDefault="002C7822" w:rsidP="00BD6598">
            <w:pPr>
              <w:jc w:val="both"/>
              <w:rPr>
                <w:rFonts w:ascii="Times New Roman" w:hAnsi="Times New Roman" w:cs="Times New Roman"/>
              </w:rPr>
            </w:pPr>
            <w:r w:rsidRPr="00970540">
              <w:rPr>
                <w:rFonts w:ascii="Times New Roman" w:hAnsi="Times New Roman" w:cs="Times New Roman"/>
              </w:rPr>
              <w:t>2.</w:t>
            </w:r>
            <w:r w:rsidRPr="00970540">
              <w:rPr>
                <w:rFonts w:ascii="Times New Roman" w:hAnsi="Times New Roman" w:cs="Times New Roman"/>
                <w:u w:val="single"/>
              </w:rPr>
              <w:t>programma EURATOM</w:t>
            </w:r>
            <w:r w:rsidRPr="00970540">
              <w:rPr>
                <w:rFonts w:ascii="Times New Roman" w:hAnsi="Times New Roman" w:cs="Times New Roman"/>
              </w:rPr>
              <w:t xml:space="preserve">, ko izveido atbilstoši Padomes Regulai (Euratom) </w:t>
            </w:r>
            <w:r w:rsidRPr="00970540">
              <w:rPr>
                <w:rFonts w:ascii="Times New Roman" w:hAnsi="Times New Roman" w:cs="Times New Roman"/>
              </w:rPr>
              <w:lastRenderedPageBreak/>
              <w:t>2021/765 (2021. gada 10. maijs), ar ko izveido Eiropas Atomenerģijas kopienas pētniecības un mācību programmu 2021.–2025. gadam, kas papildina pētniecības un inovācijas pamatprogrammu “Apvārsnis Eiropa” un atceļ Regulu (Euratom) 2018/1563;</w:t>
            </w:r>
          </w:p>
          <w:p w14:paraId="6E9FDD0D" w14:textId="7C23B682" w:rsidR="002C7822" w:rsidRPr="00970540" w:rsidRDefault="002C7822" w:rsidP="00BD6598">
            <w:pPr>
              <w:jc w:val="both"/>
              <w:rPr>
                <w:rFonts w:ascii="Times New Roman" w:hAnsi="Times New Roman" w:cs="Times New Roman"/>
              </w:rPr>
            </w:pPr>
            <w:r w:rsidRPr="00970540">
              <w:rPr>
                <w:rFonts w:ascii="Times New Roman" w:hAnsi="Times New Roman" w:cs="Times New Roman"/>
              </w:rPr>
              <w:t>3.</w:t>
            </w:r>
            <w:r w:rsidRPr="00970540">
              <w:rPr>
                <w:rFonts w:ascii="Times New Roman" w:hAnsi="Times New Roman" w:cs="Times New Roman"/>
                <w:u w:val="single"/>
              </w:rPr>
              <w:t>Eiropas Metroloģijas partnerība</w:t>
            </w:r>
            <w:r w:rsidRPr="00970540">
              <w:rPr>
                <w:rFonts w:ascii="Times New Roman" w:hAnsi="Times New Roman" w:cs="Times New Roman"/>
              </w:rPr>
              <w:t>, ko izveido atbilstoši Eiropas Parlamenta un Padomes 2021. gada 24. novembra Lēmumam (ES) 2021/2084 par Savienības dalību Eiropas Metroloģijas partnerībā, ko kopīgi īsteno vairākas dalībvalstis;</w:t>
            </w:r>
          </w:p>
          <w:p w14:paraId="05F03FE6" w14:textId="011D85A7" w:rsidR="002C7822" w:rsidRPr="00970540" w:rsidRDefault="002C7822" w:rsidP="00BD6598">
            <w:pPr>
              <w:jc w:val="both"/>
              <w:rPr>
                <w:rFonts w:ascii="Times New Roman" w:hAnsi="Times New Roman" w:cs="Times New Roman"/>
              </w:rPr>
            </w:pPr>
            <w:r w:rsidRPr="00970540">
              <w:rPr>
                <w:rFonts w:ascii="Times New Roman" w:hAnsi="Times New Roman" w:cs="Times New Roman"/>
              </w:rPr>
              <w:t>4.</w:t>
            </w:r>
            <w:r w:rsidRPr="00970540">
              <w:rPr>
                <w:rFonts w:ascii="Times New Roman" w:hAnsi="Times New Roman" w:cs="Times New Roman"/>
                <w:u w:val="single"/>
              </w:rPr>
              <w:t>Eiropas Augstas veiktspējas datošanas kopuzņēmums (EuroHPC</w:t>
            </w:r>
            <w:r w:rsidRPr="00970540">
              <w:rPr>
                <w:rFonts w:ascii="Times New Roman" w:hAnsi="Times New Roman" w:cs="Times New Roman"/>
              </w:rPr>
              <w:t>), ko izveido atbilstoši Padomes 2018. gada 28. septembra Regulai (ES) 2018/1488 par Eiropas Augstas veiktspējas datošanas kopuzņēmuma izveidi;</w:t>
            </w:r>
          </w:p>
          <w:p w14:paraId="6CD01DEA" w14:textId="649D04D9" w:rsidR="002C7822" w:rsidRPr="00970540" w:rsidRDefault="002C7822" w:rsidP="00BD6598">
            <w:pPr>
              <w:jc w:val="both"/>
              <w:rPr>
                <w:rFonts w:ascii="Times New Roman" w:hAnsi="Times New Roman" w:cs="Times New Roman"/>
              </w:rPr>
            </w:pPr>
            <w:r w:rsidRPr="00970540">
              <w:rPr>
                <w:rFonts w:ascii="Times New Roman" w:hAnsi="Times New Roman" w:cs="Times New Roman"/>
              </w:rPr>
              <w:t>5.Eiropas Partnerības, ko izveido atbilstoši Regulai Nr. 2021/695;</w:t>
            </w:r>
          </w:p>
          <w:p w14:paraId="07187F2A" w14:textId="76CFE6FA" w:rsidR="002C7822" w:rsidRPr="00970540" w:rsidRDefault="002C7822" w:rsidP="00BD6598">
            <w:pPr>
              <w:jc w:val="both"/>
              <w:rPr>
                <w:rFonts w:ascii="Times New Roman" w:hAnsi="Times New Roman" w:cs="Times New Roman"/>
              </w:rPr>
            </w:pPr>
            <w:r w:rsidRPr="00970540">
              <w:rPr>
                <w:rFonts w:ascii="Times New Roman" w:hAnsi="Times New Roman" w:cs="Times New Roman"/>
              </w:rPr>
              <w:t>6.Padomes 2021. gada 19. novembra Regulai (ES) 2021/2085, ar ko izveido kopuzņēmumus pamatprogrammā “Apvārsnis Eiropa” un atceļ Regulas (EK) Nr. 219/2007, (ES) Nr. 557/2014, (ES) Nr. 558/2014, (ES) Nr. 559/2014, (ES) Nr. 560/2014, (ES) Nr. 561/2014 un (ES) Nr. 642/2014;</w:t>
            </w:r>
          </w:p>
          <w:p w14:paraId="51D32A20" w14:textId="20DCEA93" w:rsidR="002C7822" w:rsidRPr="00970540" w:rsidRDefault="002C7822" w:rsidP="00BD6598">
            <w:pPr>
              <w:jc w:val="both"/>
              <w:rPr>
                <w:rFonts w:ascii="Times New Roman" w:hAnsi="Times New Roman" w:cs="Times New Roman"/>
              </w:rPr>
            </w:pPr>
            <w:r w:rsidRPr="00970540">
              <w:rPr>
                <w:rFonts w:ascii="Times New Roman" w:hAnsi="Times New Roman" w:cs="Times New Roman"/>
              </w:rPr>
              <w:t>7.Padomes 2023. gada 25. jūlija Regulai (ES) 2023/1782, ar kuru groza Regulu (ES) 2021/2085, ar ko izveido kopuzņēmumus pamatprogrammā “Apvārsnis Eiropa”, attiecībā uz kopuzņēmumu “Mikroshēmas” (Eiropas Savienības Oficiālais Vēstnesis, 2023. gada 18. septembris, Nr. L 229/55);</w:t>
            </w:r>
          </w:p>
          <w:p w14:paraId="0BB885B8" w14:textId="561FD6A7" w:rsidR="008A2F67" w:rsidRPr="00970540" w:rsidRDefault="002C7822" w:rsidP="00BD6598">
            <w:pPr>
              <w:jc w:val="both"/>
              <w:rPr>
                <w:rFonts w:ascii="Times New Roman" w:hAnsi="Times New Roman" w:cs="Times New Roman"/>
              </w:rPr>
            </w:pPr>
            <w:r w:rsidRPr="00970540">
              <w:rPr>
                <w:rFonts w:ascii="Times New Roman" w:hAnsi="Times New Roman" w:cs="Times New Roman"/>
              </w:rPr>
              <w:t>8.</w:t>
            </w:r>
            <w:r w:rsidRPr="00970540">
              <w:rPr>
                <w:rFonts w:ascii="Times New Roman" w:hAnsi="Times New Roman" w:cs="Times New Roman"/>
                <w:u w:val="single"/>
              </w:rPr>
              <w:t>10. Ietvara programma</w:t>
            </w:r>
            <w:r w:rsidRPr="00970540">
              <w:rPr>
                <w:rFonts w:ascii="Times New Roman" w:hAnsi="Times New Roman" w:cs="Times New Roman"/>
              </w:rPr>
              <w:t>.</w:t>
            </w:r>
          </w:p>
        </w:tc>
      </w:tr>
      <w:tr w:rsidR="022324D8" w:rsidRPr="00970540" w14:paraId="7D732D07" w14:textId="77777777" w:rsidTr="022324D8">
        <w:trPr>
          <w:trHeight w:val="300"/>
        </w:trPr>
        <w:tc>
          <w:tcPr>
            <w:tcW w:w="813" w:type="dxa"/>
          </w:tcPr>
          <w:p w14:paraId="72F7F3DC" w14:textId="39E44D35" w:rsidR="022324D8" w:rsidRPr="00970540" w:rsidRDefault="022324D8" w:rsidP="00404048">
            <w:pPr>
              <w:pStyle w:val="ListParagraph"/>
              <w:numPr>
                <w:ilvl w:val="0"/>
                <w:numId w:val="2"/>
              </w:numPr>
              <w:rPr>
                <w:rFonts w:ascii="Times New Roman" w:hAnsi="Times New Roman" w:cs="Times New Roman"/>
              </w:rPr>
            </w:pPr>
          </w:p>
        </w:tc>
        <w:tc>
          <w:tcPr>
            <w:tcW w:w="4070" w:type="dxa"/>
          </w:tcPr>
          <w:p w14:paraId="5E55A40D" w14:textId="6F3C1724" w:rsidR="00FF1AC0" w:rsidRPr="00970540" w:rsidRDefault="00FF1AC0" w:rsidP="00BD6598">
            <w:pPr>
              <w:jc w:val="both"/>
              <w:rPr>
                <w:rFonts w:ascii="Times New Roman" w:hAnsi="Times New Roman" w:cs="Times New Roman"/>
              </w:rPr>
            </w:pPr>
            <w:r w:rsidRPr="00970540">
              <w:rPr>
                <w:rFonts w:ascii="Times New Roman" w:hAnsi="Times New Roman" w:cs="Times New Roman"/>
              </w:rPr>
              <w:t xml:space="preserve">Atbilstoši MK </w:t>
            </w:r>
            <w:r w:rsidR="003D73D3" w:rsidRPr="00970540">
              <w:rPr>
                <w:rFonts w:ascii="Times New Roman" w:hAnsi="Times New Roman" w:cs="Times New Roman"/>
              </w:rPr>
              <w:t>n</w:t>
            </w:r>
            <w:r w:rsidRPr="00970540">
              <w:rPr>
                <w:rFonts w:ascii="Times New Roman" w:hAnsi="Times New Roman" w:cs="Times New Roman"/>
              </w:rPr>
              <w:t xml:space="preserve">oteikumu II sadaļas 16.punktam, vai </w:t>
            </w:r>
            <w:r w:rsidRPr="00970540">
              <w:rPr>
                <w:rFonts w:ascii="Times New Roman" w:hAnsi="Times New Roman" w:cs="Times New Roman"/>
                <w:b/>
                <w:bCs/>
              </w:rPr>
              <w:t>finansējuma saņēmējs var īstenot projektu bez sadarbības partnera</w:t>
            </w:r>
            <w:r w:rsidRPr="00970540">
              <w:rPr>
                <w:rFonts w:ascii="Times New Roman" w:hAnsi="Times New Roman" w:cs="Times New Roman"/>
              </w:rPr>
              <w:t>, ņemot vērā, ka punktā definēts izvēles variants "vai"?</w:t>
            </w:r>
          </w:p>
          <w:p w14:paraId="329EFDA8" w14:textId="42B6E099" w:rsidR="022324D8" w:rsidRPr="00970540" w:rsidRDefault="022324D8" w:rsidP="00BD6598">
            <w:pPr>
              <w:jc w:val="both"/>
              <w:rPr>
                <w:rFonts w:ascii="Times New Roman" w:hAnsi="Times New Roman" w:cs="Times New Roman"/>
              </w:rPr>
            </w:pPr>
          </w:p>
        </w:tc>
        <w:tc>
          <w:tcPr>
            <w:tcW w:w="4326" w:type="dxa"/>
          </w:tcPr>
          <w:p w14:paraId="2BE4FEAD" w14:textId="1768238A" w:rsidR="022324D8" w:rsidRPr="00970540" w:rsidRDefault="00FE01B2" w:rsidP="00970540">
            <w:pPr>
              <w:spacing w:after="160" w:line="259" w:lineRule="auto"/>
              <w:jc w:val="both"/>
              <w:rPr>
                <w:rFonts w:ascii="Times New Roman" w:hAnsi="Times New Roman" w:cs="Times New Roman"/>
              </w:rPr>
            </w:pPr>
            <w:r w:rsidRPr="00970540">
              <w:rPr>
                <w:rFonts w:ascii="Times New Roman" w:hAnsi="Times New Roman" w:cs="Times New Roman"/>
              </w:rPr>
              <w:t>Atbilstoši </w:t>
            </w:r>
            <w:hyperlink r:id="rId8" w:tgtFrame="_blank" w:tooltip="Sākotnējais URL: https://likumi.lv/ta/id/353866-eiropas-savienibas-kohezijas-politikas-programmas-2021-2027-gadam-1-1-1-specifiska-atbalsta-merka-petniecibas-un-inovaciju. Noklikšķiniet vai pieskarieties, ja uzticaties šai saitei." w:history="1">
              <w:r w:rsidRPr="00970540">
                <w:rPr>
                  <w:rStyle w:val="Hyperlink"/>
                  <w:rFonts w:ascii="Times New Roman" w:hAnsi="Times New Roman" w:cs="Times New Roman"/>
                </w:rPr>
                <w:t>MK noteikumu</w:t>
              </w:r>
            </w:hyperlink>
            <w:r w:rsidRPr="00970540">
              <w:rPr>
                <w:rFonts w:ascii="Times New Roman" w:hAnsi="Times New Roman" w:cs="Times New Roman"/>
              </w:rPr>
              <w:t> Nr.502 10.1.,10.2,10.4,10.5,10.7 un 10.12.apakšpunktā noteiktajiem projekta iesniedzējiem  attiecas MK noteikumu 16.puntā noteiktais pirmā teikuma otrā daļa, ka projekts jāīsteno kopā ar sadarbības partneri. MK noteikumu 16.punkta pirmā daļa attiecas uz finansējuma saņēmējiem, kuri projektu īsteno individuāli (MK noteikumu 10.3., 10.6.,10.8, un 10.9. u.t.t.). Savukārt MK noteikumu 16.punktā otrais teikums nosaka, ka,  Finansējuma saņēmējs sadarbības partnerus iesaista 18.1. apakšpunktā minētās atbalstāmās darbības īstenošanai, atbalstāmās darbības īstenošanā, kā arī šo noteikumu </w:t>
            </w:r>
            <w:hyperlink r:id="rId9" w:anchor="p10.7" w:tgtFrame="_blank" w:history="1">
              <w:r w:rsidRPr="00970540">
                <w:rPr>
                  <w:rStyle w:val="Hyperlink"/>
                  <w:rFonts w:ascii="Times New Roman" w:hAnsi="Times New Roman" w:cs="Times New Roman"/>
                </w:rPr>
                <w:t>10.7. apakšpunktā</w:t>
              </w:r>
            </w:hyperlink>
            <w:r w:rsidRPr="00970540">
              <w:rPr>
                <w:rFonts w:ascii="Times New Roman" w:hAnsi="Times New Roman" w:cs="Times New Roman"/>
              </w:rPr>
              <w:t xml:space="preserve"> minētais finansējuma saņēmējs – sadarbības partnerus Latvijas Universitātes  Matemātikas un informātikas institūtu un Latvijas Universitātes  Literatūras, </w:t>
            </w:r>
            <w:r w:rsidRPr="00970540">
              <w:rPr>
                <w:rFonts w:ascii="Times New Roman" w:hAnsi="Times New Roman" w:cs="Times New Roman"/>
              </w:rPr>
              <w:lastRenderedPageBreak/>
              <w:t>folkloras un mākslas institūtu šo noteikumu </w:t>
            </w:r>
            <w:hyperlink r:id="rId10" w:anchor="p18.3" w:tgtFrame="_blank" w:history="1">
              <w:r w:rsidRPr="00970540">
                <w:rPr>
                  <w:rStyle w:val="Hyperlink"/>
                  <w:rFonts w:ascii="Times New Roman" w:hAnsi="Times New Roman" w:cs="Times New Roman"/>
                </w:rPr>
                <w:t>18.3. apakšpunktā</w:t>
              </w:r>
            </w:hyperlink>
            <w:r w:rsidRPr="00970540">
              <w:rPr>
                <w:rFonts w:ascii="Times New Roman" w:hAnsi="Times New Roman" w:cs="Times New Roman"/>
              </w:rPr>
              <w:t xml:space="preserve"> minētās atbalstāmās darbības īstenošanā.  </w:t>
            </w:r>
          </w:p>
        </w:tc>
      </w:tr>
      <w:tr w:rsidR="00BD6598" w:rsidRPr="00970540" w14:paraId="5BB530F4" w14:textId="77777777" w:rsidTr="022324D8">
        <w:trPr>
          <w:trHeight w:val="300"/>
        </w:trPr>
        <w:tc>
          <w:tcPr>
            <w:tcW w:w="813" w:type="dxa"/>
          </w:tcPr>
          <w:p w14:paraId="329B97F9" w14:textId="77777777" w:rsidR="00BD6598" w:rsidRPr="00970540" w:rsidRDefault="00BD6598" w:rsidP="00404048">
            <w:pPr>
              <w:pStyle w:val="ListParagraph"/>
              <w:numPr>
                <w:ilvl w:val="0"/>
                <w:numId w:val="2"/>
              </w:numPr>
              <w:rPr>
                <w:rFonts w:ascii="Times New Roman" w:hAnsi="Times New Roman" w:cs="Times New Roman"/>
              </w:rPr>
            </w:pPr>
          </w:p>
        </w:tc>
        <w:tc>
          <w:tcPr>
            <w:tcW w:w="4070" w:type="dxa"/>
          </w:tcPr>
          <w:p w14:paraId="6CED2C1B" w14:textId="709340A7" w:rsidR="00697AC9" w:rsidRPr="00970540" w:rsidRDefault="00697AC9" w:rsidP="00697AC9">
            <w:pPr>
              <w:rPr>
                <w:rFonts w:ascii="Times New Roman" w:hAnsi="Times New Roman" w:cs="Times New Roman"/>
              </w:rPr>
            </w:pPr>
            <w:r w:rsidRPr="00970540">
              <w:rPr>
                <w:rFonts w:ascii="Times New Roman" w:hAnsi="Times New Roman" w:cs="Times New Roman"/>
              </w:rPr>
              <w:t>Lūgums skaidrot, vai par virs kvalitātes sliekšņu pieteikumu saņemtais atbalsts no Baltic Bonuss programmas, kur atbalsta sniegšanas nosacījums - pieteikumā </w:t>
            </w:r>
            <w:r w:rsidRPr="00970540">
              <w:rPr>
                <w:rFonts w:ascii="Times New Roman" w:hAnsi="Times New Roman" w:cs="Times New Roman"/>
                <w:b/>
                <w:bCs/>
              </w:rPr>
              <w:t>ir iesaistīti</w:t>
            </w:r>
            <w:r w:rsidRPr="00970540">
              <w:rPr>
                <w:rFonts w:ascii="Times New Roman" w:hAnsi="Times New Roman" w:cs="Times New Roman"/>
              </w:rPr>
              <w:t> Baltijas partneri, nekādā veidā neietekmē to, lai tas tiktu atbalstīts arī šajā ERAF programmā, kur atbalsta sniegšanas nosacījums - par kvalitatīva, virs kvalitātes sliekšņa pieteikuma sagatavošanu nevis par Baltijas partneru iesaisti?</w:t>
            </w:r>
          </w:p>
          <w:p w14:paraId="16220872" w14:textId="77777777" w:rsidR="00BD6598" w:rsidRPr="00970540" w:rsidRDefault="00BD6598" w:rsidP="00BD6598">
            <w:pPr>
              <w:jc w:val="both"/>
              <w:rPr>
                <w:rFonts w:ascii="Times New Roman" w:hAnsi="Times New Roman" w:cs="Times New Roman"/>
              </w:rPr>
            </w:pPr>
          </w:p>
        </w:tc>
        <w:tc>
          <w:tcPr>
            <w:tcW w:w="4326" w:type="dxa"/>
          </w:tcPr>
          <w:p w14:paraId="32AAC0DA" w14:textId="49C36524" w:rsidR="00BD6598" w:rsidRPr="00970540" w:rsidRDefault="00930CCB" w:rsidP="00970540">
            <w:pPr>
              <w:spacing w:after="160" w:line="259" w:lineRule="auto"/>
              <w:jc w:val="both"/>
              <w:rPr>
                <w:rFonts w:ascii="Times New Roman" w:hAnsi="Times New Roman" w:cs="Times New Roman"/>
              </w:rPr>
            </w:pPr>
            <w:r w:rsidRPr="00970540">
              <w:rPr>
                <w:rFonts w:ascii="Times New Roman" w:hAnsi="Times New Roman" w:cs="Times New Roman"/>
              </w:rPr>
              <w:t xml:space="preserve">Nē, IZM izstrādātā vienkāršoto izmaksu metodika viena  programmas “Apvārsnis Eiropa” virs kvalitātes sliekšņa novērtēta projekta pieteikuma sagatavošanai paredz, ka atbalstu var saņemt, ja par attiecīgā projekta sagatavošanu iepriekš </w:t>
            </w:r>
            <w:r w:rsidRPr="00970540">
              <w:rPr>
                <w:rFonts w:ascii="Times New Roman" w:hAnsi="Times New Roman" w:cs="Times New Roman"/>
                <w:b/>
                <w:bCs/>
              </w:rPr>
              <w:t>nav</w:t>
            </w:r>
            <w:r w:rsidRPr="00970540">
              <w:rPr>
                <w:rFonts w:ascii="Times New Roman" w:hAnsi="Times New Roman" w:cs="Times New Roman"/>
              </w:rPr>
              <w:t xml:space="preserve"> </w:t>
            </w:r>
            <w:r w:rsidRPr="00970540">
              <w:rPr>
                <w:rFonts w:ascii="Times New Roman" w:hAnsi="Times New Roman" w:cs="Times New Roman"/>
                <w:b/>
                <w:bCs/>
              </w:rPr>
              <w:t>saņemts</w:t>
            </w:r>
            <w:r w:rsidRPr="00970540">
              <w:rPr>
                <w:rFonts w:ascii="Times New Roman" w:hAnsi="Times New Roman" w:cs="Times New Roman"/>
              </w:rPr>
              <w:t xml:space="preserve"> Eiropas strukturālo un investīciju fondu vai valsts budžeta finansējums programmas </w:t>
            </w:r>
            <w:r w:rsidRPr="00970540">
              <w:rPr>
                <w:rFonts w:ascii="Times New Roman" w:hAnsi="Times New Roman" w:cs="Times New Roman"/>
                <w:u w:val="single"/>
              </w:rPr>
              <w:t>Baltic Bonus</w:t>
            </w:r>
            <w:r w:rsidRPr="00970540">
              <w:rPr>
                <w:rFonts w:ascii="Times New Roman" w:hAnsi="Times New Roman" w:cs="Times New Roman"/>
              </w:rPr>
              <w:t xml:space="preserve"> ietvaros. Arī MK noteikumu Nr. 502 anotācijā minēts, ka rādītājā var ieskaitīt  tos virs kvalitātes sliekšņa novērtētos programmas "Apvārsnis Eiropa" un programmas 10. IP projektus, par kuru sagatavošanu iepriekš </w:t>
            </w:r>
            <w:r w:rsidRPr="00970540">
              <w:rPr>
                <w:rFonts w:ascii="Times New Roman" w:hAnsi="Times New Roman" w:cs="Times New Roman"/>
                <w:b/>
                <w:bCs/>
              </w:rPr>
              <w:t>nav saņemts</w:t>
            </w:r>
            <w:r w:rsidRPr="00970540">
              <w:rPr>
                <w:rFonts w:ascii="Times New Roman" w:hAnsi="Times New Roman" w:cs="Times New Roman"/>
              </w:rPr>
              <w:t xml:space="preserve"> Eiropas strukturālo un investīciju fondu  vai valsts budžeta finansējums programmas Baltic Bonus ietvaros.  MK noteikumu Nr. 502 23.punkts arī nosaka, ka finansējuma saņēmējs un sadarbības partneris nodrošina projekta īstenošanas finanšu plūsmas un darbību veidu skaidru nodalīšanu no citu finansējuma saņēmēja un sadarbības partnera darbību finanšu plūsmām un darbību veidiem, tai skaitā nodrošina dubultā finansējuma neiestāšanos un nepārklāšanos ar citiem valsts un ārvalstu finanšu instrumentiem.</w:t>
            </w:r>
          </w:p>
        </w:tc>
      </w:tr>
      <w:tr w:rsidR="00930CCB" w:rsidRPr="00970540" w14:paraId="28E884A0" w14:textId="77777777" w:rsidTr="022324D8">
        <w:trPr>
          <w:trHeight w:val="300"/>
        </w:trPr>
        <w:tc>
          <w:tcPr>
            <w:tcW w:w="813" w:type="dxa"/>
          </w:tcPr>
          <w:p w14:paraId="11AC9DB8" w14:textId="77777777" w:rsidR="00930CCB" w:rsidRPr="00970540" w:rsidRDefault="00930CCB" w:rsidP="00404048">
            <w:pPr>
              <w:pStyle w:val="ListParagraph"/>
              <w:numPr>
                <w:ilvl w:val="0"/>
                <w:numId w:val="2"/>
              </w:numPr>
              <w:rPr>
                <w:rFonts w:ascii="Times New Roman" w:hAnsi="Times New Roman" w:cs="Times New Roman"/>
              </w:rPr>
            </w:pPr>
          </w:p>
        </w:tc>
        <w:tc>
          <w:tcPr>
            <w:tcW w:w="4070" w:type="dxa"/>
          </w:tcPr>
          <w:p w14:paraId="262B5A09" w14:textId="201B55E1" w:rsidR="00930CCB" w:rsidRPr="00970540" w:rsidRDefault="00DA03AE" w:rsidP="00DA03AE">
            <w:pPr>
              <w:jc w:val="both"/>
              <w:rPr>
                <w:rFonts w:ascii="Times New Roman" w:hAnsi="Times New Roman" w:cs="Times New Roman"/>
              </w:rPr>
            </w:pPr>
            <w:r w:rsidRPr="00970540">
              <w:rPr>
                <w:rFonts w:ascii="Times New Roman" w:hAnsi="Times New Roman" w:cs="Times New Roman"/>
              </w:rPr>
              <w:t xml:space="preserve">No kura brīža </w:t>
            </w:r>
            <w:r w:rsidR="00166914" w:rsidRPr="00970540">
              <w:rPr>
                <w:rFonts w:ascii="Times New Roman" w:hAnsi="Times New Roman" w:cs="Times New Roman"/>
              </w:rPr>
              <w:t>Rādītājus</w:t>
            </w:r>
            <w:r w:rsidRPr="00970540">
              <w:rPr>
                <w:rFonts w:ascii="Times New Roman" w:hAnsi="Times New Roman" w:cs="Times New Roman"/>
              </w:rPr>
              <w:t xml:space="preserve"> var ieskaitīt kā sasniegtus?</w:t>
            </w:r>
          </w:p>
        </w:tc>
        <w:tc>
          <w:tcPr>
            <w:tcW w:w="4326" w:type="dxa"/>
          </w:tcPr>
          <w:p w14:paraId="45468305" w14:textId="4B32655B" w:rsidR="00FF43DB" w:rsidRPr="00970540" w:rsidRDefault="00FF43DB" w:rsidP="4E9013A3">
            <w:pPr>
              <w:jc w:val="both"/>
              <w:rPr>
                <w:rFonts w:ascii="Times New Roman" w:hAnsi="Times New Roman" w:cs="Times New Roman"/>
              </w:rPr>
            </w:pPr>
            <w:r w:rsidRPr="00970540">
              <w:rPr>
                <w:rFonts w:ascii="Times New Roman" w:hAnsi="Times New Roman" w:cs="Times New Roman"/>
              </w:rPr>
              <w:t>Rādītājs par virs kvalitātes sliekšņa novērtētu programmas "Apvārsnis Eiropa" projektu pieteikumu, kas iesniegts  sākot ar 2021. gada 1. janvāri, par sasniegtu tiek uzskatīts tad, kad finansējuma saņēmējs iesniedz CFLA vienas vienības izmaksu rezultāta pamatojošo dokumentāciju (projekta novērtējuma kopsavilkuma izdruku, kas apliecina projekta pieteikuma virssliekšņa novērtējumu u.c. informāciju atbilstoši vienkāršoto izmaksu metodikā noteiktajam,</w:t>
            </w:r>
            <w:r w:rsidRPr="00970540">
              <w:rPr>
                <w:rFonts w:ascii="Times New Roman" w:eastAsiaTheme="minorEastAsia" w:hAnsi="Times New Roman" w:cs="Times New Roman"/>
              </w:rPr>
              <w:t xml:space="preserve"> metodikas projekts vēl ir saskaņošanas procesā)</w:t>
            </w:r>
            <w:r w:rsidR="0F29D4DB" w:rsidRPr="00970540">
              <w:rPr>
                <w:rFonts w:ascii="Times New Roman" w:eastAsiaTheme="minorEastAsia" w:hAnsi="Times New Roman" w:cs="Times New Roman"/>
              </w:rPr>
              <w:t>, jeb vienlaikus ar vienas vienības izdevumu attiecināšanu par virs kvalitātes sliekšņa novērtētu “Apvārsnis Eiropa” projekta pieteikumu.</w:t>
            </w:r>
          </w:p>
          <w:p w14:paraId="6829DBF7" w14:textId="77777777" w:rsidR="00930CCB" w:rsidRPr="00970540" w:rsidRDefault="00930CCB" w:rsidP="00FF43DB">
            <w:pPr>
              <w:jc w:val="both"/>
              <w:rPr>
                <w:rFonts w:ascii="Times New Roman" w:hAnsi="Times New Roman" w:cs="Times New Roman"/>
              </w:rPr>
            </w:pPr>
          </w:p>
        </w:tc>
      </w:tr>
      <w:tr w:rsidR="00C46EDB" w:rsidRPr="00970540" w14:paraId="7EA0BA94" w14:textId="77777777" w:rsidTr="022324D8">
        <w:trPr>
          <w:trHeight w:val="300"/>
        </w:trPr>
        <w:tc>
          <w:tcPr>
            <w:tcW w:w="813" w:type="dxa"/>
          </w:tcPr>
          <w:p w14:paraId="4EDEFA2F" w14:textId="77777777" w:rsidR="00C46EDB" w:rsidRPr="00970540" w:rsidRDefault="00C46EDB" w:rsidP="00404048">
            <w:pPr>
              <w:pStyle w:val="ListParagraph"/>
              <w:numPr>
                <w:ilvl w:val="0"/>
                <w:numId w:val="2"/>
              </w:numPr>
              <w:rPr>
                <w:rFonts w:ascii="Times New Roman" w:hAnsi="Times New Roman" w:cs="Times New Roman"/>
              </w:rPr>
            </w:pPr>
          </w:p>
        </w:tc>
        <w:tc>
          <w:tcPr>
            <w:tcW w:w="4070" w:type="dxa"/>
          </w:tcPr>
          <w:p w14:paraId="71777F87" w14:textId="648850C4" w:rsidR="004D58C8" w:rsidRPr="00970540" w:rsidRDefault="004D58C8" w:rsidP="004D58C8">
            <w:pPr>
              <w:rPr>
                <w:rFonts w:ascii="Times New Roman" w:hAnsi="Times New Roman" w:cs="Times New Roman"/>
              </w:rPr>
            </w:pPr>
            <w:r w:rsidRPr="00970540">
              <w:rPr>
                <w:rFonts w:ascii="Times New Roman" w:hAnsi="Times New Roman" w:cs="Times New Roman"/>
              </w:rPr>
              <w:t>Veidojot projekta pieteikumu KPVIS sistēmā pie Pasākuma definētajām darbībām nav paredzēta atsevišķa darbība "Komunikācijas un vizuālās identitātes prasību nodrošināšanas pasākumi". </w:t>
            </w:r>
          </w:p>
          <w:p w14:paraId="10644F43" w14:textId="77777777" w:rsidR="004D58C8" w:rsidRPr="00970540" w:rsidRDefault="004D58C8" w:rsidP="004D58C8">
            <w:pPr>
              <w:rPr>
                <w:rFonts w:ascii="Times New Roman" w:hAnsi="Times New Roman" w:cs="Times New Roman"/>
              </w:rPr>
            </w:pPr>
            <w:r w:rsidRPr="00970540">
              <w:rPr>
                <w:rFonts w:ascii="Times New Roman" w:hAnsi="Times New Roman" w:cs="Times New Roman"/>
              </w:rPr>
              <w:lastRenderedPageBreak/>
              <w:t>Vai šajā kārtā arī mums "Komunikācijas un vizuālās identitātes prasību nodrošināšanas pasākumi" jāliek klāt pašiem?</w:t>
            </w:r>
          </w:p>
          <w:p w14:paraId="5B30B171" w14:textId="77777777" w:rsidR="00C46EDB" w:rsidRPr="00970540" w:rsidRDefault="00C46EDB" w:rsidP="00DA03AE">
            <w:pPr>
              <w:jc w:val="both"/>
              <w:rPr>
                <w:rFonts w:ascii="Times New Roman" w:hAnsi="Times New Roman" w:cs="Times New Roman"/>
              </w:rPr>
            </w:pPr>
          </w:p>
        </w:tc>
        <w:tc>
          <w:tcPr>
            <w:tcW w:w="4326" w:type="dxa"/>
          </w:tcPr>
          <w:p w14:paraId="39C2BB48" w14:textId="4502435C" w:rsidR="00CE243F" w:rsidRPr="00970540" w:rsidRDefault="00CE243F" w:rsidP="00CE243F">
            <w:pPr>
              <w:rPr>
                <w:rFonts w:ascii="Times New Roman" w:hAnsi="Times New Roman" w:cs="Times New Roman"/>
              </w:rPr>
            </w:pPr>
            <w:r w:rsidRPr="00970540">
              <w:rPr>
                <w:rFonts w:ascii="Times New Roman" w:hAnsi="Times New Roman" w:cs="Times New Roman"/>
              </w:rPr>
              <w:lastRenderedPageBreak/>
              <w:t xml:space="preserve">1115. 3 kārtas pasākumam "Komunikācijas un vizuālās identitātes prasību nodrošināšanas pasākumi" nav pievienota pie definētajām darbībām. Aizpildot projekta iesniegumu obligāti projekta iesniegumā sadaļā "Darbība" pie  atbalstāmās darbības  </w:t>
            </w:r>
            <w:r w:rsidR="4C3AA244" w:rsidRPr="00970540">
              <w:rPr>
                <w:rFonts w:ascii="Times New Roman" w:hAnsi="Times New Roman" w:cs="Times New Roman"/>
              </w:rPr>
              <w:t>aprakstā</w:t>
            </w:r>
            <w:r w:rsidRPr="00970540">
              <w:rPr>
                <w:rFonts w:ascii="Times New Roman" w:hAnsi="Times New Roman" w:cs="Times New Roman"/>
              </w:rPr>
              <w:t xml:space="preserve"> ir jānorāda </w:t>
            </w:r>
            <w:r w:rsidRPr="00970540">
              <w:rPr>
                <w:rFonts w:ascii="Times New Roman" w:hAnsi="Times New Roman" w:cs="Times New Roman"/>
              </w:rPr>
              <w:lastRenderedPageBreak/>
              <w:t xml:space="preserve">kādus publicitātes pasākumus </w:t>
            </w:r>
            <w:r w:rsidR="007A7335" w:rsidRPr="00970540">
              <w:rPr>
                <w:rFonts w:ascii="Times New Roman" w:hAnsi="Times New Roman" w:cs="Times New Roman"/>
              </w:rPr>
              <w:t>plānots</w:t>
            </w:r>
            <w:r w:rsidRPr="00970540">
              <w:rPr>
                <w:rFonts w:ascii="Times New Roman" w:hAnsi="Times New Roman" w:cs="Times New Roman"/>
              </w:rPr>
              <w:t xml:space="preserve"> veik</w:t>
            </w:r>
            <w:r w:rsidR="007A7335" w:rsidRPr="00970540">
              <w:rPr>
                <w:rFonts w:ascii="Times New Roman" w:hAnsi="Times New Roman" w:cs="Times New Roman"/>
              </w:rPr>
              <w:t>t</w:t>
            </w:r>
            <w:r w:rsidRPr="00970540">
              <w:rPr>
                <w:rFonts w:ascii="Times New Roman" w:hAnsi="Times New Roman" w:cs="Times New Roman"/>
              </w:rPr>
              <w:t xml:space="preserve"> (ievērojot vadlīnijās, MK noteikumos par pasākuma ieviešanu un projekta iesniegumu atlases kritērijā noteikto).  </w:t>
            </w:r>
          </w:p>
          <w:p w14:paraId="7E9791F1" w14:textId="609073BA" w:rsidR="00CE243F" w:rsidRPr="00970540" w:rsidRDefault="00CE243F" w:rsidP="00CE243F">
            <w:pPr>
              <w:rPr>
                <w:rFonts w:ascii="Times New Roman" w:hAnsi="Times New Roman" w:cs="Times New Roman"/>
              </w:rPr>
            </w:pPr>
            <w:r w:rsidRPr="00970540">
              <w:rPr>
                <w:rFonts w:ascii="Times New Roman" w:hAnsi="Times New Roman" w:cs="Times New Roman"/>
              </w:rPr>
              <w:t xml:space="preserve">Papildu sadaļā “Darbības”  </w:t>
            </w:r>
            <w:r w:rsidR="6B00DA49" w:rsidRPr="00970540">
              <w:rPr>
                <w:rFonts w:ascii="Times New Roman" w:hAnsi="Times New Roman" w:cs="Times New Roman"/>
              </w:rPr>
              <w:t>aprakstā</w:t>
            </w:r>
            <w:r w:rsidRPr="00970540">
              <w:rPr>
                <w:rFonts w:ascii="Times New Roman" w:hAnsi="Times New Roman" w:cs="Times New Roman"/>
              </w:rPr>
              <w:t xml:space="preserve"> jānorāda, ka  komunikāciju un vizuālās identitātes pasākumi netiks iekļauti attiecināmajās izmaksās, bet tiks finansēti no pašu līdzekļiem.</w:t>
            </w:r>
          </w:p>
          <w:p w14:paraId="76142A1E" w14:textId="0D805C56" w:rsidR="00C46EDB" w:rsidRPr="00970540" w:rsidRDefault="00CE243F" w:rsidP="00970540">
            <w:pPr>
              <w:rPr>
                <w:rFonts w:ascii="Times New Roman" w:hAnsi="Times New Roman" w:cs="Times New Roman"/>
                <w:i/>
                <w:iCs/>
              </w:rPr>
            </w:pPr>
            <w:r w:rsidRPr="00970540">
              <w:rPr>
                <w:rFonts w:ascii="Times New Roman" w:hAnsi="Times New Roman" w:cs="Times New Roman"/>
                <w:i/>
                <w:iCs/>
              </w:rPr>
              <w:t>Vēršam uzmanību, ja tiks noslēgts līgums par projekta realizāciju, tad Jums iesniedzot katru maksājumu pieprasījumu būs pie realizētajam darbībām arī jāsniedz atskaite par publicitātes pasākumiem (ievērojot  MK noteikumos noteikto regularitāti)</w:t>
            </w:r>
            <w:r w:rsidR="00970540">
              <w:rPr>
                <w:rFonts w:ascii="Times New Roman" w:hAnsi="Times New Roman" w:cs="Times New Roman"/>
                <w:i/>
                <w:iCs/>
              </w:rPr>
              <w:t>.</w:t>
            </w:r>
          </w:p>
        </w:tc>
      </w:tr>
      <w:tr w:rsidR="001A280F" w:rsidRPr="00970540" w14:paraId="12AAF491" w14:textId="77777777" w:rsidTr="022324D8">
        <w:trPr>
          <w:trHeight w:val="300"/>
        </w:trPr>
        <w:tc>
          <w:tcPr>
            <w:tcW w:w="813" w:type="dxa"/>
          </w:tcPr>
          <w:p w14:paraId="785C90E8" w14:textId="77777777" w:rsidR="001A280F" w:rsidRPr="00970540" w:rsidRDefault="001A280F" w:rsidP="00404048">
            <w:pPr>
              <w:pStyle w:val="ListParagraph"/>
              <w:numPr>
                <w:ilvl w:val="0"/>
                <w:numId w:val="2"/>
              </w:numPr>
              <w:rPr>
                <w:rFonts w:ascii="Times New Roman" w:hAnsi="Times New Roman" w:cs="Times New Roman"/>
              </w:rPr>
            </w:pPr>
          </w:p>
        </w:tc>
        <w:tc>
          <w:tcPr>
            <w:tcW w:w="4070" w:type="dxa"/>
          </w:tcPr>
          <w:p w14:paraId="540B929B" w14:textId="77777777" w:rsidR="00B00BF1" w:rsidRPr="00970540" w:rsidRDefault="00B00BF1" w:rsidP="00B00BF1">
            <w:pPr>
              <w:rPr>
                <w:rFonts w:ascii="Times New Roman" w:hAnsi="Times New Roman" w:cs="Times New Roman"/>
              </w:rPr>
            </w:pPr>
            <w:r w:rsidRPr="00970540">
              <w:rPr>
                <w:rFonts w:ascii="Times New Roman" w:hAnsi="Times New Roman" w:cs="Times New Roman"/>
              </w:rPr>
              <w:t>Par vismaz vienu no horizontālā principa “Vienlīdzība, iekļaušana, nediskriminācija un pamattiesību ievērošana”  rādītāju jāuzkrāj dati – ko tas nozīmē un kā izpaužas?</w:t>
            </w:r>
          </w:p>
          <w:p w14:paraId="1230025B" w14:textId="77777777" w:rsidR="001A280F" w:rsidRPr="00970540" w:rsidRDefault="001A280F" w:rsidP="004D58C8">
            <w:pPr>
              <w:rPr>
                <w:rFonts w:ascii="Times New Roman" w:hAnsi="Times New Roman" w:cs="Times New Roman"/>
              </w:rPr>
            </w:pPr>
          </w:p>
        </w:tc>
        <w:tc>
          <w:tcPr>
            <w:tcW w:w="4326" w:type="dxa"/>
          </w:tcPr>
          <w:p w14:paraId="56D70A17" w14:textId="1F1A0638" w:rsidR="001A280F" w:rsidRPr="00970540" w:rsidRDefault="004E38D8" w:rsidP="00CE243F">
            <w:pPr>
              <w:rPr>
                <w:rFonts w:ascii="Times New Roman" w:hAnsi="Times New Roman" w:cs="Times New Roman"/>
              </w:rPr>
            </w:pPr>
            <w:r w:rsidRPr="00970540">
              <w:rPr>
                <w:rFonts w:ascii="Times New Roman" w:hAnsi="Times New Roman" w:cs="Times New Roman"/>
              </w:rPr>
              <w:t>KP VIS sistēmā pie katra maksājumu pieprasījuma tiks sniegta informācija par rādītāja izpildi vai neizpildi. Attiecīgi, tā kā šajā atlasē  ir jāparedz vismaz  viens “Vienlīdzība, iekļaušana, nediskriminācija un pamattiesību ievērošana”  rādītājs, tad KP VIS sistēmā  iesniedzot maksājumu pieprasījumu, ir jā</w:t>
            </w:r>
            <w:r w:rsidR="001A4C6C" w:rsidRPr="00970540">
              <w:rPr>
                <w:rFonts w:ascii="Times New Roman" w:hAnsi="Times New Roman" w:cs="Times New Roman"/>
              </w:rPr>
              <w:t>iesniedz</w:t>
            </w:r>
            <w:r w:rsidRPr="00970540">
              <w:rPr>
                <w:rFonts w:ascii="Times New Roman" w:hAnsi="Times New Roman" w:cs="Times New Roman"/>
              </w:rPr>
              <w:t xml:space="preserve"> informācij</w:t>
            </w:r>
            <w:r w:rsidR="001A4C6C" w:rsidRPr="00970540">
              <w:rPr>
                <w:rFonts w:ascii="Times New Roman" w:hAnsi="Times New Roman" w:cs="Times New Roman"/>
              </w:rPr>
              <w:t>a</w:t>
            </w:r>
            <w:r w:rsidRPr="00970540">
              <w:rPr>
                <w:rFonts w:ascii="Times New Roman" w:hAnsi="Times New Roman" w:cs="Times New Roman"/>
              </w:rPr>
              <w:t xml:space="preserve"> par šī rādītāja sasniegšanu vai nesasniegšanu. </w:t>
            </w:r>
            <w:r w:rsidRPr="00970540">
              <w:rPr>
                <w:rFonts w:ascii="Times New Roman" w:hAnsi="Times New Roman" w:cs="Times New Roman"/>
                <w:i/>
                <w:iCs/>
              </w:rPr>
              <w:t>Papildu  būs jāsniedz informācija par katru HP darbību, kur</w:t>
            </w:r>
            <w:r w:rsidR="001A4C6C" w:rsidRPr="00970540">
              <w:rPr>
                <w:rFonts w:ascii="Times New Roman" w:hAnsi="Times New Roman" w:cs="Times New Roman"/>
                <w:i/>
                <w:iCs/>
              </w:rPr>
              <w:t xml:space="preserve">a </w:t>
            </w:r>
            <w:r w:rsidRPr="00970540">
              <w:rPr>
                <w:rFonts w:ascii="Times New Roman" w:hAnsi="Times New Roman" w:cs="Times New Roman"/>
                <w:i/>
                <w:iCs/>
              </w:rPr>
              <w:t>būs norādī</w:t>
            </w:r>
            <w:r w:rsidR="001A4C6C" w:rsidRPr="00970540">
              <w:rPr>
                <w:rFonts w:ascii="Times New Roman" w:hAnsi="Times New Roman" w:cs="Times New Roman"/>
                <w:i/>
                <w:iCs/>
              </w:rPr>
              <w:t>ta</w:t>
            </w:r>
            <w:r w:rsidRPr="00970540">
              <w:rPr>
                <w:rFonts w:ascii="Times New Roman" w:hAnsi="Times New Roman" w:cs="Times New Roman"/>
                <w:i/>
                <w:iCs/>
              </w:rPr>
              <w:t xml:space="preserve">, ka </w:t>
            </w:r>
            <w:r w:rsidR="001B27EB" w:rsidRPr="00970540">
              <w:rPr>
                <w:rFonts w:ascii="Times New Roman" w:hAnsi="Times New Roman" w:cs="Times New Roman"/>
                <w:i/>
                <w:iCs/>
              </w:rPr>
              <w:t>šī HP</w:t>
            </w:r>
            <w:r w:rsidRPr="00970540">
              <w:rPr>
                <w:rFonts w:ascii="Times New Roman" w:hAnsi="Times New Roman" w:cs="Times New Roman"/>
                <w:i/>
                <w:iCs/>
              </w:rPr>
              <w:t xml:space="preserve"> darbība ir izpildīta</w:t>
            </w:r>
            <w:r w:rsidR="001B27EB" w:rsidRPr="00970540">
              <w:rPr>
                <w:rFonts w:ascii="Times New Roman" w:hAnsi="Times New Roman" w:cs="Times New Roman"/>
                <w:i/>
                <w:iCs/>
              </w:rPr>
              <w:t xml:space="preserve">. </w:t>
            </w:r>
            <w:r w:rsidR="00E45789" w:rsidRPr="00970540">
              <w:rPr>
                <w:rFonts w:ascii="Times New Roman" w:hAnsi="Times New Roman" w:cs="Times New Roman"/>
                <w:i/>
                <w:iCs/>
              </w:rPr>
              <w:t>Informāciju</w:t>
            </w:r>
            <w:r w:rsidR="001B27EB" w:rsidRPr="00970540">
              <w:rPr>
                <w:rFonts w:ascii="Times New Roman" w:hAnsi="Times New Roman" w:cs="Times New Roman"/>
                <w:i/>
                <w:iCs/>
              </w:rPr>
              <w:t xml:space="preserve"> </w:t>
            </w:r>
            <w:r w:rsidR="00E45789" w:rsidRPr="00970540">
              <w:rPr>
                <w:rFonts w:ascii="Times New Roman" w:hAnsi="Times New Roman" w:cs="Times New Roman"/>
                <w:i/>
                <w:iCs/>
              </w:rPr>
              <w:t xml:space="preserve">par HP darbībām </w:t>
            </w:r>
            <w:r w:rsidR="001B27EB" w:rsidRPr="00970540">
              <w:rPr>
                <w:rFonts w:ascii="Times New Roman" w:hAnsi="Times New Roman" w:cs="Times New Roman"/>
                <w:i/>
                <w:iCs/>
              </w:rPr>
              <w:t xml:space="preserve">var sniegt </w:t>
            </w:r>
            <w:r w:rsidRPr="00970540">
              <w:rPr>
                <w:rFonts w:ascii="Times New Roman" w:hAnsi="Times New Roman" w:cs="Times New Roman"/>
                <w:i/>
                <w:iCs/>
              </w:rPr>
              <w:t>pie kārtējā maksājumu pieprasījuma, vai pie noslēguma maksājumu pieprasījuma.</w:t>
            </w:r>
          </w:p>
        </w:tc>
      </w:tr>
      <w:tr w:rsidR="00E45789" w:rsidRPr="00970540" w14:paraId="07289BE3" w14:textId="77777777" w:rsidTr="022324D8">
        <w:trPr>
          <w:trHeight w:val="300"/>
        </w:trPr>
        <w:tc>
          <w:tcPr>
            <w:tcW w:w="813" w:type="dxa"/>
          </w:tcPr>
          <w:p w14:paraId="4486954F" w14:textId="77777777" w:rsidR="00E45789" w:rsidRPr="00970540" w:rsidRDefault="00E45789" w:rsidP="00404048">
            <w:pPr>
              <w:pStyle w:val="ListParagraph"/>
              <w:numPr>
                <w:ilvl w:val="0"/>
                <w:numId w:val="2"/>
              </w:numPr>
              <w:rPr>
                <w:rFonts w:ascii="Times New Roman" w:hAnsi="Times New Roman" w:cs="Times New Roman"/>
              </w:rPr>
            </w:pPr>
          </w:p>
        </w:tc>
        <w:tc>
          <w:tcPr>
            <w:tcW w:w="4070" w:type="dxa"/>
          </w:tcPr>
          <w:p w14:paraId="7A1AE252" w14:textId="6C23FD0F" w:rsidR="00E45789" w:rsidRPr="00970540" w:rsidRDefault="005139D9" w:rsidP="00B00BF1">
            <w:pPr>
              <w:rPr>
                <w:rFonts w:ascii="Times New Roman" w:hAnsi="Times New Roman" w:cs="Times New Roman"/>
              </w:rPr>
            </w:pPr>
            <w:r w:rsidRPr="00970540">
              <w:rPr>
                <w:rFonts w:ascii="Times New Roman" w:hAnsi="Times New Roman" w:cs="Times New Roman"/>
              </w:rPr>
              <w:t>Zinātniskā personāla un zinātniski tehniskā personāla skaits un PLE uzskaite – vai MK noteikumu 35.punkts saprotams kā informācijas ievade KP VIS sistēmā pie katra MP, proti, reizi ceturksnī (tik bieži)?</w:t>
            </w:r>
          </w:p>
        </w:tc>
        <w:tc>
          <w:tcPr>
            <w:tcW w:w="4326" w:type="dxa"/>
          </w:tcPr>
          <w:p w14:paraId="65DFE054" w14:textId="77777777" w:rsidR="003D5214" w:rsidRPr="00970540" w:rsidRDefault="003D5214" w:rsidP="00CE243F">
            <w:pPr>
              <w:rPr>
                <w:rFonts w:ascii="Times New Roman" w:hAnsi="Times New Roman" w:cs="Times New Roman"/>
              </w:rPr>
            </w:pPr>
            <w:r w:rsidRPr="00970540">
              <w:rPr>
                <w:rFonts w:ascii="Times New Roman" w:hAnsi="Times New Roman" w:cs="Times New Roman"/>
              </w:rPr>
              <w:t>Jā, projekta īstenošanas laikā KP VIS sistēmā  iesniedzot kārtējo maksājumu pieprasījumu būs jāiesniedz MK noteikumu 34.punktā norādītie dati, tai skaitā  Zinātniskā personāla un zinātniski tehniskā personāla skaits un PLE uzskaite .</w:t>
            </w:r>
          </w:p>
          <w:p w14:paraId="74694FD5" w14:textId="1B6797C5" w:rsidR="00E45789" w:rsidRPr="00970540" w:rsidRDefault="003D5214" w:rsidP="00CE243F">
            <w:pPr>
              <w:rPr>
                <w:rFonts w:ascii="Times New Roman" w:hAnsi="Times New Roman" w:cs="Times New Roman"/>
                <w:i/>
                <w:iCs/>
              </w:rPr>
            </w:pPr>
            <w:r w:rsidRPr="00970540">
              <w:rPr>
                <w:rFonts w:ascii="Times New Roman" w:hAnsi="Times New Roman" w:cs="Times New Roman"/>
                <w:i/>
                <w:iCs/>
              </w:rPr>
              <w:t>Vēršam uzmanību, ka uzkrāto  RIS3 rādītāju datu ticamīb</w:t>
            </w:r>
            <w:r w:rsidR="00234E7B" w:rsidRPr="00970540">
              <w:rPr>
                <w:rFonts w:ascii="Times New Roman" w:hAnsi="Times New Roman" w:cs="Times New Roman"/>
                <w:i/>
                <w:iCs/>
              </w:rPr>
              <w:t xml:space="preserve">as pārbaudi </w:t>
            </w:r>
            <w:r w:rsidRPr="00970540">
              <w:rPr>
                <w:rFonts w:ascii="Times New Roman" w:hAnsi="Times New Roman" w:cs="Times New Roman"/>
                <w:i/>
                <w:iCs/>
              </w:rPr>
              <w:t xml:space="preserve"> sadarbības iestāde neveiks</w:t>
            </w:r>
            <w:r w:rsidR="00234E7B" w:rsidRPr="00970540">
              <w:rPr>
                <w:rFonts w:ascii="Times New Roman" w:hAnsi="Times New Roman" w:cs="Times New Roman"/>
                <w:i/>
                <w:iCs/>
              </w:rPr>
              <w:t xml:space="preserve"> </w:t>
            </w:r>
            <w:r w:rsidRPr="00970540">
              <w:rPr>
                <w:rFonts w:ascii="Times New Roman" w:hAnsi="Times New Roman" w:cs="Times New Roman"/>
                <w:i/>
                <w:iCs/>
              </w:rPr>
              <w:t>(uzkrātie dati ir informatīvi un kalpo nozares vajadzībām).</w:t>
            </w:r>
          </w:p>
        </w:tc>
      </w:tr>
      <w:tr w:rsidR="003E1547" w:rsidRPr="00970540" w14:paraId="46E67BD3" w14:textId="77777777" w:rsidTr="022324D8">
        <w:trPr>
          <w:trHeight w:val="300"/>
        </w:trPr>
        <w:tc>
          <w:tcPr>
            <w:tcW w:w="813" w:type="dxa"/>
          </w:tcPr>
          <w:p w14:paraId="38CACB29" w14:textId="77777777" w:rsidR="003E1547" w:rsidRPr="00970540" w:rsidRDefault="003E1547" w:rsidP="003E1547">
            <w:pPr>
              <w:pStyle w:val="ListParagraph"/>
              <w:numPr>
                <w:ilvl w:val="0"/>
                <w:numId w:val="2"/>
              </w:numPr>
              <w:rPr>
                <w:rFonts w:ascii="Times New Roman" w:hAnsi="Times New Roman" w:cs="Times New Roman"/>
              </w:rPr>
            </w:pPr>
          </w:p>
        </w:tc>
        <w:tc>
          <w:tcPr>
            <w:tcW w:w="4070" w:type="dxa"/>
          </w:tcPr>
          <w:p w14:paraId="56E0BAF6" w14:textId="75C9C09F" w:rsidR="003E1547" w:rsidRPr="00970540" w:rsidRDefault="003E1547" w:rsidP="003E1547">
            <w:pPr>
              <w:rPr>
                <w:rFonts w:ascii="Times New Roman" w:hAnsi="Times New Roman" w:cs="Times New Roman"/>
              </w:rPr>
            </w:pPr>
            <w:r w:rsidRPr="00970540">
              <w:rPr>
                <w:rFonts w:ascii="Times New Roman" w:hAnsi="Times New Roman" w:cs="Times New Roman"/>
              </w:rPr>
              <w:t>MK noteikumu 13.6. apakšpunkts nosaka sasniedzamo rādītāju: kvalifikācijas celšanas vai sadarbības pasākumos iesaistīto Latvijas zinātnisko institūciju pētnieku skaits. Kā noteikt šo rādītāju, ja projekta īstenošanas laiks ir  piemēram 4.5 gadi un  aktivitātē jāpiedalās noteikts skaits pētnieku gadā. Reizina šo cilvēku skaitu ar gadiem?</w:t>
            </w:r>
          </w:p>
        </w:tc>
        <w:tc>
          <w:tcPr>
            <w:tcW w:w="4326" w:type="dxa"/>
          </w:tcPr>
          <w:p w14:paraId="067162C3" w14:textId="57EF7B50" w:rsidR="003E1547" w:rsidRPr="00970540" w:rsidRDefault="003E1547" w:rsidP="003E1547">
            <w:pPr>
              <w:rPr>
                <w:rFonts w:ascii="Times New Roman" w:hAnsi="Times New Roman" w:cs="Times New Roman"/>
              </w:rPr>
            </w:pPr>
            <w:r w:rsidRPr="00970540">
              <w:rPr>
                <w:rFonts w:ascii="Times New Roman" w:hAnsi="Times New Roman" w:cs="Times New Roman"/>
              </w:rPr>
              <w:t>Jā, reizina gadā rezultātu ar 4,5 gadiem. Ņemot vērā, ka līgumus varēs indikatīvi noslēgt 2025.gada 2. ceturksnī, tad 2025. gadā var samazināt rādītāja vērtību, bet vismaz puse rādītāja vērtības jānorāda. Piemēram, ja rādītāja vērtība pēc MK noteikumu 13.6. apakšpunkta ir vismaz 30 pētnieki gadā, tad 30 pētnieki *4,5 gadi, kopā sanāk vismaz 135 pētnieki uz visu projekta īstenošanas laiku (2025.g. -vismaz 15, 2026., 2027., 2028., 2029.g.- vismaz 30 katrā gadā).</w:t>
            </w:r>
          </w:p>
        </w:tc>
      </w:tr>
      <w:tr w:rsidR="00FB5354" w:rsidRPr="00970540" w14:paraId="63399FD0" w14:textId="77777777" w:rsidTr="022324D8">
        <w:trPr>
          <w:trHeight w:val="300"/>
        </w:trPr>
        <w:tc>
          <w:tcPr>
            <w:tcW w:w="813" w:type="dxa"/>
          </w:tcPr>
          <w:p w14:paraId="2D3CC62B" w14:textId="77777777" w:rsidR="00FB5354" w:rsidRPr="00970540" w:rsidRDefault="00FB5354" w:rsidP="00FB5354">
            <w:pPr>
              <w:pStyle w:val="ListParagraph"/>
              <w:numPr>
                <w:ilvl w:val="0"/>
                <w:numId w:val="2"/>
              </w:numPr>
              <w:rPr>
                <w:rFonts w:ascii="Times New Roman" w:hAnsi="Times New Roman" w:cs="Times New Roman"/>
              </w:rPr>
            </w:pPr>
          </w:p>
        </w:tc>
        <w:tc>
          <w:tcPr>
            <w:tcW w:w="4070" w:type="dxa"/>
          </w:tcPr>
          <w:p w14:paraId="0F8B3318" w14:textId="0E20BF52" w:rsidR="00FB5354" w:rsidRPr="00970540" w:rsidRDefault="00FB5354" w:rsidP="00FB5354">
            <w:pPr>
              <w:rPr>
                <w:rFonts w:ascii="Times New Roman" w:hAnsi="Times New Roman" w:cs="Times New Roman"/>
              </w:rPr>
            </w:pPr>
            <w:r w:rsidRPr="00970540">
              <w:rPr>
                <w:rFonts w:ascii="Times New Roman" w:hAnsi="Times New Roman" w:cs="Times New Roman"/>
              </w:rPr>
              <w:t xml:space="preserve">Ja projekta iesniedzējam ir tikai viena darbība, kas ir atbalsts programmas "Apvārsnis Eiropa" un programmas 10. IP apakšprogrammu konkursos iesniegta un </w:t>
            </w:r>
            <w:r w:rsidRPr="00970540">
              <w:rPr>
                <w:rFonts w:ascii="Times New Roman" w:hAnsi="Times New Roman" w:cs="Times New Roman"/>
              </w:rPr>
              <w:lastRenderedPageBreak/>
              <w:t>virs kvalitātes sliekšņa novērtēta projekta pieteikuma sagatavošanai, kā to norādīt  budžetā?</w:t>
            </w:r>
          </w:p>
        </w:tc>
        <w:tc>
          <w:tcPr>
            <w:tcW w:w="4326" w:type="dxa"/>
          </w:tcPr>
          <w:p w14:paraId="19586536" w14:textId="77777777" w:rsidR="00FB5354" w:rsidRPr="00970540" w:rsidRDefault="00FB5354" w:rsidP="00FB5354">
            <w:pPr>
              <w:rPr>
                <w:rFonts w:ascii="Times New Roman" w:hAnsi="Times New Roman" w:cs="Times New Roman"/>
              </w:rPr>
            </w:pPr>
            <w:r w:rsidRPr="00970540">
              <w:rPr>
                <w:rFonts w:ascii="Times New Roman" w:hAnsi="Times New Roman" w:cs="Times New Roman"/>
              </w:rPr>
              <w:lastRenderedPageBreak/>
              <w:t xml:space="preserve">Projekta iesnieguma budžeta kopsavilkumā, 13.1. budžeta kodā norāda "Apvārsnis Eiropa" projekta pieteikuma sagatavošanas izmaksas, kā vienas vienības izmaksas, attiecīgi kā </w:t>
            </w:r>
            <w:r w:rsidRPr="00970540">
              <w:rPr>
                <w:rFonts w:ascii="Times New Roman" w:hAnsi="Times New Roman" w:cs="Times New Roman"/>
              </w:rPr>
              <w:lastRenderedPageBreak/>
              <w:t>budžetā iekļauto izmaksu apmēru skaidrojošo informāciju norādīt skaidrojumu:</w:t>
            </w:r>
          </w:p>
          <w:p w14:paraId="6A33E088" w14:textId="6F2F99D6" w:rsidR="00FB5354" w:rsidRPr="00970540" w:rsidRDefault="00FB5354" w:rsidP="00FB5354">
            <w:pPr>
              <w:rPr>
                <w:rFonts w:ascii="Times New Roman" w:hAnsi="Times New Roman" w:cs="Times New Roman"/>
                <w:b/>
                <w:bCs/>
                <w:i/>
                <w:iCs/>
              </w:rPr>
            </w:pPr>
            <w:r w:rsidRPr="00970540">
              <w:rPr>
                <w:rFonts w:ascii="Times New Roman" w:hAnsi="Times New Roman" w:cs="Times New Roman"/>
                <w:b/>
                <w:bCs/>
                <w:i/>
                <w:iCs/>
              </w:rPr>
              <w:t>x ( plānotie projekti) *  summa (koordinators, vai partneris).</w:t>
            </w:r>
          </w:p>
        </w:tc>
      </w:tr>
      <w:tr w:rsidR="00A779F4" w:rsidRPr="00970540" w14:paraId="5DCE8EE2" w14:textId="77777777" w:rsidTr="022324D8">
        <w:trPr>
          <w:trHeight w:val="300"/>
        </w:trPr>
        <w:tc>
          <w:tcPr>
            <w:tcW w:w="813" w:type="dxa"/>
          </w:tcPr>
          <w:p w14:paraId="5385B7A4" w14:textId="77777777" w:rsidR="00A779F4" w:rsidRPr="00970540" w:rsidRDefault="00A779F4" w:rsidP="00A779F4">
            <w:pPr>
              <w:pStyle w:val="ListParagraph"/>
              <w:numPr>
                <w:ilvl w:val="0"/>
                <w:numId w:val="2"/>
              </w:numPr>
              <w:rPr>
                <w:rFonts w:ascii="Times New Roman" w:hAnsi="Times New Roman" w:cs="Times New Roman"/>
              </w:rPr>
            </w:pPr>
          </w:p>
        </w:tc>
        <w:tc>
          <w:tcPr>
            <w:tcW w:w="4070" w:type="dxa"/>
          </w:tcPr>
          <w:p w14:paraId="4BE2E39F" w14:textId="7766A253" w:rsidR="00A779F4" w:rsidRPr="00970540" w:rsidRDefault="00A779F4" w:rsidP="00A779F4">
            <w:pPr>
              <w:rPr>
                <w:rFonts w:ascii="Times New Roman" w:hAnsi="Times New Roman" w:cs="Times New Roman"/>
              </w:rPr>
            </w:pPr>
            <w:r w:rsidRPr="00970540">
              <w:rPr>
                <w:rFonts w:ascii="Times New Roman" w:hAnsi="Times New Roman" w:cs="Times New Roman"/>
              </w:rPr>
              <w:t>Kā tiks kontrolēts sociāli atbildīgs iepirkums, ja projektā ir tikai vienas vienības izmaksas un nav citu izmaksu/darbību?</w:t>
            </w:r>
          </w:p>
        </w:tc>
        <w:tc>
          <w:tcPr>
            <w:tcW w:w="4326" w:type="dxa"/>
          </w:tcPr>
          <w:p w14:paraId="376E2F28" w14:textId="77777777" w:rsidR="00A779F4" w:rsidRPr="00970540" w:rsidRDefault="00A779F4" w:rsidP="00A779F4">
            <w:pPr>
              <w:rPr>
                <w:rFonts w:ascii="Times New Roman" w:hAnsi="Times New Roman" w:cs="Times New Roman"/>
              </w:rPr>
            </w:pPr>
            <w:r w:rsidRPr="00970540">
              <w:rPr>
                <w:rFonts w:ascii="Times New Roman" w:hAnsi="Times New Roman" w:cs="Times New Roman"/>
              </w:rPr>
              <w:t xml:space="preserve">Ja ir tikai tā viena darbība ar vienkāršotajām izmaksām un nav plānoti iepirkumi vai nav iespēja veikt sociāli atbildīgu publisko iepirkumu, tad šo norāda projekta iesniegumā un neizvēlas attiecīgo HP darbību un iesniedzējs PI plāno un izvēlas tikai tādas HP darbības, kuras var īstenot. </w:t>
            </w:r>
          </w:p>
          <w:p w14:paraId="5A432AD2" w14:textId="4D33077C" w:rsidR="00A779F4" w:rsidRPr="00970540" w:rsidRDefault="00A779F4" w:rsidP="003F7E2A">
            <w:pPr>
              <w:textAlignment w:val="baseline"/>
              <w:rPr>
                <w:rFonts w:ascii="Times New Roman" w:hAnsi="Times New Roman" w:cs="Times New Roman"/>
              </w:rPr>
            </w:pPr>
            <w:r w:rsidRPr="00970540">
              <w:rPr>
                <w:rFonts w:ascii="Times New Roman" w:hAnsi="Times New Roman" w:cs="Times New Roman"/>
              </w:rPr>
              <w:t>Projekta ieviešanas laikā  pie kārtējā MP  vai noslēguma MP izskatīšanas tiks arī sekots līdzi HP darbību izpildei, un tad arī aģentūra prasīs pārbaudot HP darbību, iesniegt dokumentus, kas apliecinās,  ka  konkrēta HP darbība ir izpildīta, attiecīgi, ja būs sociāli atbildīgs iepirkums, tad  norādēm uz to ir jābūt iepirkuma nolikumā vai tehniskajā specifikācijā.</w:t>
            </w:r>
          </w:p>
        </w:tc>
      </w:tr>
      <w:tr w:rsidR="005D7E8C" w:rsidRPr="00970540" w14:paraId="3039A0D0" w14:textId="77777777" w:rsidTr="022324D8">
        <w:trPr>
          <w:trHeight w:val="300"/>
        </w:trPr>
        <w:tc>
          <w:tcPr>
            <w:tcW w:w="813" w:type="dxa"/>
          </w:tcPr>
          <w:p w14:paraId="584C50B6" w14:textId="77777777" w:rsidR="005D7E8C" w:rsidRPr="00970540" w:rsidRDefault="005D7E8C" w:rsidP="005D7E8C">
            <w:pPr>
              <w:pStyle w:val="ListParagraph"/>
              <w:numPr>
                <w:ilvl w:val="0"/>
                <w:numId w:val="2"/>
              </w:numPr>
              <w:rPr>
                <w:rFonts w:ascii="Times New Roman" w:hAnsi="Times New Roman" w:cs="Times New Roman"/>
              </w:rPr>
            </w:pPr>
          </w:p>
        </w:tc>
        <w:tc>
          <w:tcPr>
            <w:tcW w:w="4070" w:type="dxa"/>
          </w:tcPr>
          <w:p w14:paraId="02C14371" w14:textId="61CA6D09" w:rsidR="005D7E8C" w:rsidRPr="00970540" w:rsidRDefault="005D7E8C" w:rsidP="005D7E8C">
            <w:pPr>
              <w:rPr>
                <w:rFonts w:ascii="Times New Roman" w:hAnsi="Times New Roman" w:cs="Times New Roman"/>
              </w:rPr>
            </w:pPr>
            <w:r w:rsidRPr="00970540">
              <w:rPr>
                <w:rFonts w:ascii="Times New Roman" w:hAnsi="Times New Roman" w:cs="Times New Roman"/>
              </w:rPr>
              <w:t>Ja ir tikai viena darbība un sasniedzams viens rādītājs  - virsslieksnī apstiprināti HE pieteikumi, kā izpildīt prasību par 3 vispārīgo un 3 specifisko kritēriju izpildi?</w:t>
            </w:r>
          </w:p>
        </w:tc>
        <w:tc>
          <w:tcPr>
            <w:tcW w:w="4326" w:type="dxa"/>
          </w:tcPr>
          <w:p w14:paraId="2DC5ED74" w14:textId="77777777" w:rsidR="005D7E8C" w:rsidRPr="00970540" w:rsidRDefault="005D7E8C" w:rsidP="005D7E8C">
            <w:pPr>
              <w:rPr>
                <w:rFonts w:ascii="Times New Roman" w:hAnsi="Times New Roman" w:cs="Times New Roman"/>
              </w:rPr>
            </w:pPr>
            <w:r w:rsidRPr="00970540">
              <w:rPr>
                <w:rFonts w:ascii="Times New Roman" w:hAnsi="Times New Roman" w:cs="Times New Roman"/>
              </w:rPr>
              <w:t>Projekta atlasē ir noteiktas obligātās 3 vispārīgās un 3 specifiskās HP darbības (Atbilstoši Vadlīniju horizontālā principa “Vienlīdzība, iekļaušana, nediskriminācija un pamattiesību ievērošana”(VINPI) īstenošanai un uzraudzībai (2021-2027)” un Finanšu ministrijas metodikā Nr. 3.1</w:t>
            </w:r>
          </w:p>
          <w:p w14:paraId="1D33464C" w14:textId="77777777" w:rsidR="005D7E8C" w:rsidRPr="00EE42DB" w:rsidRDefault="005D7E8C" w:rsidP="005D7E8C">
            <w:pPr>
              <w:rPr>
                <w:rFonts w:ascii="Times New Roman" w:hAnsi="Times New Roman" w:cs="Times New Roman"/>
              </w:rPr>
            </w:pPr>
            <w:r w:rsidRPr="00970540">
              <w:rPr>
                <w:rFonts w:ascii="Times New Roman" w:hAnsi="Times New Roman" w:cs="Times New Roman"/>
              </w:rPr>
              <w:t>“</w:t>
            </w:r>
            <w:r w:rsidRPr="00EE42DB">
              <w:rPr>
                <w:rFonts w:ascii="Times New Roman" w:hAnsi="Times New Roman" w:cs="Times New Roman"/>
              </w:rPr>
              <w:t>Eiropas Reģionālās attīstības fonda, Eiropas Sociālā fonda plus,</w:t>
            </w:r>
            <w:r w:rsidRPr="00970540">
              <w:rPr>
                <w:rFonts w:ascii="Times New Roman" w:hAnsi="Times New Roman" w:cs="Times New Roman"/>
              </w:rPr>
              <w:t xml:space="preserve"> </w:t>
            </w:r>
            <w:r w:rsidRPr="00EE42DB">
              <w:rPr>
                <w:rFonts w:ascii="Times New Roman" w:hAnsi="Times New Roman" w:cs="Times New Roman"/>
              </w:rPr>
              <w:t>Kohēzijas fonda un Taisnīgas pārkārtošanās fonda projektu iesniegumu atlases metodika 2021.–2027.gadam</w:t>
            </w:r>
            <w:r w:rsidRPr="00970540">
              <w:rPr>
                <w:rFonts w:ascii="Times New Roman" w:hAnsi="Times New Roman" w:cs="Times New Roman"/>
              </w:rPr>
              <w:t>” 6.pielikumā</w:t>
            </w:r>
          </w:p>
          <w:p w14:paraId="531C8C34" w14:textId="77777777" w:rsidR="005D7E8C" w:rsidRPr="00970540" w:rsidRDefault="005D7E8C" w:rsidP="005D7E8C">
            <w:pPr>
              <w:rPr>
                <w:rFonts w:ascii="Times New Roman" w:hAnsi="Times New Roman" w:cs="Times New Roman"/>
              </w:rPr>
            </w:pPr>
            <w:r w:rsidRPr="00970540">
              <w:rPr>
                <w:rFonts w:ascii="Times New Roman" w:hAnsi="Times New Roman" w:cs="Times New Roman"/>
              </w:rPr>
              <w:t xml:space="preserve">noteiktajam). </w:t>
            </w:r>
          </w:p>
          <w:p w14:paraId="093B8262" w14:textId="77777777" w:rsidR="005D7E8C" w:rsidRPr="00970540" w:rsidRDefault="005D7E8C" w:rsidP="005D7E8C">
            <w:pPr>
              <w:rPr>
                <w:rFonts w:ascii="Times New Roman" w:hAnsi="Times New Roman" w:cs="Times New Roman"/>
              </w:rPr>
            </w:pPr>
            <w:r w:rsidRPr="00970540">
              <w:rPr>
                <w:rFonts w:ascii="Times New Roman" w:hAnsi="Times New Roman" w:cs="Times New Roman"/>
              </w:rPr>
              <w:t xml:space="preserve">HP darbības tiek izvēlētas atkarībā no tā, kādu VINPI rādītāju ir plānots sasniegt.  Attiecīgi visas HP darbības (3 vispārīgās un 3 specifiskās) pievieno pie vienīgās attiecināmās darbības. Pieņemam, ka pieteikumu gatavošanā tiek plānots iesaistīt personālu, tāpat ir jāveic publicitātes un vizuālās identitātes pasākumi (pat ja izdevumi nav attiecināmi), vai projekta ietvaros ir  veikti iepirkumi attiecīgi visām šīm darbībām var piemeklēt kādu HP darbību. </w:t>
            </w:r>
          </w:p>
          <w:p w14:paraId="4B44FA0D" w14:textId="4B0594C3" w:rsidR="005D7E8C" w:rsidRPr="00970540" w:rsidRDefault="005D7E8C" w:rsidP="005D7E8C">
            <w:pPr>
              <w:rPr>
                <w:rFonts w:ascii="Times New Roman" w:hAnsi="Times New Roman" w:cs="Times New Roman"/>
                <w:i/>
                <w:iCs/>
              </w:rPr>
            </w:pPr>
            <w:r w:rsidRPr="00970540">
              <w:rPr>
                <w:rFonts w:ascii="Times New Roman" w:hAnsi="Times New Roman" w:cs="Times New Roman"/>
                <w:i/>
                <w:iCs/>
              </w:rPr>
              <w:t>Lūdzam ņemt vērā, ja tiek izvēlēts VINPI 06.3 “Sieviešu skaits atbalsta saņēmēju vidū” Tad HP specifiskā darbība ir pašiem jāizveido sava (ievērojot LM vadlīnijas Vadlīnijas horizontālā principa “Vienlīdzība, iekļaušana, nediskriminācija un pamattiesību ievērošana” īstenošanai un uzraudzībai (2021-2027)”), un tad attiecīgi no piedāvatājām HP specifiksām darbībām var izvēlēties 2 HP darbības.</w:t>
            </w:r>
          </w:p>
        </w:tc>
      </w:tr>
      <w:tr w:rsidR="00944206" w:rsidRPr="00970540" w14:paraId="59F151B5" w14:textId="77777777" w:rsidTr="022324D8">
        <w:trPr>
          <w:trHeight w:val="300"/>
        </w:trPr>
        <w:tc>
          <w:tcPr>
            <w:tcW w:w="813" w:type="dxa"/>
          </w:tcPr>
          <w:p w14:paraId="5F767A9F" w14:textId="77777777" w:rsidR="00944206" w:rsidRPr="00970540" w:rsidRDefault="00944206" w:rsidP="00944206">
            <w:pPr>
              <w:pStyle w:val="ListParagraph"/>
              <w:numPr>
                <w:ilvl w:val="0"/>
                <w:numId w:val="2"/>
              </w:numPr>
              <w:rPr>
                <w:rFonts w:ascii="Times New Roman" w:hAnsi="Times New Roman" w:cs="Times New Roman"/>
              </w:rPr>
            </w:pPr>
          </w:p>
        </w:tc>
        <w:tc>
          <w:tcPr>
            <w:tcW w:w="4070" w:type="dxa"/>
          </w:tcPr>
          <w:p w14:paraId="49616DFF" w14:textId="77777777" w:rsidR="00944206" w:rsidRPr="00970540" w:rsidRDefault="00944206" w:rsidP="00944206">
            <w:pPr>
              <w:pStyle w:val="ListParagraph"/>
              <w:numPr>
                <w:ilvl w:val="0"/>
                <w:numId w:val="9"/>
              </w:numPr>
              <w:ind w:left="345"/>
              <w:rPr>
                <w:rFonts w:ascii="Times New Roman" w:hAnsi="Times New Roman" w:cs="Times New Roman"/>
              </w:rPr>
            </w:pPr>
            <w:r w:rsidRPr="00970540">
              <w:rPr>
                <w:rFonts w:ascii="Times New Roman" w:hAnsi="Times New Roman" w:cs="Times New Roman"/>
              </w:rPr>
              <w:t>Vai es pareizi sapratu, ka konsolidācijas grantu īstenošanas ietvaros tapušie kvalitatīvie Apvārsnis Eiropa projektu pieteikumi, kas noteikti kā rezultatīvais rādītajs šajos projektos, nevarēs tikt ieskaitīti 1.1.1.5 3k. projektu rezultatīvo rādītāju izpildē?</w:t>
            </w:r>
          </w:p>
          <w:p w14:paraId="5584A701" w14:textId="77777777" w:rsidR="00944206" w:rsidRPr="00970540" w:rsidRDefault="00944206" w:rsidP="00944206">
            <w:pPr>
              <w:pStyle w:val="ListParagraph"/>
              <w:ind w:left="345"/>
              <w:rPr>
                <w:rFonts w:ascii="Times New Roman" w:hAnsi="Times New Roman" w:cs="Times New Roman"/>
              </w:rPr>
            </w:pPr>
          </w:p>
          <w:p w14:paraId="5F4AFC3A" w14:textId="01523254" w:rsidR="00944206" w:rsidRPr="00970540" w:rsidRDefault="00944206" w:rsidP="00944206">
            <w:pPr>
              <w:pStyle w:val="ListParagraph"/>
              <w:numPr>
                <w:ilvl w:val="0"/>
                <w:numId w:val="9"/>
              </w:numPr>
              <w:ind w:left="345"/>
              <w:rPr>
                <w:rFonts w:ascii="Times New Roman" w:hAnsi="Times New Roman" w:cs="Times New Roman"/>
              </w:rPr>
            </w:pPr>
            <w:r w:rsidRPr="00970540">
              <w:rPr>
                <w:rFonts w:ascii="Times New Roman" w:hAnsi="Times New Roman" w:cs="Times New Roman"/>
              </w:rPr>
              <w:t>Bet vai tas nozīmē arī to, ka, ja projekts tiek pieteikts konsolidācijas grantu ietvaros, bet izstrādes laikā tas nav saņēmis finansiālu atbalstu, un nav apstiprināts, bet ir virs sliekšņa, tad arī nedrīkst attiecināt 1115 III kārtas atbalstu, lai pieteikumu uzlabotu?</w:t>
            </w:r>
          </w:p>
        </w:tc>
        <w:tc>
          <w:tcPr>
            <w:tcW w:w="4326" w:type="dxa"/>
          </w:tcPr>
          <w:p w14:paraId="6FAFD3D2" w14:textId="77777777" w:rsidR="00944206" w:rsidRPr="00970540" w:rsidRDefault="00944206" w:rsidP="00944206">
            <w:pPr>
              <w:pStyle w:val="ListParagraph"/>
              <w:numPr>
                <w:ilvl w:val="0"/>
                <w:numId w:val="8"/>
              </w:numPr>
              <w:ind w:left="391"/>
              <w:textAlignment w:val="baseline"/>
              <w:rPr>
                <w:rFonts w:ascii="Times New Roman" w:hAnsi="Times New Roman" w:cs="Times New Roman"/>
              </w:rPr>
            </w:pPr>
            <w:r w:rsidRPr="00970540">
              <w:rPr>
                <w:rFonts w:ascii="Times New Roman" w:hAnsi="Times New Roman" w:cs="Times New Roman"/>
              </w:rPr>
              <w:t xml:space="preserve">Jā, atbalstu var saņemt un rādītājā 1115 3.k. projektā var ieskaitīt tikai tos projektu pieteikumus, par kuriem iepriekš nav saņemts Eiropas strukturālo un investīciju fondu vai valsts budžeta finansējums programmas Baltic Bonus ietvaros, tai skaitā Atveseļošanas fonda 5.2.1.1. investīcijas ietvaros (konsolidācijas granti). </w:t>
            </w:r>
          </w:p>
          <w:p w14:paraId="0C5383A4" w14:textId="77777777" w:rsidR="00944206" w:rsidRPr="00970540" w:rsidRDefault="00944206" w:rsidP="00944206">
            <w:pPr>
              <w:pStyle w:val="ListParagraph"/>
              <w:ind w:left="391"/>
              <w:textAlignment w:val="baseline"/>
              <w:rPr>
                <w:rFonts w:ascii="Times New Roman" w:hAnsi="Times New Roman" w:cs="Times New Roman"/>
              </w:rPr>
            </w:pPr>
          </w:p>
          <w:p w14:paraId="5ABB2E6F" w14:textId="209ADA27" w:rsidR="00944206" w:rsidRPr="00970540" w:rsidRDefault="00944206" w:rsidP="00944206">
            <w:pPr>
              <w:pStyle w:val="ListParagraph"/>
              <w:numPr>
                <w:ilvl w:val="0"/>
                <w:numId w:val="8"/>
              </w:numPr>
              <w:ind w:left="391"/>
              <w:textAlignment w:val="baseline"/>
              <w:rPr>
                <w:rFonts w:ascii="Times New Roman" w:hAnsi="Times New Roman" w:cs="Times New Roman"/>
              </w:rPr>
            </w:pPr>
            <w:r w:rsidRPr="00970540">
              <w:rPr>
                <w:rFonts w:ascii="Times New Roman" w:hAnsi="Times New Roman" w:cs="Times New Roman"/>
              </w:rPr>
              <w:t xml:space="preserve">Konsolidācijas grantu ietvaros pieteiktie virssliekšņa projektu pieteikumi nekvalificējas atbalstam 1.1.1.5.pasākuma 3.kārtas ietvaros, lai nodrošinātu dubultfinansējuma neesamību. Sk. iepr. atbildi. </w:t>
            </w:r>
          </w:p>
        </w:tc>
      </w:tr>
      <w:tr w:rsidR="000478D7" w:rsidRPr="00970540" w14:paraId="4A2F5755" w14:textId="77777777" w:rsidTr="022324D8">
        <w:trPr>
          <w:trHeight w:val="300"/>
        </w:trPr>
        <w:tc>
          <w:tcPr>
            <w:tcW w:w="813" w:type="dxa"/>
          </w:tcPr>
          <w:p w14:paraId="19D8707C" w14:textId="77777777" w:rsidR="000478D7" w:rsidRPr="00970540" w:rsidRDefault="000478D7" w:rsidP="000478D7">
            <w:pPr>
              <w:pStyle w:val="ListParagraph"/>
              <w:numPr>
                <w:ilvl w:val="0"/>
                <w:numId w:val="2"/>
              </w:numPr>
              <w:rPr>
                <w:rFonts w:ascii="Times New Roman" w:hAnsi="Times New Roman" w:cs="Times New Roman"/>
              </w:rPr>
            </w:pPr>
          </w:p>
        </w:tc>
        <w:tc>
          <w:tcPr>
            <w:tcW w:w="4070" w:type="dxa"/>
          </w:tcPr>
          <w:p w14:paraId="1F85D2D9" w14:textId="77777777" w:rsidR="000478D7" w:rsidRPr="00970540" w:rsidRDefault="000478D7" w:rsidP="000478D7">
            <w:pPr>
              <w:spacing w:before="100" w:beforeAutospacing="1" w:after="100" w:afterAutospacing="1"/>
              <w:rPr>
                <w:rFonts w:ascii="Times New Roman" w:eastAsia="Times New Roman" w:hAnsi="Times New Roman" w:cs="Times New Roman"/>
                <w:kern w:val="0"/>
                <w:lang w:eastAsia="lv-LV"/>
                <w14:ligatures w14:val="none"/>
              </w:rPr>
            </w:pPr>
            <w:r w:rsidRPr="00970540">
              <w:rPr>
                <w:rFonts w:ascii="Times New Roman" w:eastAsia="Times New Roman" w:hAnsi="Times New Roman" w:cs="Times New Roman"/>
                <w:kern w:val="0"/>
                <w:lang w:eastAsia="lv-LV"/>
                <w14:ligatures w14:val="none"/>
              </w:rPr>
              <w:t>Vai "Sieviešu skaits atbalsta saņēmēju vidū" ir kā HP rādītājs (obligāts)?</w:t>
            </w:r>
          </w:p>
          <w:p w14:paraId="1F6015D2" w14:textId="6BF6944A" w:rsidR="000478D7" w:rsidRPr="00970540" w:rsidRDefault="000478D7" w:rsidP="000478D7">
            <w:pPr>
              <w:rPr>
                <w:rFonts w:ascii="Times New Roman" w:hAnsi="Times New Roman" w:cs="Times New Roman"/>
              </w:rPr>
            </w:pPr>
            <w:r w:rsidRPr="00970540">
              <w:rPr>
                <w:rFonts w:ascii="Times New Roman" w:eastAsia="Times New Roman" w:hAnsi="Times New Roman" w:cs="Times New Roman"/>
                <w:kern w:val="0"/>
                <w:lang w:eastAsia="lv-LV"/>
                <w14:ligatures w14:val="none"/>
              </w:rPr>
              <w:t> </w:t>
            </w:r>
          </w:p>
        </w:tc>
        <w:tc>
          <w:tcPr>
            <w:tcW w:w="4326" w:type="dxa"/>
          </w:tcPr>
          <w:p w14:paraId="4431EBC9" w14:textId="6DA3C355" w:rsidR="000478D7" w:rsidRPr="00970540" w:rsidRDefault="000478D7" w:rsidP="000478D7">
            <w:pPr>
              <w:rPr>
                <w:rFonts w:ascii="Times New Roman" w:hAnsi="Times New Roman" w:cs="Times New Roman"/>
              </w:rPr>
            </w:pPr>
            <w:r w:rsidRPr="00970540">
              <w:rPr>
                <w:rFonts w:ascii="Times New Roman" w:hAnsi="Times New Roman" w:cs="Times New Roman"/>
              </w:rPr>
              <w:t>MK noteikumi nenosaka, ka tieši Sieviešu skaits atbalsta saņēmēju vidū ir obligāts, Jūs varat izvēlēties citu atbilstoši HP radītāju (VINPI), MK noteikumi un atlases kritēriji nosaka, ka ir jāpiesaista 1 VINPI rādītājs.</w:t>
            </w:r>
          </w:p>
        </w:tc>
      </w:tr>
      <w:tr w:rsidR="00970540" w:rsidRPr="00970540" w14:paraId="186EA9BA" w14:textId="77777777" w:rsidTr="022324D8">
        <w:trPr>
          <w:trHeight w:val="300"/>
        </w:trPr>
        <w:tc>
          <w:tcPr>
            <w:tcW w:w="813" w:type="dxa"/>
          </w:tcPr>
          <w:p w14:paraId="15364580" w14:textId="77777777" w:rsidR="00970540" w:rsidRPr="00970540" w:rsidRDefault="00970540" w:rsidP="00970540">
            <w:pPr>
              <w:pStyle w:val="ListParagraph"/>
              <w:numPr>
                <w:ilvl w:val="0"/>
                <w:numId w:val="2"/>
              </w:numPr>
              <w:rPr>
                <w:rFonts w:ascii="Times New Roman" w:hAnsi="Times New Roman" w:cs="Times New Roman"/>
              </w:rPr>
            </w:pPr>
          </w:p>
        </w:tc>
        <w:tc>
          <w:tcPr>
            <w:tcW w:w="4070" w:type="dxa"/>
          </w:tcPr>
          <w:p w14:paraId="5E150F5F" w14:textId="5A44FA42" w:rsidR="00970540" w:rsidRPr="00970540" w:rsidRDefault="00970540" w:rsidP="00970540">
            <w:pPr>
              <w:rPr>
                <w:rFonts w:ascii="Times New Roman" w:hAnsi="Times New Roman" w:cs="Times New Roman"/>
              </w:rPr>
            </w:pPr>
            <w:r w:rsidRPr="00970540">
              <w:rPr>
                <w:rFonts w:ascii="Times New Roman" w:hAnsi="Times New Roman" w:cs="Times New Roman"/>
              </w:rPr>
              <w:t>Ja projektā jāparedz 4,5gadi un jāpabeidz 11.2029., tad projekts būtu jāplāno sākot ar 01.06.2025. Pareizi?</w:t>
            </w:r>
          </w:p>
        </w:tc>
        <w:tc>
          <w:tcPr>
            <w:tcW w:w="4326" w:type="dxa"/>
          </w:tcPr>
          <w:p w14:paraId="23419D28" w14:textId="77777777" w:rsidR="00970540" w:rsidRPr="00970540" w:rsidRDefault="00970540" w:rsidP="00970540">
            <w:pPr>
              <w:textAlignment w:val="baseline"/>
              <w:rPr>
                <w:rFonts w:ascii="Times New Roman" w:eastAsia="Times New Roman" w:hAnsi="Times New Roman" w:cs="Times New Roman"/>
                <w:color w:val="000000" w:themeColor="text1"/>
                <w:lang w:eastAsia="lv-LV"/>
              </w:rPr>
            </w:pPr>
            <w:r w:rsidRPr="00970540">
              <w:rPr>
                <w:rFonts w:ascii="Times New Roman" w:eastAsia="Times New Roman" w:hAnsi="Times New Roman" w:cs="Times New Roman"/>
                <w:color w:val="000000"/>
                <w:kern w:val="0"/>
                <w:lang w:eastAsia="lv-LV"/>
                <w14:ligatures w14:val="none"/>
              </w:rPr>
              <w:t xml:space="preserve">Projektu var uzsākt arī ātrāk un īstenot attiecīgi 4,5 gadus, pabeidzot arī ātrāk. </w:t>
            </w:r>
          </w:p>
          <w:p w14:paraId="68FBA17A" w14:textId="2736BF94" w:rsidR="00970540" w:rsidRPr="00970540" w:rsidRDefault="00970540" w:rsidP="00970540">
            <w:pPr>
              <w:rPr>
                <w:rFonts w:ascii="Times New Roman" w:hAnsi="Times New Roman" w:cs="Times New Roman"/>
              </w:rPr>
            </w:pPr>
            <w:r w:rsidRPr="00970540">
              <w:rPr>
                <w:rFonts w:ascii="Times New Roman" w:eastAsia="Times New Roman" w:hAnsi="Times New Roman" w:cs="Times New Roman"/>
                <w:color w:val="000000"/>
                <w:kern w:val="0"/>
                <w:lang w:eastAsia="lv-LV"/>
                <w14:ligatures w14:val="none"/>
              </w:rPr>
              <w:t>Vienlaikus vēršam uzmanību, ka 4,5 gadi ir indikatīvais projektu īstenošanas laiks, ņemot vērā maksimālo projektu īstenošanas laiku 30.11.2029. un iespējamo vienošanās par projekta īstenošanu noslēgšanas laiku (ind. 2025.g. 2.cet.).</w:t>
            </w:r>
          </w:p>
        </w:tc>
      </w:tr>
      <w:tr w:rsidR="00970540" w:rsidRPr="00970540" w14:paraId="0CE45D47" w14:textId="77777777" w:rsidTr="022324D8">
        <w:trPr>
          <w:trHeight w:val="300"/>
        </w:trPr>
        <w:tc>
          <w:tcPr>
            <w:tcW w:w="813" w:type="dxa"/>
          </w:tcPr>
          <w:p w14:paraId="68720754" w14:textId="77777777" w:rsidR="00970540" w:rsidRPr="00970540" w:rsidRDefault="00970540" w:rsidP="00970540">
            <w:pPr>
              <w:pStyle w:val="ListParagraph"/>
              <w:numPr>
                <w:ilvl w:val="0"/>
                <w:numId w:val="2"/>
              </w:numPr>
              <w:rPr>
                <w:rFonts w:ascii="Times New Roman" w:hAnsi="Times New Roman" w:cs="Times New Roman"/>
              </w:rPr>
            </w:pPr>
          </w:p>
        </w:tc>
        <w:tc>
          <w:tcPr>
            <w:tcW w:w="4070" w:type="dxa"/>
          </w:tcPr>
          <w:p w14:paraId="79901BA5" w14:textId="52930351" w:rsidR="00970540" w:rsidRPr="00970540" w:rsidRDefault="003F7E2A" w:rsidP="00970540">
            <w:pPr>
              <w:rPr>
                <w:rFonts w:ascii="Times New Roman" w:hAnsi="Times New Roman" w:cs="Times New Roman"/>
              </w:rPr>
            </w:pPr>
            <w:r>
              <w:rPr>
                <w:rFonts w:ascii="Times New Roman" w:hAnsi="Times New Roman" w:cs="Times New Roman"/>
              </w:rPr>
              <w:t xml:space="preserve">Vai var iesniegt vairāk projekta pieteikumu, un sasniegt </w:t>
            </w:r>
            <w:r w:rsidR="00C202BE">
              <w:rPr>
                <w:rFonts w:ascii="Times New Roman" w:hAnsi="Times New Roman" w:cs="Times New Roman"/>
              </w:rPr>
              <w:t xml:space="preserve">lielāku rezultātu? Un vai tiks saņemta maksa par iesniegtajiem projekta pieteikumiem virs </w:t>
            </w:r>
            <w:r w:rsidR="002A10ED">
              <w:rPr>
                <w:rFonts w:ascii="Times New Roman" w:hAnsi="Times New Roman" w:cs="Times New Roman"/>
              </w:rPr>
              <w:t xml:space="preserve">MK noteikumos </w:t>
            </w:r>
            <w:r w:rsidR="00C202BE">
              <w:rPr>
                <w:rFonts w:ascii="Times New Roman" w:hAnsi="Times New Roman" w:cs="Times New Roman"/>
              </w:rPr>
              <w:t xml:space="preserve">noteiktā </w:t>
            </w:r>
            <w:r w:rsidR="002A10ED">
              <w:rPr>
                <w:rFonts w:ascii="Times New Roman" w:hAnsi="Times New Roman" w:cs="Times New Roman"/>
              </w:rPr>
              <w:t xml:space="preserve">pieteikumu </w:t>
            </w:r>
            <w:r w:rsidR="00C202BE">
              <w:rPr>
                <w:rFonts w:ascii="Times New Roman" w:hAnsi="Times New Roman" w:cs="Times New Roman"/>
              </w:rPr>
              <w:t>skaita?</w:t>
            </w:r>
          </w:p>
        </w:tc>
        <w:tc>
          <w:tcPr>
            <w:tcW w:w="4326" w:type="dxa"/>
          </w:tcPr>
          <w:p w14:paraId="66F4DF90" w14:textId="495E47C4" w:rsidR="00F05BC2" w:rsidRPr="00F05BC2" w:rsidRDefault="00F05BC2" w:rsidP="00F05BC2">
            <w:pPr>
              <w:rPr>
                <w:rFonts w:ascii="Times New Roman" w:hAnsi="Times New Roman" w:cs="Times New Roman"/>
              </w:rPr>
            </w:pPr>
            <w:r w:rsidRPr="00F05BC2">
              <w:rPr>
                <w:rFonts w:ascii="Times New Roman" w:hAnsi="Times New Roman" w:cs="Times New Roman"/>
              </w:rPr>
              <w:t>MK noteikumu 13.1 nosaka, ka pasākuma trešajā kārtā ir šādi nacionālie rādītāji  - ne mazāk kā 955 programmas "Apvārsnis Eiropa" un programmas 10. IP projektu pieteikumi</w:t>
            </w:r>
            <w:r>
              <w:rPr>
                <w:rFonts w:ascii="Times New Roman" w:hAnsi="Times New Roman" w:cs="Times New Roman"/>
              </w:rPr>
              <w:t xml:space="preserve">. </w:t>
            </w:r>
            <w:r w:rsidRPr="00F05BC2">
              <w:rPr>
                <w:rFonts w:ascii="Times New Roman" w:hAnsi="Times New Roman" w:cs="Times New Roman"/>
              </w:rPr>
              <w:t> Lūdzam pievērst uzmanību, ka uzsvars MK noteikumos ir  uz "</w:t>
            </w:r>
            <w:r w:rsidRPr="00F05BC2">
              <w:rPr>
                <w:rFonts w:ascii="Times New Roman" w:hAnsi="Times New Roman" w:cs="Times New Roman"/>
                <w:b/>
                <w:bCs/>
              </w:rPr>
              <w:t xml:space="preserve">vismaz </w:t>
            </w:r>
            <w:r>
              <w:rPr>
                <w:rFonts w:ascii="Times New Roman" w:hAnsi="Times New Roman" w:cs="Times New Roman"/>
                <w:b/>
                <w:bCs/>
              </w:rPr>
              <w:t>…</w:t>
            </w:r>
            <w:r w:rsidRPr="00F05BC2">
              <w:rPr>
                <w:rFonts w:ascii="Times New Roman" w:hAnsi="Times New Roman" w:cs="Times New Roman"/>
                <w:b/>
                <w:bCs/>
              </w:rPr>
              <w:t xml:space="preserve"> pieteikum</w:t>
            </w:r>
            <w:r w:rsidRPr="00F05BC2">
              <w:rPr>
                <w:rFonts w:ascii="Times New Roman" w:hAnsi="Times New Roman" w:cs="Times New Roman"/>
              </w:rPr>
              <w:t xml:space="preserve">i", tātad ir pieļaujams, ka </w:t>
            </w:r>
            <w:r>
              <w:rPr>
                <w:rFonts w:ascii="Times New Roman" w:hAnsi="Times New Roman" w:cs="Times New Roman"/>
              </w:rPr>
              <w:t>projekta ietvaros</w:t>
            </w:r>
            <w:r w:rsidRPr="00F05BC2">
              <w:rPr>
                <w:rFonts w:ascii="Times New Roman" w:hAnsi="Times New Roman" w:cs="Times New Roman"/>
              </w:rPr>
              <w:t xml:space="preserve"> </w:t>
            </w:r>
            <w:r w:rsidR="00A108EC">
              <w:rPr>
                <w:rFonts w:ascii="Times New Roman" w:hAnsi="Times New Roman" w:cs="Times New Roman"/>
              </w:rPr>
              <w:t xml:space="preserve">var </w:t>
            </w:r>
            <w:r w:rsidRPr="00F05BC2">
              <w:rPr>
                <w:rFonts w:ascii="Times New Roman" w:hAnsi="Times New Roman" w:cs="Times New Roman"/>
              </w:rPr>
              <w:t>iesnie</w:t>
            </w:r>
            <w:r w:rsidR="00A108EC">
              <w:rPr>
                <w:rFonts w:ascii="Times New Roman" w:hAnsi="Times New Roman" w:cs="Times New Roman"/>
              </w:rPr>
              <w:t>gt</w:t>
            </w:r>
            <w:r w:rsidRPr="00F05BC2">
              <w:rPr>
                <w:rFonts w:ascii="Times New Roman" w:hAnsi="Times New Roman" w:cs="Times New Roman"/>
              </w:rPr>
              <w:t xml:space="preserve"> arī vairāk </w:t>
            </w:r>
            <w:r w:rsidR="00A108EC">
              <w:rPr>
                <w:rFonts w:ascii="Times New Roman" w:hAnsi="Times New Roman" w:cs="Times New Roman"/>
              </w:rPr>
              <w:t xml:space="preserve">projekta </w:t>
            </w:r>
            <w:r w:rsidRPr="00F05BC2">
              <w:rPr>
                <w:rFonts w:ascii="Times New Roman" w:hAnsi="Times New Roman" w:cs="Times New Roman"/>
              </w:rPr>
              <w:t xml:space="preserve">pieteikumus,  ievērojot MK noteikumu nosacījumus, </w:t>
            </w:r>
            <w:r w:rsidR="00303DD4">
              <w:rPr>
                <w:rFonts w:ascii="Times New Roman" w:hAnsi="Times New Roman" w:cs="Times New Roman"/>
              </w:rPr>
              <w:t>kā arī</w:t>
            </w:r>
            <w:r w:rsidRPr="00F05BC2">
              <w:rPr>
                <w:rFonts w:ascii="Times New Roman" w:hAnsi="Times New Roman" w:cs="Times New Roman"/>
              </w:rPr>
              <w:t xml:space="preserve"> nosacījumu, lai novērstu dubultā finansējuma riskus. </w:t>
            </w:r>
          </w:p>
          <w:p w14:paraId="7FFB4436" w14:textId="22652E77" w:rsidR="00303DD4" w:rsidRDefault="002A143C" w:rsidP="00F05BC2">
            <w:pPr>
              <w:rPr>
                <w:rFonts w:ascii="Times New Roman" w:hAnsi="Times New Roman" w:cs="Times New Roman"/>
              </w:rPr>
            </w:pPr>
            <w:r>
              <w:rPr>
                <w:rFonts w:ascii="Times New Roman" w:hAnsi="Times New Roman" w:cs="Times New Roman"/>
              </w:rPr>
              <w:t>Projekta p</w:t>
            </w:r>
            <w:r w:rsidR="00303DD4">
              <w:rPr>
                <w:rFonts w:ascii="Times New Roman" w:hAnsi="Times New Roman" w:cs="Times New Roman"/>
              </w:rPr>
              <w:t>ieteikumus var iesniegt</w:t>
            </w:r>
            <w:r w:rsidR="00F05BC2" w:rsidRPr="00F05BC2">
              <w:rPr>
                <w:rFonts w:ascii="Times New Roman" w:hAnsi="Times New Roman" w:cs="Times New Roman"/>
              </w:rPr>
              <w:t xml:space="preserve"> </w:t>
            </w:r>
            <w:r>
              <w:rPr>
                <w:rFonts w:ascii="Times New Roman" w:hAnsi="Times New Roman" w:cs="Times New Roman"/>
              </w:rPr>
              <w:t xml:space="preserve">gan </w:t>
            </w:r>
            <w:r w:rsidR="00F05BC2" w:rsidRPr="00F05BC2">
              <w:rPr>
                <w:rFonts w:ascii="Times New Roman" w:hAnsi="Times New Roman" w:cs="Times New Roman"/>
              </w:rPr>
              <w:t xml:space="preserve">kā vadošais partneris </w:t>
            </w:r>
            <w:r>
              <w:rPr>
                <w:rFonts w:ascii="Times New Roman" w:hAnsi="Times New Roman" w:cs="Times New Roman"/>
              </w:rPr>
              <w:t xml:space="preserve">gan </w:t>
            </w:r>
            <w:r w:rsidR="00F05BC2" w:rsidRPr="00F05BC2">
              <w:rPr>
                <w:rFonts w:ascii="Times New Roman" w:hAnsi="Times New Roman" w:cs="Times New Roman"/>
              </w:rPr>
              <w:t>kā partneris</w:t>
            </w:r>
            <w:r w:rsidR="00371FFF">
              <w:rPr>
                <w:rFonts w:ascii="Times New Roman" w:hAnsi="Times New Roman" w:cs="Times New Roman"/>
              </w:rPr>
              <w:t>,</w:t>
            </w:r>
            <w:r w:rsidR="00F05BC2" w:rsidRPr="00F05BC2">
              <w:rPr>
                <w:rFonts w:ascii="Times New Roman" w:hAnsi="Times New Roman" w:cs="Times New Roman"/>
              </w:rPr>
              <w:t xml:space="preserve"> </w:t>
            </w:r>
            <w:r>
              <w:rPr>
                <w:rFonts w:ascii="Times New Roman" w:hAnsi="Times New Roman" w:cs="Times New Roman"/>
              </w:rPr>
              <w:t xml:space="preserve">un </w:t>
            </w:r>
            <w:r w:rsidR="00F05BC2" w:rsidRPr="00F05BC2">
              <w:rPr>
                <w:rFonts w:ascii="Times New Roman" w:hAnsi="Times New Roman" w:cs="Times New Roman"/>
              </w:rPr>
              <w:t xml:space="preserve">tā ir </w:t>
            </w:r>
            <w:r w:rsidR="00303DD4">
              <w:rPr>
                <w:rFonts w:ascii="Times New Roman" w:hAnsi="Times New Roman" w:cs="Times New Roman"/>
              </w:rPr>
              <w:t>projekta iesniedzēja</w:t>
            </w:r>
            <w:r w:rsidR="00F05BC2" w:rsidRPr="00F05BC2">
              <w:rPr>
                <w:rFonts w:ascii="Times New Roman" w:hAnsi="Times New Roman" w:cs="Times New Roman"/>
              </w:rPr>
              <w:t xml:space="preserve"> izvēle. </w:t>
            </w:r>
          </w:p>
          <w:p w14:paraId="4AEE5100" w14:textId="16639A59" w:rsidR="00E00E99" w:rsidRPr="00F05BC2" w:rsidRDefault="00F05BC2" w:rsidP="00F05BC2">
            <w:pPr>
              <w:rPr>
                <w:rFonts w:ascii="Times New Roman" w:hAnsi="Times New Roman" w:cs="Times New Roman"/>
              </w:rPr>
            </w:pPr>
            <w:r w:rsidRPr="00F05BC2">
              <w:rPr>
                <w:rFonts w:ascii="Times New Roman" w:hAnsi="Times New Roman" w:cs="Times New Roman"/>
              </w:rPr>
              <w:t xml:space="preserve">Jāņem vērā, ka  MK noteikumos noteiktais budžets </w:t>
            </w:r>
            <w:r w:rsidR="00B01AF2">
              <w:rPr>
                <w:rFonts w:ascii="Times New Roman" w:hAnsi="Times New Roman" w:cs="Times New Roman"/>
              </w:rPr>
              <w:t xml:space="preserve">tika </w:t>
            </w:r>
            <w:r w:rsidRPr="00F05BC2">
              <w:rPr>
                <w:rFonts w:ascii="Times New Roman" w:hAnsi="Times New Roman" w:cs="Times New Roman"/>
              </w:rPr>
              <w:t xml:space="preserve">aprēķināts ņemot vērā vienkāršoto izmaksu augstāko likmi (tas, ja iesniedzat, kā vadošais partneris), līdz ar to, ja </w:t>
            </w:r>
            <w:r w:rsidR="00303DD4">
              <w:rPr>
                <w:rFonts w:ascii="Times New Roman" w:hAnsi="Times New Roman" w:cs="Times New Roman"/>
              </w:rPr>
              <w:t>projekta</w:t>
            </w:r>
            <w:r w:rsidR="001A091A">
              <w:rPr>
                <w:rFonts w:ascii="Times New Roman" w:hAnsi="Times New Roman" w:cs="Times New Roman"/>
              </w:rPr>
              <w:t xml:space="preserve"> pieteikum</w:t>
            </w:r>
            <w:r w:rsidR="00B01AF2">
              <w:rPr>
                <w:rFonts w:ascii="Times New Roman" w:hAnsi="Times New Roman" w:cs="Times New Roman"/>
              </w:rPr>
              <w:t>i tiek</w:t>
            </w:r>
            <w:r w:rsidR="001A091A">
              <w:rPr>
                <w:rFonts w:ascii="Times New Roman" w:hAnsi="Times New Roman" w:cs="Times New Roman"/>
              </w:rPr>
              <w:t xml:space="preserve"> </w:t>
            </w:r>
            <w:r w:rsidRPr="00F05BC2">
              <w:rPr>
                <w:rFonts w:ascii="Times New Roman" w:hAnsi="Times New Roman" w:cs="Times New Roman"/>
              </w:rPr>
              <w:t>iesnie</w:t>
            </w:r>
            <w:r w:rsidR="00B01AF2">
              <w:rPr>
                <w:rFonts w:ascii="Times New Roman" w:hAnsi="Times New Roman" w:cs="Times New Roman"/>
              </w:rPr>
              <w:t>gti</w:t>
            </w:r>
            <w:r w:rsidRPr="00F05BC2">
              <w:rPr>
                <w:rFonts w:ascii="Times New Roman" w:hAnsi="Times New Roman" w:cs="Times New Roman"/>
              </w:rPr>
              <w:t xml:space="preserve"> kā partneris, tad Jums izmaksu apmērs par katru pieteikumu  tiks noteikts piemērojot zemāko vienkāršoto izmaksu likmi (attiecīgi arī palielinās iesniegto projektu pieteikumu skaits), galvenais ir ievērot, lai netiek </w:t>
            </w:r>
            <w:r w:rsidRPr="00F05BC2">
              <w:rPr>
                <w:rFonts w:ascii="Times New Roman" w:hAnsi="Times New Roman" w:cs="Times New Roman"/>
              </w:rPr>
              <w:lastRenderedPageBreak/>
              <w:t>pārsniegts atbalstāmajām darbībām piešķirtais  budžets</w:t>
            </w:r>
            <w:r w:rsidR="00E00E99">
              <w:rPr>
                <w:rFonts w:ascii="Times New Roman" w:hAnsi="Times New Roman" w:cs="Times New Roman"/>
              </w:rPr>
              <w:t>.</w:t>
            </w:r>
          </w:p>
          <w:p w14:paraId="17C26946" w14:textId="5E0CCC25" w:rsidR="00F05BC2" w:rsidRPr="00F05BC2" w:rsidRDefault="00F05BC2" w:rsidP="00F05BC2">
            <w:pPr>
              <w:rPr>
                <w:rFonts w:ascii="Times New Roman" w:hAnsi="Times New Roman" w:cs="Times New Roman"/>
                <w:i/>
                <w:iCs/>
              </w:rPr>
            </w:pPr>
            <w:r w:rsidRPr="00F05BC2">
              <w:rPr>
                <w:rFonts w:ascii="Times New Roman" w:hAnsi="Times New Roman" w:cs="Times New Roman"/>
                <w:i/>
                <w:iCs/>
              </w:rPr>
              <w:t xml:space="preserve">Papildus ierosinām, ka  projekta iesniegumā sadaļā Rādītāji pie rādītāja izvēlaties norādīt  sasniegto </w:t>
            </w:r>
            <w:r w:rsidR="00E00E99" w:rsidRPr="00466D2E">
              <w:rPr>
                <w:rFonts w:ascii="Times New Roman" w:hAnsi="Times New Roman" w:cs="Times New Roman"/>
                <w:i/>
                <w:iCs/>
              </w:rPr>
              <w:t xml:space="preserve">atbilstoši MK noteikumu </w:t>
            </w:r>
            <w:r w:rsidR="006250EB" w:rsidRPr="00466D2E">
              <w:rPr>
                <w:rFonts w:ascii="Times New Roman" w:hAnsi="Times New Roman" w:cs="Times New Roman"/>
                <w:i/>
                <w:iCs/>
              </w:rPr>
              <w:t>13.</w:t>
            </w:r>
            <w:r w:rsidR="00E47B2D">
              <w:rPr>
                <w:rFonts w:ascii="Times New Roman" w:hAnsi="Times New Roman" w:cs="Times New Roman"/>
                <w:i/>
                <w:iCs/>
              </w:rPr>
              <w:t xml:space="preserve">1. </w:t>
            </w:r>
            <w:r w:rsidR="006250EB" w:rsidRPr="00466D2E">
              <w:rPr>
                <w:rFonts w:ascii="Times New Roman" w:hAnsi="Times New Roman" w:cs="Times New Roman"/>
                <w:i/>
                <w:iCs/>
              </w:rPr>
              <w:t>punktā no</w:t>
            </w:r>
            <w:r w:rsidR="00466D2E" w:rsidRPr="00466D2E">
              <w:rPr>
                <w:rFonts w:ascii="Times New Roman" w:hAnsi="Times New Roman" w:cs="Times New Roman"/>
                <w:i/>
                <w:iCs/>
              </w:rPr>
              <w:t>sacījumiem</w:t>
            </w:r>
            <w:r w:rsidR="00F63FE1">
              <w:rPr>
                <w:rFonts w:ascii="Times New Roman" w:hAnsi="Times New Roman" w:cs="Times New Roman"/>
                <w:i/>
                <w:iCs/>
              </w:rPr>
              <w:t xml:space="preserve"> par </w:t>
            </w:r>
            <w:r w:rsidRPr="00F05BC2">
              <w:rPr>
                <w:rFonts w:ascii="Times New Roman" w:hAnsi="Times New Roman" w:cs="Times New Roman"/>
                <w:i/>
                <w:iCs/>
              </w:rPr>
              <w:t>pieteikum</w:t>
            </w:r>
            <w:r w:rsidR="00466D2E" w:rsidRPr="00466D2E">
              <w:rPr>
                <w:rFonts w:ascii="Times New Roman" w:hAnsi="Times New Roman" w:cs="Times New Roman"/>
                <w:i/>
                <w:iCs/>
              </w:rPr>
              <w:t>u skaitu</w:t>
            </w:r>
            <w:r w:rsidRPr="00F05BC2">
              <w:rPr>
                <w:rFonts w:ascii="Times New Roman" w:hAnsi="Times New Roman" w:cs="Times New Roman"/>
                <w:i/>
                <w:iCs/>
              </w:rPr>
              <w:t xml:space="preserve">, </w:t>
            </w:r>
            <w:r w:rsidR="009C0D99">
              <w:rPr>
                <w:rFonts w:ascii="Times New Roman" w:hAnsi="Times New Roman" w:cs="Times New Roman"/>
                <w:i/>
                <w:iCs/>
              </w:rPr>
              <w:t>un projekta iesnieguma</w:t>
            </w:r>
            <w:r w:rsidRPr="00F05BC2">
              <w:rPr>
                <w:rFonts w:ascii="Times New Roman" w:hAnsi="Times New Roman" w:cs="Times New Roman"/>
                <w:i/>
                <w:iCs/>
              </w:rPr>
              <w:t xml:space="preserve"> sadaļ</w:t>
            </w:r>
            <w:r w:rsidR="009C0D99">
              <w:rPr>
                <w:rFonts w:ascii="Times New Roman" w:hAnsi="Times New Roman" w:cs="Times New Roman"/>
                <w:i/>
                <w:iCs/>
              </w:rPr>
              <w:t xml:space="preserve">u </w:t>
            </w:r>
            <w:r w:rsidRPr="00F05BC2">
              <w:rPr>
                <w:rFonts w:ascii="Times New Roman" w:hAnsi="Times New Roman" w:cs="Times New Roman"/>
                <w:i/>
                <w:iCs/>
              </w:rPr>
              <w:t xml:space="preserve">Darbības pie darbību apraksta </w:t>
            </w:r>
            <w:r w:rsidR="00466D2E" w:rsidRPr="00466D2E">
              <w:rPr>
                <w:rFonts w:ascii="Times New Roman" w:hAnsi="Times New Roman" w:cs="Times New Roman"/>
                <w:i/>
                <w:iCs/>
              </w:rPr>
              <w:t>papildināt ar</w:t>
            </w:r>
            <w:r w:rsidRPr="00F05BC2">
              <w:rPr>
                <w:rFonts w:ascii="Times New Roman" w:hAnsi="Times New Roman" w:cs="Times New Roman"/>
                <w:i/>
                <w:iCs/>
              </w:rPr>
              <w:t xml:space="preserve"> tekstu, ka iesniegto projekta pieteikumu skaits  tiks precizēts projekta noslēgumā.</w:t>
            </w:r>
          </w:p>
          <w:p w14:paraId="28818BFE" w14:textId="77777777" w:rsidR="00970540" w:rsidRPr="00970540" w:rsidRDefault="00970540" w:rsidP="00970540">
            <w:pPr>
              <w:rPr>
                <w:rFonts w:ascii="Times New Roman" w:hAnsi="Times New Roman" w:cs="Times New Roman"/>
              </w:rPr>
            </w:pPr>
          </w:p>
        </w:tc>
      </w:tr>
    </w:tbl>
    <w:p w14:paraId="3F67C73C" w14:textId="77777777" w:rsidR="008A2F67" w:rsidRPr="00970540" w:rsidRDefault="008A2F67"/>
    <w:sectPr w:rsidR="008A2F67" w:rsidRPr="00970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87736"/>
    <w:multiLevelType w:val="multilevel"/>
    <w:tmpl w:val="3FE8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2622D"/>
    <w:multiLevelType w:val="multilevel"/>
    <w:tmpl w:val="30CE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65F8E"/>
    <w:multiLevelType w:val="hybridMultilevel"/>
    <w:tmpl w:val="891C8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785E12"/>
    <w:multiLevelType w:val="hybridMultilevel"/>
    <w:tmpl w:val="C442BC82"/>
    <w:lvl w:ilvl="0" w:tplc="5A44585A">
      <w:start w:val="1"/>
      <w:numFmt w:val="decimal"/>
      <w:lvlText w:val="%1."/>
      <w:lvlJc w:val="left"/>
      <w:pPr>
        <w:ind w:left="1080" w:hanging="360"/>
      </w:pPr>
    </w:lvl>
    <w:lvl w:ilvl="1" w:tplc="DA3496C2">
      <w:start w:val="1"/>
      <w:numFmt w:val="lowerLetter"/>
      <w:lvlText w:val="%2."/>
      <w:lvlJc w:val="left"/>
      <w:pPr>
        <w:ind w:left="1800" w:hanging="360"/>
      </w:pPr>
    </w:lvl>
    <w:lvl w:ilvl="2" w:tplc="F8BE28E4">
      <w:start w:val="1"/>
      <w:numFmt w:val="lowerRoman"/>
      <w:lvlText w:val="%3."/>
      <w:lvlJc w:val="right"/>
      <w:pPr>
        <w:ind w:left="2520" w:hanging="180"/>
      </w:pPr>
    </w:lvl>
    <w:lvl w:ilvl="3" w:tplc="394C7AC8">
      <w:start w:val="1"/>
      <w:numFmt w:val="decimal"/>
      <w:lvlText w:val="%4."/>
      <w:lvlJc w:val="left"/>
      <w:pPr>
        <w:ind w:left="3240" w:hanging="360"/>
      </w:pPr>
    </w:lvl>
    <w:lvl w:ilvl="4" w:tplc="E5104ADE">
      <w:start w:val="1"/>
      <w:numFmt w:val="lowerLetter"/>
      <w:lvlText w:val="%5."/>
      <w:lvlJc w:val="left"/>
      <w:pPr>
        <w:ind w:left="3960" w:hanging="360"/>
      </w:pPr>
    </w:lvl>
    <w:lvl w:ilvl="5" w:tplc="813C4458">
      <w:start w:val="1"/>
      <w:numFmt w:val="lowerRoman"/>
      <w:lvlText w:val="%6."/>
      <w:lvlJc w:val="right"/>
      <w:pPr>
        <w:ind w:left="4680" w:hanging="180"/>
      </w:pPr>
    </w:lvl>
    <w:lvl w:ilvl="6" w:tplc="44D40342">
      <w:start w:val="1"/>
      <w:numFmt w:val="decimal"/>
      <w:lvlText w:val="%7."/>
      <w:lvlJc w:val="left"/>
      <w:pPr>
        <w:ind w:left="5400" w:hanging="360"/>
      </w:pPr>
    </w:lvl>
    <w:lvl w:ilvl="7" w:tplc="5EEE2BE8">
      <w:start w:val="1"/>
      <w:numFmt w:val="lowerLetter"/>
      <w:lvlText w:val="%8."/>
      <w:lvlJc w:val="left"/>
      <w:pPr>
        <w:ind w:left="6120" w:hanging="360"/>
      </w:pPr>
    </w:lvl>
    <w:lvl w:ilvl="8" w:tplc="DEE6C3C2">
      <w:start w:val="1"/>
      <w:numFmt w:val="lowerRoman"/>
      <w:lvlText w:val="%9."/>
      <w:lvlJc w:val="right"/>
      <w:pPr>
        <w:ind w:left="6840" w:hanging="180"/>
      </w:pPr>
    </w:lvl>
  </w:abstractNum>
  <w:abstractNum w:abstractNumId="4" w15:restartNumberingAfterBreak="0">
    <w:nsid w:val="62D016FC"/>
    <w:multiLevelType w:val="hybridMultilevel"/>
    <w:tmpl w:val="891C8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16DBE"/>
    <w:multiLevelType w:val="multilevel"/>
    <w:tmpl w:val="E67E3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E491F"/>
    <w:multiLevelType w:val="hybridMultilevel"/>
    <w:tmpl w:val="FEEC50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E2643D"/>
    <w:multiLevelType w:val="hybridMultilevel"/>
    <w:tmpl w:val="FB72F446"/>
    <w:lvl w:ilvl="0" w:tplc="BEDC6E04">
      <w:start w:val="1"/>
      <w:numFmt w:val="decimal"/>
      <w:lvlText w:val="%1."/>
      <w:lvlJc w:val="left"/>
      <w:pPr>
        <w:ind w:left="720" w:hanging="360"/>
      </w:pPr>
      <w:rPr>
        <w:rFonts w:eastAsia="Times New Roman" w:cs="Segoe U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C3C5D62"/>
    <w:multiLevelType w:val="hybridMultilevel"/>
    <w:tmpl w:val="1DC683DC"/>
    <w:lvl w:ilvl="0" w:tplc="45E27698">
      <w:start w:val="1"/>
      <w:numFmt w:val="decimal"/>
      <w:lvlText w:val="%1."/>
      <w:lvlJc w:val="left"/>
      <w:pPr>
        <w:ind w:left="1080" w:hanging="360"/>
      </w:pPr>
      <w:rPr>
        <w:rFonts w:eastAsiaTheme="minorHAnsi" w:cstheme="minorBid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37326573">
    <w:abstractNumId w:val="3"/>
  </w:num>
  <w:num w:numId="2" w16cid:durableId="1763452521">
    <w:abstractNumId w:val="2"/>
  </w:num>
  <w:num w:numId="3" w16cid:durableId="746800655">
    <w:abstractNumId w:val="5"/>
  </w:num>
  <w:num w:numId="4" w16cid:durableId="713698439">
    <w:abstractNumId w:val="1"/>
  </w:num>
  <w:num w:numId="5" w16cid:durableId="1749377955">
    <w:abstractNumId w:val="0"/>
  </w:num>
  <w:num w:numId="6" w16cid:durableId="1213151148">
    <w:abstractNumId w:val="6"/>
  </w:num>
  <w:num w:numId="7" w16cid:durableId="679158393">
    <w:abstractNumId w:val="8"/>
  </w:num>
  <w:num w:numId="8" w16cid:durableId="1244492933">
    <w:abstractNumId w:val="7"/>
  </w:num>
  <w:num w:numId="9" w16cid:durableId="2016764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67"/>
    <w:rsid w:val="000478D7"/>
    <w:rsid w:val="000A137E"/>
    <w:rsid w:val="000D1222"/>
    <w:rsid w:val="000F368A"/>
    <w:rsid w:val="00122DD0"/>
    <w:rsid w:val="00143E14"/>
    <w:rsid w:val="00166914"/>
    <w:rsid w:val="00175BB5"/>
    <w:rsid w:val="001867DD"/>
    <w:rsid w:val="001A091A"/>
    <w:rsid w:val="001A280F"/>
    <w:rsid w:val="001A4C6C"/>
    <w:rsid w:val="001B27EB"/>
    <w:rsid w:val="00234E7B"/>
    <w:rsid w:val="00265F47"/>
    <w:rsid w:val="00285B65"/>
    <w:rsid w:val="00292B7A"/>
    <w:rsid w:val="002A10ED"/>
    <w:rsid w:val="002A143C"/>
    <w:rsid w:val="002C7822"/>
    <w:rsid w:val="00303DD4"/>
    <w:rsid w:val="003114BE"/>
    <w:rsid w:val="0033113F"/>
    <w:rsid w:val="00371FFF"/>
    <w:rsid w:val="003A0CFB"/>
    <w:rsid w:val="003D5214"/>
    <w:rsid w:val="003D73D3"/>
    <w:rsid w:val="003D7471"/>
    <w:rsid w:val="003E1547"/>
    <w:rsid w:val="003F7E2A"/>
    <w:rsid w:val="00404048"/>
    <w:rsid w:val="00463D0D"/>
    <w:rsid w:val="00466D2E"/>
    <w:rsid w:val="004B2F44"/>
    <w:rsid w:val="004D58C8"/>
    <w:rsid w:val="004E38D8"/>
    <w:rsid w:val="005139D9"/>
    <w:rsid w:val="005854B5"/>
    <w:rsid w:val="005A3FB3"/>
    <w:rsid w:val="005D7E8C"/>
    <w:rsid w:val="005F0504"/>
    <w:rsid w:val="0061091F"/>
    <w:rsid w:val="00621126"/>
    <w:rsid w:val="006250EB"/>
    <w:rsid w:val="00697AC9"/>
    <w:rsid w:val="007536BF"/>
    <w:rsid w:val="007A7335"/>
    <w:rsid w:val="007E04DC"/>
    <w:rsid w:val="008A1898"/>
    <w:rsid w:val="008A2F67"/>
    <w:rsid w:val="00930CCB"/>
    <w:rsid w:val="0094224B"/>
    <w:rsid w:val="00944206"/>
    <w:rsid w:val="00970540"/>
    <w:rsid w:val="0098579B"/>
    <w:rsid w:val="00992B01"/>
    <w:rsid w:val="009935C0"/>
    <w:rsid w:val="009B64AB"/>
    <w:rsid w:val="009C0D99"/>
    <w:rsid w:val="00A108EC"/>
    <w:rsid w:val="00A270B7"/>
    <w:rsid w:val="00A61704"/>
    <w:rsid w:val="00A64D25"/>
    <w:rsid w:val="00A779F4"/>
    <w:rsid w:val="00B00BF1"/>
    <w:rsid w:val="00B01AF2"/>
    <w:rsid w:val="00B11697"/>
    <w:rsid w:val="00B6295F"/>
    <w:rsid w:val="00BA3911"/>
    <w:rsid w:val="00BD6598"/>
    <w:rsid w:val="00C202BE"/>
    <w:rsid w:val="00C3381F"/>
    <w:rsid w:val="00C46EDB"/>
    <w:rsid w:val="00CE243F"/>
    <w:rsid w:val="00CE3844"/>
    <w:rsid w:val="00D253CD"/>
    <w:rsid w:val="00D7075B"/>
    <w:rsid w:val="00DA03AE"/>
    <w:rsid w:val="00E00E99"/>
    <w:rsid w:val="00E45789"/>
    <w:rsid w:val="00E47B2D"/>
    <w:rsid w:val="00E9081F"/>
    <w:rsid w:val="00EE6734"/>
    <w:rsid w:val="00EF1364"/>
    <w:rsid w:val="00F05BC2"/>
    <w:rsid w:val="00F4470B"/>
    <w:rsid w:val="00F51285"/>
    <w:rsid w:val="00F610D5"/>
    <w:rsid w:val="00F63FE1"/>
    <w:rsid w:val="00F8150B"/>
    <w:rsid w:val="00FA3D77"/>
    <w:rsid w:val="00FB5354"/>
    <w:rsid w:val="00FB6675"/>
    <w:rsid w:val="00FC20A3"/>
    <w:rsid w:val="00FE01B2"/>
    <w:rsid w:val="00FF1AC0"/>
    <w:rsid w:val="00FF43DB"/>
    <w:rsid w:val="022324D8"/>
    <w:rsid w:val="0F29D4DB"/>
    <w:rsid w:val="19FA4C5D"/>
    <w:rsid w:val="4C3AA244"/>
    <w:rsid w:val="4E9013A3"/>
    <w:rsid w:val="566BBC42"/>
    <w:rsid w:val="65617AB5"/>
    <w:rsid w:val="66CE190D"/>
    <w:rsid w:val="6B00DA49"/>
    <w:rsid w:val="6CF10160"/>
    <w:rsid w:val="6F3BD5CC"/>
    <w:rsid w:val="6FEA0EDE"/>
    <w:rsid w:val="747892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4ABD"/>
  <w15:chartTrackingRefBased/>
  <w15:docId w15:val="{E4225769-4D77-4F5A-8C61-8A8D4695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67"/>
    <w:rPr>
      <w:rFonts w:eastAsiaTheme="majorEastAsia" w:cstheme="majorBidi"/>
      <w:color w:val="272727" w:themeColor="text1" w:themeTint="D8"/>
    </w:rPr>
  </w:style>
  <w:style w:type="paragraph" w:styleId="Title">
    <w:name w:val="Title"/>
    <w:basedOn w:val="Normal"/>
    <w:next w:val="Normal"/>
    <w:link w:val="TitleChar"/>
    <w:uiPriority w:val="10"/>
    <w:qFormat/>
    <w:rsid w:val="008A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67"/>
    <w:pPr>
      <w:spacing w:before="160"/>
      <w:jc w:val="center"/>
    </w:pPr>
    <w:rPr>
      <w:i/>
      <w:iCs/>
      <w:color w:val="404040" w:themeColor="text1" w:themeTint="BF"/>
    </w:rPr>
  </w:style>
  <w:style w:type="character" w:customStyle="1" w:styleId="QuoteChar">
    <w:name w:val="Quote Char"/>
    <w:basedOn w:val="DefaultParagraphFont"/>
    <w:link w:val="Quote"/>
    <w:uiPriority w:val="29"/>
    <w:rsid w:val="008A2F67"/>
    <w:rPr>
      <w:i/>
      <w:iCs/>
      <w:color w:val="404040" w:themeColor="text1" w:themeTint="BF"/>
    </w:rPr>
  </w:style>
  <w:style w:type="paragraph" w:styleId="ListParagraph">
    <w:name w:val="List Paragraph"/>
    <w:basedOn w:val="Normal"/>
    <w:uiPriority w:val="34"/>
    <w:qFormat/>
    <w:rsid w:val="008A2F67"/>
    <w:pPr>
      <w:ind w:left="720"/>
      <w:contextualSpacing/>
    </w:pPr>
  </w:style>
  <w:style w:type="character" w:styleId="IntenseEmphasis">
    <w:name w:val="Intense Emphasis"/>
    <w:basedOn w:val="DefaultParagraphFont"/>
    <w:uiPriority w:val="21"/>
    <w:qFormat/>
    <w:rsid w:val="008A2F67"/>
    <w:rPr>
      <w:i/>
      <w:iCs/>
      <w:color w:val="0F4761" w:themeColor="accent1" w:themeShade="BF"/>
    </w:rPr>
  </w:style>
  <w:style w:type="paragraph" w:styleId="IntenseQuote">
    <w:name w:val="Intense Quote"/>
    <w:basedOn w:val="Normal"/>
    <w:next w:val="Normal"/>
    <w:link w:val="IntenseQuoteChar"/>
    <w:uiPriority w:val="30"/>
    <w:qFormat/>
    <w:rsid w:val="008A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F67"/>
    <w:rPr>
      <w:i/>
      <w:iCs/>
      <w:color w:val="0F4761" w:themeColor="accent1" w:themeShade="BF"/>
    </w:rPr>
  </w:style>
  <w:style w:type="character" w:styleId="IntenseReference">
    <w:name w:val="Intense Reference"/>
    <w:basedOn w:val="DefaultParagraphFont"/>
    <w:uiPriority w:val="32"/>
    <w:qFormat/>
    <w:rsid w:val="008A2F67"/>
    <w:rPr>
      <w:b/>
      <w:bCs/>
      <w:smallCaps/>
      <w:color w:val="0F4761" w:themeColor="accent1" w:themeShade="BF"/>
      <w:spacing w:val="5"/>
    </w:rPr>
  </w:style>
  <w:style w:type="table" w:styleId="TableGrid">
    <w:name w:val="Table Grid"/>
    <w:basedOn w:val="TableNormal"/>
    <w:uiPriority w:val="39"/>
    <w:rsid w:val="008A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1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227517">
      <w:bodyDiv w:val="1"/>
      <w:marLeft w:val="0"/>
      <w:marRight w:val="0"/>
      <w:marTop w:val="0"/>
      <w:marBottom w:val="0"/>
      <w:divBdr>
        <w:top w:val="none" w:sz="0" w:space="0" w:color="auto"/>
        <w:left w:val="none" w:sz="0" w:space="0" w:color="auto"/>
        <w:bottom w:val="none" w:sz="0" w:space="0" w:color="auto"/>
        <w:right w:val="none" w:sz="0" w:space="0" w:color="auto"/>
      </w:divBdr>
      <w:divsChild>
        <w:div w:id="114759784">
          <w:marLeft w:val="0"/>
          <w:marRight w:val="0"/>
          <w:marTop w:val="0"/>
          <w:marBottom w:val="0"/>
          <w:divBdr>
            <w:top w:val="none" w:sz="0" w:space="0" w:color="auto"/>
            <w:left w:val="none" w:sz="0" w:space="0" w:color="auto"/>
            <w:bottom w:val="none" w:sz="0" w:space="0" w:color="auto"/>
            <w:right w:val="none" w:sz="0" w:space="0" w:color="auto"/>
          </w:divBdr>
        </w:div>
        <w:div w:id="1839805292">
          <w:marLeft w:val="0"/>
          <w:marRight w:val="0"/>
          <w:marTop w:val="0"/>
          <w:marBottom w:val="0"/>
          <w:divBdr>
            <w:top w:val="none" w:sz="0" w:space="0" w:color="auto"/>
            <w:left w:val="none" w:sz="0" w:space="0" w:color="auto"/>
            <w:bottom w:val="none" w:sz="0" w:space="0" w:color="auto"/>
            <w:right w:val="none" w:sz="0" w:space="0" w:color="auto"/>
          </w:divBdr>
        </w:div>
        <w:div w:id="1559364330">
          <w:marLeft w:val="0"/>
          <w:marRight w:val="0"/>
          <w:marTop w:val="0"/>
          <w:marBottom w:val="0"/>
          <w:divBdr>
            <w:top w:val="none" w:sz="0" w:space="0" w:color="auto"/>
            <w:left w:val="none" w:sz="0" w:space="0" w:color="auto"/>
            <w:bottom w:val="none" w:sz="0" w:space="0" w:color="auto"/>
            <w:right w:val="none" w:sz="0" w:space="0" w:color="auto"/>
          </w:divBdr>
        </w:div>
      </w:divsChild>
    </w:div>
    <w:div w:id="172039895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75">
          <w:marLeft w:val="0"/>
          <w:marRight w:val="0"/>
          <w:marTop w:val="0"/>
          <w:marBottom w:val="0"/>
          <w:divBdr>
            <w:top w:val="none" w:sz="0" w:space="0" w:color="auto"/>
            <w:left w:val="none" w:sz="0" w:space="0" w:color="auto"/>
            <w:bottom w:val="none" w:sz="0" w:space="0" w:color="auto"/>
            <w:right w:val="none" w:sz="0" w:space="0" w:color="auto"/>
          </w:divBdr>
        </w:div>
        <w:div w:id="35158081">
          <w:marLeft w:val="0"/>
          <w:marRight w:val="0"/>
          <w:marTop w:val="0"/>
          <w:marBottom w:val="0"/>
          <w:divBdr>
            <w:top w:val="none" w:sz="0" w:space="0" w:color="auto"/>
            <w:left w:val="none" w:sz="0" w:space="0" w:color="auto"/>
            <w:bottom w:val="none" w:sz="0" w:space="0" w:color="auto"/>
            <w:right w:val="none" w:sz="0" w:space="0" w:color="auto"/>
          </w:divBdr>
        </w:div>
        <w:div w:id="71631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likumi.lv%2Fta%2Fid%2F353866-eiropas-savienibas-kohezijas-politikas-programmas-2021-2027-gadam-1-1-1-specifiska-atbalsta-merka-petniecibas-un-inovaciju&amp;data=05%7C02%7Civars.greitans%40cfla.gov.lv%7C05863a8105fb4dcf36bc08dd08a31063%7Cc2d02fb61e644741866ff8f5689ca39a%7C0%7C0%7C638676218667589044%7CUnknown%7CTWFpbGZsb3d8eyJFbXB0eU1hcGkiOnRydWUsIlYiOiIwLjAuMDAwMCIsIlAiOiJXaW4zMiIsIkFOIjoiTWFpbCIsIldUIjoyfQ%3D%3D%7C0%7C%7C%7C&amp;sdata=9JJpTJyDmKFUEDeAYSAEmEvIwBkP9fR06Z3DpSEU0iU%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ikumi.lv/ta/id/353866-eiropas-savienibas-kohezijas-politikas-programmas-2021-2027-gadam-1-1-1-specifiska-atbalsta-merka-petniecibas-un-inovaciju" TargetMode="External"/><Relationship Id="rId4" Type="http://schemas.openxmlformats.org/officeDocument/2006/relationships/numbering" Target="numbering.xml"/><Relationship Id="rId9" Type="http://schemas.openxmlformats.org/officeDocument/2006/relationships/hyperlink" Target="https://likumi.lv/ta/id/353866-eiropas-savienibas-kohezijas-politikas-programmas-2021-2027-gadam-1-1-1-specifiska-atbalsta-merka-petniecibas-un-inova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3AA4C77-4188-40B3-895A-639CD9E45FA9}"/>
</file>

<file path=customXml/itemProps2.xml><?xml version="1.0" encoding="utf-8"?>
<ds:datastoreItem xmlns:ds="http://schemas.openxmlformats.org/officeDocument/2006/customXml" ds:itemID="{389E0BB8-2BE5-466C-B228-C21818D67C8A}">
  <ds:schemaRefs>
    <ds:schemaRef ds:uri="http://schemas.microsoft.com/sharepoint/v3/contenttype/forms"/>
  </ds:schemaRefs>
</ds:datastoreItem>
</file>

<file path=customXml/itemProps3.xml><?xml version="1.0" encoding="utf-8"?>
<ds:datastoreItem xmlns:ds="http://schemas.openxmlformats.org/officeDocument/2006/customXml" ds:itemID="{8DB970B0-9DB2-41B8-B8B2-13FABA467AC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11491</Words>
  <Characters>6551</Characters>
  <Application>Microsoft Office Word</Application>
  <DocSecurity>0</DocSecurity>
  <Lines>54</Lines>
  <Paragraphs>36</Paragraphs>
  <ScaleCrop>false</ScaleCrop>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Greitāns</dc:creator>
  <cp:keywords/>
  <dc:description/>
  <cp:lastModifiedBy>Ivars Greitāns</cp:lastModifiedBy>
  <cp:revision>76</cp:revision>
  <dcterms:created xsi:type="dcterms:W3CDTF">2024-10-21T16:13:00Z</dcterms:created>
  <dcterms:modified xsi:type="dcterms:W3CDTF">2024-11-29T12:55:00Z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