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11966" w:rsidRDefault="00311966" w14:paraId="09F68B1D" w14:textId="2A2660B2"/>
    <w:p w:rsidR="0024051E" w:rsidRDefault="0024051E" w14:paraId="1D585679" w14:textId="60FA1036"/>
    <w:p w:rsidR="0024051E" w:rsidRDefault="0024051E" w14:paraId="744CC08E" w14:textId="3F83F8BA"/>
    <w:p w:rsidR="0024051E" w:rsidRDefault="0024051E" w14:paraId="44E9DC33" w14:textId="5AB16831"/>
    <w:p w:rsidR="0024051E" w:rsidRDefault="0024051E" w14:paraId="62F70D92" w14:textId="3AD077DA"/>
    <w:p w:rsidR="0024051E" w:rsidP="0024051E" w:rsidRDefault="0024051E" w14:paraId="04F8F636" w14:textId="77777777">
      <w:pPr>
        <w:jc w:val="center"/>
        <w:rPr>
          <w:rFonts w:ascii="Times New Roman" w:hAnsi="Times New Roman" w:cs="Times New Roman"/>
          <w:b/>
          <w:sz w:val="40"/>
          <w:szCs w:val="40"/>
        </w:rPr>
      </w:pPr>
    </w:p>
    <w:p w:rsidR="00C9745E" w:rsidP="0B812883" w:rsidRDefault="00C9745E" w14:paraId="6CAB162E" w14:textId="293FC59C">
      <w:pPr>
        <w:jc w:val="center"/>
        <w:rPr>
          <w:rFonts w:ascii="Times New Roman" w:hAnsi="Times New Roman" w:cs="Times New Roman"/>
          <w:b/>
          <w:bCs/>
          <w:sz w:val="40"/>
          <w:szCs w:val="40"/>
        </w:rPr>
      </w:pPr>
      <w:r w:rsidRPr="0B812883">
        <w:rPr>
          <w:rFonts w:ascii="Times New Roman" w:hAnsi="Times New Roman" w:cs="Times New Roman"/>
          <w:b/>
          <w:bCs/>
          <w:sz w:val="40"/>
          <w:szCs w:val="40"/>
        </w:rPr>
        <w:t xml:space="preserve">Eiropas Savienības kohēzijas politikas programmas 2021.–2027. gadam </w:t>
      </w:r>
      <w:r w:rsidRPr="0B812883" w:rsidR="00633FDF">
        <w:rPr>
          <w:rFonts w:ascii="Times New Roman" w:hAnsi="Times New Roman" w:cs="Times New Roman"/>
          <w:b/>
          <w:bCs/>
          <w:sz w:val="40"/>
          <w:szCs w:val="40"/>
        </w:rPr>
        <w:t>2.2.2</w:t>
      </w:r>
      <w:r w:rsidRPr="0B812883">
        <w:rPr>
          <w:rFonts w:ascii="Times New Roman" w:hAnsi="Times New Roman" w:cs="Times New Roman"/>
          <w:b/>
          <w:bCs/>
          <w:sz w:val="40"/>
          <w:szCs w:val="40"/>
        </w:rPr>
        <w:t>. specifiskā atbalsta mērķa "</w:t>
      </w:r>
      <w:r w:rsidR="00633FDF">
        <w:t xml:space="preserve"> </w:t>
      </w:r>
      <w:r w:rsidRPr="0B812883" w:rsidR="00633FDF">
        <w:rPr>
          <w:rFonts w:ascii="Times New Roman" w:hAnsi="Times New Roman" w:cs="Times New Roman"/>
          <w:b/>
          <w:bCs/>
          <w:sz w:val="40"/>
          <w:szCs w:val="40"/>
        </w:rPr>
        <w:t>Pārejas uz aprites ekonomiku veicināšana</w:t>
      </w:r>
      <w:r w:rsidRPr="0B812883">
        <w:rPr>
          <w:rFonts w:ascii="Times New Roman" w:hAnsi="Times New Roman" w:cs="Times New Roman"/>
          <w:b/>
          <w:bCs/>
          <w:sz w:val="40"/>
          <w:szCs w:val="40"/>
        </w:rPr>
        <w:t xml:space="preserve">" </w:t>
      </w:r>
      <w:r w:rsidRPr="0B812883" w:rsidR="00633FDF">
        <w:rPr>
          <w:rFonts w:ascii="Times New Roman" w:hAnsi="Times New Roman" w:cs="Times New Roman"/>
          <w:b/>
          <w:bCs/>
          <w:sz w:val="40"/>
          <w:szCs w:val="40"/>
        </w:rPr>
        <w:t>2.2</w:t>
      </w:r>
      <w:r w:rsidRPr="0B812883">
        <w:rPr>
          <w:rFonts w:ascii="Times New Roman" w:hAnsi="Times New Roman" w:cs="Times New Roman"/>
          <w:b/>
          <w:bCs/>
          <w:sz w:val="40"/>
          <w:szCs w:val="40"/>
        </w:rPr>
        <w:t>.</w:t>
      </w:r>
      <w:r w:rsidRPr="0B812883" w:rsidR="00633FDF">
        <w:rPr>
          <w:rFonts w:ascii="Times New Roman" w:hAnsi="Times New Roman" w:cs="Times New Roman"/>
          <w:b/>
          <w:bCs/>
          <w:sz w:val="40"/>
          <w:szCs w:val="40"/>
        </w:rPr>
        <w:t>2.2.</w:t>
      </w:r>
      <w:r w:rsidRPr="0B812883">
        <w:rPr>
          <w:rFonts w:ascii="Times New Roman" w:hAnsi="Times New Roman" w:cs="Times New Roman"/>
          <w:b/>
          <w:bCs/>
          <w:sz w:val="40"/>
          <w:szCs w:val="40"/>
        </w:rPr>
        <w:t xml:space="preserve"> pasākuma"</w:t>
      </w:r>
      <w:r w:rsidR="005417DC">
        <w:t xml:space="preserve"> </w:t>
      </w:r>
      <w:r w:rsidRPr="0B812883" w:rsidR="005417DC">
        <w:rPr>
          <w:rFonts w:ascii="Times New Roman" w:hAnsi="Times New Roman" w:cs="Times New Roman"/>
          <w:b/>
          <w:bCs/>
          <w:sz w:val="40"/>
          <w:szCs w:val="40"/>
        </w:rPr>
        <w:t>Atkritumu dalītā vākšana</w:t>
      </w:r>
      <w:r w:rsidRPr="0B812883">
        <w:rPr>
          <w:rFonts w:ascii="Times New Roman" w:hAnsi="Times New Roman" w:cs="Times New Roman"/>
          <w:b/>
          <w:bCs/>
          <w:sz w:val="40"/>
          <w:szCs w:val="40"/>
        </w:rPr>
        <w:t>"</w:t>
      </w:r>
      <w:r w:rsidR="00887F58">
        <w:t xml:space="preserve"> </w:t>
      </w:r>
      <w:r w:rsidRPr="0B812883" w:rsidR="00887F58">
        <w:rPr>
          <w:rFonts w:ascii="Times New Roman" w:hAnsi="Times New Roman" w:cs="Times New Roman"/>
          <w:b/>
          <w:bCs/>
          <w:sz w:val="40"/>
          <w:szCs w:val="40"/>
        </w:rPr>
        <w:t>projektu iesniegumu otrās atlases kārtas</w:t>
      </w:r>
    </w:p>
    <w:p w:rsidR="00C9745E" w:rsidP="00C9745E" w:rsidRDefault="00C9745E" w14:paraId="7A7EC6F6" w14:textId="77777777">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rsidR="00576FB0" w:rsidP="0024051E" w:rsidRDefault="00576FB0" w14:paraId="67E3AB57" w14:textId="77777777">
      <w:pPr>
        <w:jc w:val="center"/>
      </w:pPr>
    </w:p>
    <w:p w:rsidR="0024051E" w:rsidRDefault="0024051E" w14:paraId="1406E1BF" w14:textId="670F06F2"/>
    <w:p w:rsidR="0024051E" w:rsidRDefault="0024051E" w14:paraId="468A5259" w14:textId="4385F168"/>
    <w:p w:rsidR="0024051E" w:rsidRDefault="0024051E" w14:paraId="048AEACB" w14:textId="605E1036"/>
    <w:p w:rsidR="0024051E" w:rsidRDefault="0024051E" w14:paraId="63484BAF" w14:textId="678C6478"/>
    <w:p w:rsidR="0024051E" w:rsidRDefault="0024051E" w14:paraId="0FF73F04" w14:textId="1B3933C1"/>
    <w:p w:rsidR="0024051E" w:rsidRDefault="0024051E" w14:paraId="7C832889" w14:textId="4EB6FD2A"/>
    <w:p w:rsidR="0024051E" w:rsidRDefault="0024051E" w14:paraId="5D1B1597" w14:textId="731819D2"/>
    <w:p w:rsidR="0024051E" w:rsidRDefault="0024051E" w14:paraId="7EA37091" w14:textId="5F225E70"/>
    <w:p w:rsidR="0024051E" w:rsidRDefault="0024051E" w14:paraId="0396823B" w14:textId="400EC057"/>
    <w:p w:rsidR="000A19C4" w:rsidRDefault="000A19C4" w14:paraId="13EDFB8A" w14:textId="77777777"/>
    <w:p w:rsidR="000A19C4" w:rsidRDefault="000A19C4" w14:paraId="08D076F7" w14:textId="77777777"/>
    <w:p w:rsidR="000A19C4" w:rsidRDefault="000A19C4" w14:paraId="3D2C807E" w14:textId="77777777"/>
    <w:p w:rsidR="0024051E" w:rsidRDefault="0024051E" w14:paraId="0C5FDDE6" w14:textId="54D071A2"/>
    <w:p w:rsidR="009F72FB" w:rsidRDefault="009F72FB" w14:paraId="0CD247EF" w14:textId="77777777"/>
    <w:p w:rsidR="0024051E" w:rsidRDefault="0024051E" w14:paraId="5BA42CB7" w14:textId="445452A7"/>
    <w:p w:rsidRPr="002541ED" w:rsidR="0024051E" w:rsidP="35C532CB" w:rsidRDefault="00E8306E" w14:paraId="570FBD86" w14:textId="4ABB8E83">
      <w:pPr>
        <w:tabs>
          <w:tab w:val="center" w:pos="4818"/>
          <w:tab w:val="left" w:pos="7155"/>
        </w:tabs>
        <w:rPr>
          <w:rFonts w:ascii="Times New Roman" w:hAnsi="Times New Roman" w:cs="Times New Roman"/>
          <w:b/>
          <w:bCs/>
          <w:sz w:val="28"/>
          <w:szCs w:val="28"/>
        </w:rPr>
      </w:pPr>
      <w:r>
        <w:rPr>
          <w:rFonts w:ascii="Times New Roman" w:hAnsi="Times New Roman" w:cs="Times New Roman"/>
          <w:b/>
          <w:sz w:val="28"/>
          <w:szCs w:val="28"/>
        </w:rPr>
        <w:tab/>
      </w:r>
      <w:r w:rsidRPr="35C532CB" w:rsidR="0024051E">
        <w:rPr>
          <w:rFonts w:ascii="Times New Roman" w:hAnsi="Times New Roman" w:cs="Times New Roman"/>
          <w:b/>
          <w:bCs/>
          <w:sz w:val="28"/>
          <w:szCs w:val="28"/>
        </w:rPr>
        <w:t>v. 1 (</w:t>
      </w:r>
      <w:r w:rsidRPr="35C532CB" w:rsidR="5725B26B">
        <w:rPr>
          <w:rFonts w:ascii="Times New Roman" w:hAnsi="Times New Roman" w:cs="Times New Roman"/>
          <w:b/>
          <w:bCs/>
          <w:sz w:val="28"/>
          <w:szCs w:val="28"/>
        </w:rPr>
        <w:t>10</w:t>
      </w:r>
      <w:r w:rsidRPr="35C532CB" w:rsidR="0024051E">
        <w:rPr>
          <w:rFonts w:ascii="Times New Roman" w:hAnsi="Times New Roman" w:cs="Times New Roman"/>
          <w:b/>
          <w:bCs/>
          <w:sz w:val="28"/>
          <w:szCs w:val="28"/>
        </w:rPr>
        <w:t>/202</w:t>
      </w:r>
      <w:r w:rsidRPr="35C532CB" w:rsidR="006F4F65">
        <w:rPr>
          <w:rFonts w:ascii="Times New Roman" w:hAnsi="Times New Roman" w:cs="Times New Roman"/>
          <w:b/>
          <w:bCs/>
          <w:sz w:val="28"/>
          <w:szCs w:val="28"/>
        </w:rPr>
        <w:t>4</w:t>
      </w:r>
      <w:r w:rsidRPr="35C532CB" w:rsidR="0024051E">
        <w:rPr>
          <w:rFonts w:ascii="Times New Roman" w:hAnsi="Times New Roman" w:cs="Times New Roman"/>
          <w:b/>
          <w:bCs/>
          <w:sz w:val="28"/>
          <w:szCs w:val="28"/>
        </w:rPr>
        <w:t>)</w:t>
      </w:r>
      <w:r>
        <w:rPr>
          <w:rFonts w:ascii="Times New Roman" w:hAnsi="Times New Roman" w:cs="Times New Roman"/>
          <w:b/>
          <w:sz w:val="28"/>
          <w:szCs w:val="28"/>
        </w:rPr>
        <w:tab/>
      </w:r>
    </w:p>
    <w:p w:rsidRPr="0024051E" w:rsidR="0024051E" w:rsidP="0024051E" w:rsidRDefault="0024051E" w14:paraId="47F056EC" w14:textId="7111F89F">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rsidR="0024051E" w:rsidRDefault="0024051E" w14:paraId="71F3B944" w14:textId="47A33A5C"/>
    <w:sdt>
      <w:sdtPr>
        <w:id w:val="-1920314680"/>
        <w:docPartObj>
          <w:docPartGallery w:val="Table of Contents"/>
          <w:docPartUnique/>
        </w:docPartObj>
        <w:rPr>
          <w:rFonts w:ascii="Calibri" w:hAnsi="Calibri" w:eastAsia="" w:cs="" w:asciiTheme="minorAscii" w:hAnsiTheme="minorAscii" w:eastAsiaTheme="minorEastAsia" w:cstheme="minorBidi"/>
          <w:color w:val="auto"/>
          <w:sz w:val="22"/>
          <w:szCs w:val="22"/>
          <w:lang w:val="lv-LV"/>
        </w:rPr>
      </w:sdtPr>
      <w:sdtEndPr>
        <w:rPr>
          <w:rFonts w:ascii="Calibri" w:hAnsi="Calibri" w:eastAsia="" w:cs="" w:asciiTheme="minorAscii" w:hAnsiTheme="minorAscii" w:eastAsiaTheme="minorEastAsia" w:cstheme="minorBidi"/>
          <w:b w:val="1"/>
          <w:bCs w:val="1"/>
          <w:noProof/>
          <w:color w:val="auto"/>
          <w:sz w:val="22"/>
          <w:szCs w:val="22"/>
          <w:lang w:val="lv-LV"/>
        </w:rPr>
      </w:sdtEndPr>
      <w:sdtContent>
        <w:p w:rsidR="00187FF4" w:rsidRDefault="00187FF4" w14:paraId="094A7C6A" w14:textId="29DB6B23">
          <w:pPr>
            <w:pStyle w:val="TOCHeading"/>
          </w:pPr>
        </w:p>
        <w:p w:rsidR="00640E74" w:rsidRDefault="00187FF4" w14:paraId="6088E629" w14:textId="3DE29EE1">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history="1" w:anchor="_Toc177638287">
            <w:r w:rsidRPr="00F61F4D" w:rsidR="00640E74">
              <w:rPr>
                <w:rStyle w:val="Hyperlink"/>
                <w:rFonts w:ascii="Times New Roman" w:hAnsi="Times New Roman" w:cs="Times New Roman"/>
                <w:b/>
                <w:bCs/>
                <w:noProof/>
              </w:rPr>
              <w:t>1.</w:t>
            </w:r>
            <w:r w:rsidR="00640E74">
              <w:rPr>
                <w:rFonts w:eastAsiaTheme="minorEastAsia"/>
                <w:noProof/>
                <w:kern w:val="2"/>
                <w:sz w:val="24"/>
                <w:szCs w:val="24"/>
                <w:lang w:eastAsia="lv-LV"/>
                <w14:ligatures w14:val="standardContextual"/>
              </w:rPr>
              <w:tab/>
            </w:r>
            <w:r w:rsidRPr="00F61F4D" w:rsidR="00640E74">
              <w:rPr>
                <w:rStyle w:val="Hyperlink"/>
                <w:rFonts w:ascii="Times New Roman" w:hAnsi="Times New Roman" w:cs="Times New Roman"/>
                <w:b/>
                <w:bCs/>
                <w:noProof/>
              </w:rPr>
              <w:t>Vispārīgā informācija</w:t>
            </w:r>
            <w:r w:rsidR="00640E74">
              <w:rPr>
                <w:noProof/>
                <w:webHidden/>
              </w:rPr>
              <w:tab/>
            </w:r>
            <w:r w:rsidR="00640E74">
              <w:rPr>
                <w:noProof/>
                <w:webHidden/>
              </w:rPr>
              <w:fldChar w:fldCharType="begin"/>
            </w:r>
            <w:r w:rsidR="00640E74">
              <w:rPr>
                <w:noProof/>
                <w:webHidden/>
              </w:rPr>
              <w:instrText xml:space="preserve"> PAGEREF _Toc177638287 \h </w:instrText>
            </w:r>
            <w:r w:rsidR="00640E74">
              <w:rPr>
                <w:noProof/>
                <w:webHidden/>
              </w:rPr>
            </w:r>
            <w:r w:rsidR="00640E74">
              <w:rPr>
                <w:noProof/>
                <w:webHidden/>
              </w:rPr>
              <w:fldChar w:fldCharType="separate"/>
            </w:r>
            <w:r w:rsidR="00C20642">
              <w:rPr>
                <w:noProof/>
                <w:webHidden/>
              </w:rPr>
              <w:t>3</w:t>
            </w:r>
            <w:r w:rsidR="00640E74">
              <w:rPr>
                <w:noProof/>
                <w:webHidden/>
              </w:rPr>
              <w:fldChar w:fldCharType="end"/>
            </w:r>
          </w:hyperlink>
        </w:p>
        <w:p w:rsidR="00640E74" w:rsidRDefault="00640E74" w14:paraId="7EF28C21" w14:textId="12BC7170">
          <w:pPr>
            <w:pStyle w:val="TOC1"/>
            <w:tabs>
              <w:tab w:val="left" w:pos="720"/>
              <w:tab w:val="right" w:leader="dot" w:pos="9627"/>
            </w:tabs>
            <w:rPr>
              <w:rFonts w:eastAsiaTheme="minorEastAsia"/>
              <w:noProof/>
              <w:kern w:val="2"/>
              <w:sz w:val="24"/>
              <w:szCs w:val="24"/>
              <w:lang w:eastAsia="lv-LV"/>
              <w14:ligatures w14:val="standardContextual"/>
            </w:rPr>
          </w:pPr>
          <w:hyperlink w:history="1" w:anchor="_Toc177638288">
            <w:r w:rsidRPr="00F61F4D">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_Toc177638288 \h </w:instrText>
            </w:r>
            <w:r>
              <w:rPr>
                <w:noProof/>
                <w:webHidden/>
              </w:rPr>
            </w:r>
            <w:r>
              <w:rPr>
                <w:noProof/>
                <w:webHidden/>
              </w:rPr>
              <w:fldChar w:fldCharType="separate"/>
            </w:r>
            <w:r w:rsidR="00C20642">
              <w:rPr>
                <w:noProof/>
                <w:webHidden/>
              </w:rPr>
              <w:t>3</w:t>
            </w:r>
            <w:r>
              <w:rPr>
                <w:noProof/>
                <w:webHidden/>
              </w:rPr>
              <w:fldChar w:fldCharType="end"/>
            </w:r>
          </w:hyperlink>
        </w:p>
        <w:p w:rsidR="00640E74" w:rsidRDefault="00640E74" w14:paraId="39F6DB01" w14:textId="064D620D">
          <w:pPr>
            <w:pStyle w:val="TOC1"/>
            <w:tabs>
              <w:tab w:val="left" w:pos="720"/>
              <w:tab w:val="right" w:leader="dot" w:pos="9627"/>
            </w:tabs>
            <w:rPr>
              <w:rFonts w:eastAsiaTheme="minorEastAsia"/>
              <w:noProof/>
              <w:kern w:val="2"/>
              <w:sz w:val="24"/>
              <w:szCs w:val="24"/>
              <w:lang w:eastAsia="lv-LV"/>
              <w14:ligatures w14:val="standardContextual"/>
            </w:rPr>
          </w:pPr>
          <w:hyperlink w:history="1" w:anchor="_Toc177638289">
            <w:r w:rsidRPr="00F61F4D">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_Toc177638289 \h </w:instrText>
            </w:r>
            <w:r>
              <w:rPr>
                <w:noProof/>
                <w:webHidden/>
              </w:rPr>
            </w:r>
            <w:r>
              <w:rPr>
                <w:noProof/>
                <w:webHidden/>
              </w:rPr>
              <w:fldChar w:fldCharType="separate"/>
            </w:r>
            <w:r w:rsidR="00C20642">
              <w:rPr>
                <w:noProof/>
                <w:webHidden/>
              </w:rPr>
              <w:t>3</w:t>
            </w:r>
            <w:r>
              <w:rPr>
                <w:noProof/>
                <w:webHidden/>
              </w:rPr>
              <w:fldChar w:fldCharType="end"/>
            </w:r>
          </w:hyperlink>
        </w:p>
        <w:p w:rsidR="00640E74" w:rsidRDefault="00640E74" w14:paraId="4E3C8982" w14:textId="376753D7">
          <w:pPr>
            <w:pStyle w:val="TOC1"/>
            <w:tabs>
              <w:tab w:val="left" w:pos="480"/>
              <w:tab w:val="right" w:leader="dot" w:pos="9627"/>
            </w:tabs>
            <w:rPr>
              <w:rFonts w:eastAsiaTheme="minorEastAsia"/>
              <w:noProof/>
              <w:kern w:val="2"/>
              <w:sz w:val="24"/>
              <w:szCs w:val="24"/>
              <w:lang w:eastAsia="lv-LV"/>
              <w14:ligatures w14:val="standardContextual"/>
            </w:rPr>
          </w:pPr>
          <w:hyperlink w:history="1" w:anchor="_Toc177638290">
            <w:r w:rsidRPr="00F61F4D">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_Toc177638290 \h </w:instrText>
            </w:r>
            <w:r>
              <w:rPr>
                <w:noProof/>
                <w:webHidden/>
              </w:rPr>
            </w:r>
            <w:r>
              <w:rPr>
                <w:noProof/>
                <w:webHidden/>
              </w:rPr>
              <w:fldChar w:fldCharType="separate"/>
            </w:r>
            <w:r w:rsidR="00C20642">
              <w:rPr>
                <w:noProof/>
                <w:webHidden/>
              </w:rPr>
              <w:t>4</w:t>
            </w:r>
            <w:r>
              <w:rPr>
                <w:noProof/>
                <w:webHidden/>
              </w:rPr>
              <w:fldChar w:fldCharType="end"/>
            </w:r>
          </w:hyperlink>
        </w:p>
        <w:p w:rsidR="00640E74" w:rsidRDefault="00640E74" w14:paraId="03741965" w14:textId="008C91AD">
          <w:pPr>
            <w:pStyle w:val="TOC1"/>
            <w:tabs>
              <w:tab w:val="left" w:pos="720"/>
              <w:tab w:val="right" w:leader="dot" w:pos="9627"/>
            </w:tabs>
            <w:rPr>
              <w:rFonts w:eastAsiaTheme="minorEastAsia"/>
              <w:noProof/>
              <w:kern w:val="2"/>
              <w:sz w:val="24"/>
              <w:szCs w:val="24"/>
              <w:lang w:eastAsia="lv-LV"/>
              <w14:ligatures w14:val="standardContextual"/>
            </w:rPr>
          </w:pPr>
          <w:hyperlink w:history="1" w:anchor="_Toc177638291">
            <w:r w:rsidRPr="00F61F4D">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_Toc177638291 \h </w:instrText>
            </w:r>
            <w:r>
              <w:rPr>
                <w:noProof/>
                <w:webHidden/>
              </w:rPr>
            </w:r>
            <w:r>
              <w:rPr>
                <w:noProof/>
                <w:webHidden/>
              </w:rPr>
              <w:fldChar w:fldCharType="separate"/>
            </w:r>
            <w:r w:rsidR="00C20642">
              <w:rPr>
                <w:noProof/>
                <w:webHidden/>
              </w:rPr>
              <w:t>4</w:t>
            </w:r>
            <w:r>
              <w:rPr>
                <w:noProof/>
                <w:webHidden/>
              </w:rPr>
              <w:fldChar w:fldCharType="end"/>
            </w:r>
          </w:hyperlink>
        </w:p>
        <w:p w:rsidR="00640E74" w:rsidRDefault="00640E74" w14:paraId="17FEF104" w14:textId="419032CB">
          <w:pPr>
            <w:pStyle w:val="TOC1"/>
            <w:tabs>
              <w:tab w:val="left" w:pos="720"/>
              <w:tab w:val="right" w:leader="dot" w:pos="9627"/>
            </w:tabs>
            <w:rPr>
              <w:rFonts w:eastAsiaTheme="minorEastAsia"/>
              <w:noProof/>
              <w:kern w:val="2"/>
              <w:sz w:val="24"/>
              <w:szCs w:val="24"/>
              <w:lang w:eastAsia="lv-LV"/>
              <w14:ligatures w14:val="standardContextual"/>
            </w:rPr>
          </w:pPr>
          <w:hyperlink w:history="1" w:anchor="_Toc177638292">
            <w:r w:rsidRPr="00F61F4D">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_Toc177638292 \h </w:instrText>
            </w:r>
            <w:r>
              <w:rPr>
                <w:noProof/>
                <w:webHidden/>
              </w:rPr>
            </w:r>
            <w:r>
              <w:rPr>
                <w:noProof/>
                <w:webHidden/>
              </w:rPr>
              <w:fldChar w:fldCharType="separate"/>
            </w:r>
            <w:r w:rsidR="00C20642">
              <w:rPr>
                <w:noProof/>
                <w:webHidden/>
              </w:rPr>
              <w:t>5</w:t>
            </w:r>
            <w:r>
              <w:rPr>
                <w:noProof/>
                <w:webHidden/>
              </w:rPr>
              <w:fldChar w:fldCharType="end"/>
            </w:r>
          </w:hyperlink>
        </w:p>
        <w:p w:rsidR="00640E74" w:rsidRDefault="00640E74" w14:paraId="2A70D835" w14:textId="41F7C22E">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3">
            <w:r w:rsidRPr="00F61F4D">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_Toc177638293 \h </w:instrText>
            </w:r>
            <w:r>
              <w:rPr>
                <w:noProof/>
                <w:webHidden/>
              </w:rPr>
            </w:r>
            <w:r>
              <w:rPr>
                <w:noProof/>
                <w:webHidden/>
              </w:rPr>
              <w:fldChar w:fldCharType="separate"/>
            </w:r>
            <w:r w:rsidR="00C20642">
              <w:rPr>
                <w:noProof/>
                <w:webHidden/>
              </w:rPr>
              <w:t>5</w:t>
            </w:r>
            <w:r>
              <w:rPr>
                <w:noProof/>
                <w:webHidden/>
              </w:rPr>
              <w:fldChar w:fldCharType="end"/>
            </w:r>
          </w:hyperlink>
        </w:p>
        <w:p w:rsidR="00640E74" w:rsidRDefault="00640E74" w14:paraId="4623341B" w14:textId="4450AEF2">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4">
            <w:r w:rsidRPr="00F61F4D">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_Toc177638294 \h </w:instrText>
            </w:r>
            <w:r>
              <w:rPr>
                <w:noProof/>
                <w:webHidden/>
              </w:rPr>
            </w:r>
            <w:r>
              <w:rPr>
                <w:noProof/>
                <w:webHidden/>
              </w:rPr>
              <w:fldChar w:fldCharType="separate"/>
            </w:r>
            <w:r w:rsidR="00C20642">
              <w:rPr>
                <w:noProof/>
                <w:webHidden/>
              </w:rPr>
              <w:t>6</w:t>
            </w:r>
            <w:r>
              <w:rPr>
                <w:noProof/>
                <w:webHidden/>
              </w:rPr>
              <w:fldChar w:fldCharType="end"/>
            </w:r>
          </w:hyperlink>
        </w:p>
        <w:p w:rsidR="00640E74" w:rsidRDefault="00640E74" w14:paraId="4F92DB41" w14:textId="37B5FDD1">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5">
            <w:r w:rsidRPr="00F61F4D">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_Toc177638295 \h </w:instrText>
            </w:r>
            <w:r>
              <w:rPr>
                <w:noProof/>
                <w:webHidden/>
              </w:rPr>
            </w:r>
            <w:r>
              <w:rPr>
                <w:noProof/>
                <w:webHidden/>
              </w:rPr>
              <w:fldChar w:fldCharType="separate"/>
            </w:r>
            <w:r w:rsidR="00C20642">
              <w:rPr>
                <w:noProof/>
                <w:webHidden/>
              </w:rPr>
              <w:t>6</w:t>
            </w:r>
            <w:r>
              <w:rPr>
                <w:noProof/>
                <w:webHidden/>
              </w:rPr>
              <w:fldChar w:fldCharType="end"/>
            </w:r>
          </w:hyperlink>
        </w:p>
        <w:p w:rsidR="00640E74" w:rsidRDefault="00640E74" w14:paraId="4FF23896" w14:textId="69F4829D">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6">
            <w:r w:rsidRPr="00F61F4D">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_Toc177638296 \h </w:instrText>
            </w:r>
            <w:r>
              <w:rPr>
                <w:noProof/>
                <w:webHidden/>
              </w:rPr>
            </w:r>
            <w:r>
              <w:rPr>
                <w:noProof/>
                <w:webHidden/>
              </w:rPr>
              <w:fldChar w:fldCharType="separate"/>
            </w:r>
            <w:r w:rsidR="00C20642">
              <w:rPr>
                <w:noProof/>
                <w:webHidden/>
              </w:rPr>
              <w:t>7</w:t>
            </w:r>
            <w:r>
              <w:rPr>
                <w:noProof/>
                <w:webHidden/>
              </w:rPr>
              <w:fldChar w:fldCharType="end"/>
            </w:r>
          </w:hyperlink>
        </w:p>
        <w:p w:rsidR="00640E74" w:rsidRDefault="00640E74" w14:paraId="1A71A285" w14:textId="5BBEA9CA">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7">
            <w:r w:rsidRPr="00F61F4D">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_Toc177638297 \h </w:instrText>
            </w:r>
            <w:r>
              <w:rPr>
                <w:noProof/>
                <w:webHidden/>
              </w:rPr>
            </w:r>
            <w:r>
              <w:rPr>
                <w:noProof/>
                <w:webHidden/>
              </w:rPr>
              <w:fldChar w:fldCharType="separate"/>
            </w:r>
            <w:r w:rsidR="00C20642">
              <w:rPr>
                <w:noProof/>
                <w:webHidden/>
              </w:rPr>
              <w:t>8</w:t>
            </w:r>
            <w:r>
              <w:rPr>
                <w:noProof/>
                <w:webHidden/>
              </w:rPr>
              <w:fldChar w:fldCharType="end"/>
            </w:r>
          </w:hyperlink>
        </w:p>
        <w:p w:rsidR="00640E74" w:rsidRDefault="00640E74" w14:paraId="14747B7F" w14:textId="5FA0DA68">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8">
            <w:r w:rsidRPr="00F61F4D">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_Toc177638298 \h </w:instrText>
            </w:r>
            <w:r>
              <w:rPr>
                <w:noProof/>
                <w:webHidden/>
              </w:rPr>
            </w:r>
            <w:r>
              <w:rPr>
                <w:noProof/>
                <w:webHidden/>
              </w:rPr>
              <w:fldChar w:fldCharType="separate"/>
            </w:r>
            <w:r w:rsidR="00C20642">
              <w:rPr>
                <w:noProof/>
                <w:webHidden/>
              </w:rPr>
              <w:t>9</w:t>
            </w:r>
            <w:r>
              <w:rPr>
                <w:noProof/>
                <w:webHidden/>
              </w:rPr>
              <w:fldChar w:fldCharType="end"/>
            </w:r>
          </w:hyperlink>
        </w:p>
        <w:p w:rsidR="00640E74" w:rsidRDefault="00640E74" w14:paraId="53B26CEF" w14:textId="72F3782A">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299">
            <w:r w:rsidRPr="00F61F4D">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_Toc177638299 \h </w:instrText>
            </w:r>
            <w:r>
              <w:rPr>
                <w:noProof/>
                <w:webHidden/>
              </w:rPr>
            </w:r>
            <w:r>
              <w:rPr>
                <w:noProof/>
                <w:webHidden/>
              </w:rPr>
              <w:fldChar w:fldCharType="separate"/>
            </w:r>
            <w:r w:rsidR="00C20642">
              <w:rPr>
                <w:noProof/>
                <w:webHidden/>
              </w:rPr>
              <w:t>12</w:t>
            </w:r>
            <w:r>
              <w:rPr>
                <w:noProof/>
                <w:webHidden/>
              </w:rPr>
              <w:fldChar w:fldCharType="end"/>
            </w:r>
          </w:hyperlink>
        </w:p>
        <w:p w:rsidR="00640E74" w:rsidRDefault="00640E74" w14:paraId="7F09F6B2" w14:textId="6882FABD">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300">
            <w:r w:rsidRPr="00F61F4D">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_Toc177638300 \h </w:instrText>
            </w:r>
            <w:r>
              <w:rPr>
                <w:noProof/>
                <w:webHidden/>
              </w:rPr>
            </w:r>
            <w:r>
              <w:rPr>
                <w:noProof/>
                <w:webHidden/>
              </w:rPr>
              <w:fldChar w:fldCharType="separate"/>
            </w:r>
            <w:r w:rsidR="00C20642">
              <w:rPr>
                <w:noProof/>
                <w:webHidden/>
              </w:rPr>
              <w:t>13</w:t>
            </w:r>
            <w:r>
              <w:rPr>
                <w:noProof/>
                <w:webHidden/>
              </w:rPr>
              <w:fldChar w:fldCharType="end"/>
            </w:r>
          </w:hyperlink>
        </w:p>
        <w:p w:rsidR="00640E74" w:rsidRDefault="00640E74" w14:paraId="3C49FDC1" w14:textId="06485C9F">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301">
            <w:r w:rsidRPr="00F61F4D">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_Toc177638301 \h </w:instrText>
            </w:r>
            <w:r>
              <w:rPr>
                <w:noProof/>
                <w:webHidden/>
              </w:rPr>
            </w:r>
            <w:r>
              <w:rPr>
                <w:noProof/>
                <w:webHidden/>
              </w:rPr>
              <w:fldChar w:fldCharType="separate"/>
            </w:r>
            <w:r w:rsidR="00C20642">
              <w:rPr>
                <w:noProof/>
                <w:webHidden/>
              </w:rPr>
              <w:t>13</w:t>
            </w:r>
            <w:r>
              <w:rPr>
                <w:noProof/>
                <w:webHidden/>
              </w:rPr>
              <w:fldChar w:fldCharType="end"/>
            </w:r>
          </w:hyperlink>
        </w:p>
        <w:p w:rsidR="00640E74" w:rsidRDefault="00640E74" w14:paraId="7D98AEF3" w14:textId="00EDECAE">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302">
            <w:r w:rsidRPr="00F61F4D">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_Toc177638302 \h </w:instrText>
            </w:r>
            <w:r>
              <w:rPr>
                <w:noProof/>
                <w:webHidden/>
              </w:rPr>
            </w:r>
            <w:r>
              <w:rPr>
                <w:noProof/>
                <w:webHidden/>
              </w:rPr>
              <w:fldChar w:fldCharType="separate"/>
            </w:r>
            <w:r w:rsidR="00C20642">
              <w:rPr>
                <w:noProof/>
                <w:webHidden/>
              </w:rPr>
              <w:t>13</w:t>
            </w:r>
            <w:r>
              <w:rPr>
                <w:noProof/>
                <w:webHidden/>
              </w:rPr>
              <w:fldChar w:fldCharType="end"/>
            </w:r>
          </w:hyperlink>
        </w:p>
        <w:p w:rsidR="00640E74" w:rsidRDefault="00640E74" w14:paraId="657C984F" w14:textId="4F09BF63">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303">
            <w:r w:rsidRPr="00F61F4D">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_Toc177638303 \h </w:instrText>
            </w:r>
            <w:r>
              <w:rPr>
                <w:noProof/>
                <w:webHidden/>
              </w:rPr>
            </w:r>
            <w:r>
              <w:rPr>
                <w:noProof/>
                <w:webHidden/>
              </w:rPr>
              <w:fldChar w:fldCharType="separate"/>
            </w:r>
            <w:r w:rsidR="00C20642">
              <w:rPr>
                <w:noProof/>
                <w:webHidden/>
              </w:rPr>
              <w:t>16</w:t>
            </w:r>
            <w:r>
              <w:rPr>
                <w:noProof/>
                <w:webHidden/>
              </w:rPr>
              <w:fldChar w:fldCharType="end"/>
            </w:r>
          </w:hyperlink>
        </w:p>
        <w:p w:rsidR="00640E74" w:rsidRDefault="00640E74" w14:paraId="77EC0E99" w14:textId="625DF8AF">
          <w:pPr>
            <w:pStyle w:val="TOC1"/>
            <w:tabs>
              <w:tab w:val="left" w:pos="960"/>
              <w:tab w:val="right" w:leader="dot" w:pos="9627"/>
            </w:tabs>
            <w:rPr>
              <w:rFonts w:eastAsiaTheme="minorEastAsia"/>
              <w:noProof/>
              <w:kern w:val="2"/>
              <w:sz w:val="24"/>
              <w:szCs w:val="24"/>
              <w:lang w:eastAsia="lv-LV"/>
              <w14:ligatures w14:val="standardContextual"/>
            </w:rPr>
          </w:pPr>
          <w:hyperlink w:history="1" w:anchor="_Toc177638304">
            <w:r w:rsidRPr="00F61F4D">
              <w:rPr>
                <w:rStyle w:val="Hyperlink"/>
                <w:rFonts w:ascii="Times New Roman" w:hAnsi="Times New Roman" w:cs="Times New Roman"/>
                <w:b/>
                <w:bCs/>
                <w:noProof/>
              </w:rPr>
              <w:t>2.2.12.</w:t>
            </w:r>
            <w:r>
              <w:rPr>
                <w:rFonts w:eastAsiaTheme="minorEastAsia"/>
                <w:noProof/>
                <w:kern w:val="2"/>
                <w:sz w:val="24"/>
                <w:szCs w:val="24"/>
                <w:lang w:eastAsia="lv-LV"/>
                <w14:ligatures w14:val="standardContextual"/>
              </w:rPr>
              <w:tab/>
            </w:r>
            <w:r w:rsidRPr="00F61F4D">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_Toc177638304 \h </w:instrText>
            </w:r>
            <w:r>
              <w:rPr>
                <w:noProof/>
                <w:webHidden/>
              </w:rPr>
            </w:r>
            <w:r>
              <w:rPr>
                <w:noProof/>
                <w:webHidden/>
              </w:rPr>
              <w:fldChar w:fldCharType="separate"/>
            </w:r>
            <w:r w:rsidR="00C20642">
              <w:rPr>
                <w:noProof/>
                <w:webHidden/>
              </w:rPr>
              <w:t>16</w:t>
            </w:r>
            <w:r>
              <w:rPr>
                <w:noProof/>
                <w:webHidden/>
              </w:rPr>
              <w:fldChar w:fldCharType="end"/>
            </w:r>
          </w:hyperlink>
        </w:p>
        <w:p w:rsidR="00187FF4" w:rsidRDefault="00187FF4" w14:paraId="0993A44F" w14:textId="35F9061C">
          <w:r>
            <w:rPr>
              <w:b/>
              <w:bCs/>
              <w:noProof/>
            </w:rPr>
            <w:fldChar w:fldCharType="end"/>
          </w:r>
        </w:p>
      </w:sdtContent>
    </w:sdt>
    <w:p w:rsidR="00BC7971" w:rsidRDefault="00BC7971" w14:paraId="5C02B675" w14:textId="6F1E9AF1"/>
    <w:p w:rsidR="00BC7971" w:rsidRDefault="00BC7971" w14:paraId="042AF3BC" w14:textId="7ED52139"/>
    <w:p w:rsidR="00BC7971" w:rsidRDefault="00BC7971" w14:paraId="5168952C" w14:textId="342F906D"/>
    <w:p w:rsidR="00BC7971" w:rsidRDefault="00BC7971" w14:paraId="1FC47E77" w14:textId="50345F0A"/>
    <w:p w:rsidR="00BC7971" w:rsidRDefault="00BC7971" w14:paraId="042EEB3D" w14:textId="17032628"/>
    <w:p w:rsidR="00BC7971" w:rsidRDefault="00BC7971" w14:paraId="6EDB7956" w14:textId="74CAC9E8"/>
    <w:p w:rsidR="00BC7971" w:rsidRDefault="00BC7971" w14:paraId="22B0B841" w14:textId="70994989"/>
    <w:p w:rsidR="00BC7971" w:rsidRDefault="00BC7971" w14:paraId="43A70840" w14:textId="79F46646"/>
    <w:p w:rsidR="00BC7971" w:rsidRDefault="00BC7971" w14:paraId="30048244" w14:textId="380647D7"/>
    <w:p w:rsidR="00BC7971" w:rsidRDefault="00BC7971" w14:paraId="63FED47A" w14:textId="422A3033"/>
    <w:p w:rsidRPr="00514729" w:rsidR="0024051E" w:rsidP="00447B69" w:rsidRDefault="0024051E" w14:paraId="74D2F88E" w14:textId="0CC857A7">
      <w:pPr>
        <w:pStyle w:val="Heading1"/>
        <w:numPr>
          <w:ilvl w:val="0"/>
          <w:numId w:val="32"/>
        </w:numPr>
        <w:rPr>
          <w:rFonts w:ascii="Times New Roman" w:hAnsi="Times New Roman" w:cs="Times New Roman"/>
          <w:b/>
          <w:bCs/>
          <w:color w:val="auto"/>
          <w:sz w:val="28"/>
          <w:szCs w:val="28"/>
        </w:rPr>
      </w:pPr>
      <w:bookmarkStart w:name="_Toc488415866" w:id="0"/>
      <w:bookmarkStart w:name="_Toc177638287" w:id="1"/>
      <w:r w:rsidRPr="00514729">
        <w:rPr>
          <w:rFonts w:ascii="Times New Roman" w:hAnsi="Times New Roman" w:cs="Times New Roman"/>
          <w:b/>
          <w:bCs/>
          <w:color w:val="auto"/>
          <w:sz w:val="28"/>
          <w:szCs w:val="28"/>
        </w:rPr>
        <w:lastRenderedPageBreak/>
        <w:t>Vispārīgā informācija</w:t>
      </w:r>
      <w:bookmarkEnd w:id="0"/>
      <w:bookmarkEnd w:id="1"/>
    </w:p>
    <w:p w:rsidRPr="00514729" w:rsidR="006908EA" w:rsidP="00447B69" w:rsidRDefault="0024051E" w14:paraId="1274B74B" w14:textId="4B7DB0CB">
      <w:pPr>
        <w:pStyle w:val="Heading1"/>
        <w:numPr>
          <w:ilvl w:val="1"/>
          <w:numId w:val="32"/>
        </w:numPr>
        <w:ind w:left="993" w:hanging="633"/>
        <w:rPr>
          <w:rFonts w:ascii="Times New Roman" w:hAnsi="Times New Roman" w:cs="Times New Roman"/>
          <w:b/>
          <w:bCs/>
          <w:color w:val="auto"/>
          <w:sz w:val="28"/>
          <w:szCs w:val="28"/>
        </w:rPr>
      </w:pPr>
      <w:bookmarkStart w:name="_Toc488415867" w:id="2"/>
      <w:bookmarkStart w:name="_Toc177638288" w:id="3"/>
      <w:r w:rsidRPr="00514729">
        <w:rPr>
          <w:rFonts w:ascii="Times New Roman" w:hAnsi="Times New Roman" w:cs="Times New Roman"/>
          <w:b/>
          <w:bCs/>
          <w:color w:val="auto"/>
          <w:sz w:val="28"/>
          <w:szCs w:val="28"/>
        </w:rPr>
        <w:t>Normatīvo aktu bāze izmaksu un ieguvumu analīzes izstrādei</w:t>
      </w:r>
      <w:bookmarkEnd w:id="2"/>
      <w:bookmarkEnd w:id="3"/>
    </w:p>
    <w:p w:rsidRPr="002D38E4" w:rsidR="006908EA" w:rsidP="006908EA" w:rsidRDefault="006908EA" w14:paraId="42039E35" w14:textId="79AC7EC3">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rsidRPr="000959AB" w:rsidR="00096F87" w:rsidP="00096F87" w:rsidRDefault="00E62F5B" w14:paraId="62811C79" w14:textId="419D846E">
      <w:pPr>
        <w:pStyle w:val="ListParagraph"/>
        <w:numPr>
          <w:ilvl w:val="0"/>
          <w:numId w:val="3"/>
        </w:numPr>
        <w:spacing w:line="240" w:lineRule="auto"/>
        <w:jc w:val="both"/>
        <w:rPr>
          <w:rFonts w:ascii="Times New Roman" w:hAnsi="Times New Roman" w:cs="Times New Roman"/>
          <w:sz w:val="24"/>
          <w:szCs w:val="24"/>
        </w:rPr>
      </w:pPr>
      <w:r w:rsidRPr="0055079E">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w:t>
      </w:r>
      <w:r>
        <w:rPr>
          <w:rFonts w:ascii="Times New Roman" w:hAnsi="Times New Roman" w:cs="Times New Roman"/>
          <w:sz w:val="24"/>
          <w:szCs w:val="24"/>
        </w:rPr>
        <w:t>“</w:t>
      </w:r>
      <w:r w:rsidRPr="00393DF6">
        <w:rPr>
          <w:rFonts w:ascii="Times New Roman" w:hAnsi="Times New Roman" w:cs="Times New Roman"/>
          <w:sz w:val="24"/>
          <w:szCs w:val="24"/>
        </w:rPr>
        <w:t xml:space="preserve">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w:t>
      </w:r>
      <w:r>
        <w:rPr>
          <w:rFonts w:ascii="Times New Roman" w:hAnsi="Times New Roman" w:cs="Times New Roman"/>
          <w:sz w:val="24"/>
          <w:szCs w:val="24"/>
        </w:rPr>
        <w:t>”</w:t>
      </w:r>
      <w:r w:rsidRPr="000959AB">
        <w:rPr>
          <w:rFonts w:ascii="Times New Roman" w:hAnsi="Times New Roman" w:cs="Times New Roman"/>
          <w:sz w:val="24"/>
          <w:szCs w:val="24"/>
        </w:rPr>
        <w:t xml:space="preserve"> (turpmāk – MK noteikumi Nr.408) (pieejami tīmekļa vietnē </w:t>
      </w:r>
      <w:hyperlink w:history="1" r:id="rId11">
        <w:r w:rsidRPr="00476B29">
          <w:rPr>
            <w:rStyle w:val="Hyperlink"/>
            <w:rFonts w:ascii="Times New Roman" w:hAnsi="Times New Roman" w:cs="Times New Roman"/>
            <w:sz w:val="24"/>
            <w:szCs w:val="24"/>
          </w:rPr>
          <w:t>https://likumi.lv/ta/id/343827</w:t>
        </w:r>
      </w:hyperlink>
      <w:r w:rsidRPr="000959AB">
        <w:rPr>
          <w:rFonts w:ascii="Times New Roman" w:hAnsi="Times New Roman" w:cs="Times New Roman"/>
          <w:sz w:val="24"/>
          <w:szCs w:val="24"/>
        </w:rPr>
        <w:t>)</w:t>
      </w:r>
      <w:r w:rsidRPr="000959AB" w:rsidR="00096F87">
        <w:rPr>
          <w:rFonts w:ascii="Times New Roman" w:hAnsi="Times New Roman" w:cs="Times New Roman"/>
          <w:sz w:val="24"/>
          <w:szCs w:val="24"/>
        </w:rPr>
        <w:t>;</w:t>
      </w:r>
    </w:p>
    <w:p w:rsidRPr="000959AB" w:rsidR="00096F87" w:rsidP="00096F87" w:rsidRDefault="00096F87" w14:paraId="0E2E48C5" w14:textId="70EDD320">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144BF6">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C95349">
        <w:rPr>
          <w:rFonts w:ascii="Times New Roman" w:hAnsi="Times New Roman" w:cs="Times New Roman"/>
          <w:sz w:val="24"/>
          <w:szCs w:val="24"/>
        </w:rPr>
        <w:t>10</w:t>
      </w:r>
      <w:r w:rsidRPr="000959AB">
        <w:rPr>
          <w:rFonts w:ascii="Times New Roman" w:hAnsi="Times New Roman" w:cs="Times New Roman"/>
          <w:sz w:val="24"/>
          <w:szCs w:val="24"/>
        </w:rPr>
        <w:t>.</w:t>
      </w:r>
      <w:r w:rsidR="00C95349">
        <w:rPr>
          <w:rFonts w:ascii="Times New Roman" w:hAnsi="Times New Roman" w:cs="Times New Roman"/>
          <w:sz w:val="24"/>
          <w:szCs w:val="24"/>
        </w:rPr>
        <w:t xml:space="preserve">septembra </w:t>
      </w:r>
      <w:r w:rsidRPr="000959AB">
        <w:rPr>
          <w:rFonts w:ascii="Times New Roman" w:hAnsi="Times New Roman" w:cs="Times New Roman"/>
          <w:sz w:val="24"/>
          <w:szCs w:val="24"/>
        </w:rPr>
        <w:t>noteikumiem Nr.</w:t>
      </w:r>
      <w:r w:rsidR="00C95349">
        <w:rPr>
          <w:rFonts w:ascii="Times New Roman" w:hAnsi="Times New Roman" w:cs="Times New Roman"/>
          <w:sz w:val="24"/>
          <w:szCs w:val="24"/>
        </w:rPr>
        <w:t>602</w:t>
      </w:r>
      <w:r w:rsidRPr="000959AB">
        <w:rPr>
          <w:rFonts w:ascii="Times New Roman" w:hAnsi="Times New Roman" w:cs="Times New Roman"/>
          <w:sz w:val="24"/>
          <w:szCs w:val="24"/>
        </w:rPr>
        <w:t xml:space="preserve"> ”Eiropas Savienības kohēzijas politikas programmas 2021.–2027. gadam </w:t>
      </w:r>
      <w:r w:rsidRPr="002E3C8B" w:rsidR="002E3C8B">
        <w:rPr>
          <w:rFonts w:ascii="Times New Roman" w:hAnsi="Times New Roman" w:cs="Times New Roman"/>
          <w:sz w:val="24"/>
          <w:szCs w:val="24"/>
        </w:rPr>
        <w:t>2.2.2. specifiskā atbalsta mērķa "Pārejas uz aprites ekonomiku veicināšana" 2.2.2.2. pasākuma "Atkritumu dalītā vākšana" projektu iesniegumu otrās atlases kārtas</w:t>
      </w:r>
      <w:r w:rsidRPr="000959AB">
        <w:rPr>
          <w:rFonts w:ascii="Times New Roman" w:hAnsi="Times New Roman" w:cs="Times New Roman"/>
          <w:sz w:val="24"/>
          <w:szCs w:val="24"/>
        </w:rPr>
        <w:t xml:space="preserve"> īstenošanas noteikumi” (turpmāk – SAM MK noteikumi)</w:t>
      </w:r>
      <w:r w:rsidRPr="000959AB" w:rsidR="009B5465">
        <w:rPr>
          <w:rFonts w:ascii="Times New Roman" w:hAnsi="Times New Roman" w:cs="Times New Roman"/>
          <w:sz w:val="24"/>
          <w:szCs w:val="24"/>
        </w:rPr>
        <w:t xml:space="preserve"> (pieejami tīmekļa vietnē </w:t>
      </w:r>
      <w:hyperlink w:history="1" r:id="rId12">
        <w:r w:rsidRPr="00FE2EE9" w:rsidR="001C589C">
          <w:rPr>
            <w:rStyle w:val="Hyperlink"/>
            <w:rFonts w:ascii="Times New Roman" w:hAnsi="Times New Roman" w:cs="Times New Roman"/>
            <w:sz w:val="24"/>
            <w:szCs w:val="24"/>
          </w:rPr>
          <w:t>https://likumi.lv/ta/id/355002</w:t>
        </w:r>
      </w:hyperlink>
      <w:r w:rsidRPr="000959AB" w:rsidR="009B5465">
        <w:rPr>
          <w:rFonts w:ascii="Times New Roman" w:hAnsi="Times New Roman" w:cs="Times New Roman"/>
          <w:sz w:val="24"/>
          <w:szCs w:val="24"/>
        </w:rPr>
        <w:t>)</w:t>
      </w:r>
      <w:r w:rsidRPr="000959AB">
        <w:rPr>
          <w:rFonts w:ascii="Times New Roman" w:hAnsi="Times New Roman" w:cs="Times New Roman"/>
          <w:sz w:val="24"/>
          <w:szCs w:val="24"/>
        </w:rPr>
        <w:t>;</w:t>
      </w:r>
    </w:p>
    <w:p w:rsidRPr="000959AB" w:rsidR="00096F87" w:rsidP="00096F87" w:rsidRDefault="00096F87" w14:paraId="20AA55E1" w14:textId="7777777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w:history="1" r:id="rId13">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rsidRPr="000959AB" w:rsidR="00096F87" w:rsidP="00096F87" w:rsidRDefault="00096F87" w14:paraId="41AD67F0" w14:textId="7777777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w:history="1" r:id="rId14">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rsidRPr="000959AB" w:rsidR="00096F87" w:rsidP="00096F87" w:rsidRDefault="00096F87" w14:paraId="34793BCE" w14:textId="6EB1FFF5">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Pr="000959AB" w:rsidR="005E3626">
        <w:rPr>
          <w:rFonts w:ascii="Times New Roman" w:hAnsi="Times New Roman" w:cs="Times New Roman"/>
          <w:sz w:val="24"/>
          <w:szCs w:val="24"/>
        </w:rPr>
        <w:t xml:space="preserve"> </w:t>
      </w:r>
      <w:r w:rsidRPr="000959AB" w:rsidR="004077D7">
        <w:rPr>
          <w:rFonts w:ascii="Times New Roman" w:hAnsi="Times New Roman" w:cs="Times New Roman"/>
          <w:sz w:val="24"/>
          <w:szCs w:val="24"/>
        </w:rPr>
        <w:t xml:space="preserve">(pieejama tīmekļa vietnē </w:t>
      </w:r>
      <w:hyperlink w:history="1" r:id="rId15">
        <w:r w:rsidRPr="000959AB" w:rsidR="005E3626">
          <w:rPr>
            <w:rStyle w:val="Hyperlink"/>
            <w:rFonts w:ascii="Times New Roman" w:hAnsi="Times New Roman" w:cs="Times New Roman"/>
            <w:sz w:val="24"/>
            <w:szCs w:val="24"/>
          </w:rPr>
          <w:t>https://eur-lex.europa.eu/legal-content/LV/TXT/?uri=celex%3A32014R0651</w:t>
        </w:r>
      </w:hyperlink>
      <w:r w:rsidRPr="000959AB" w:rsidR="004077D7">
        <w:rPr>
          <w:rFonts w:ascii="Times New Roman" w:hAnsi="Times New Roman" w:cs="Times New Roman"/>
          <w:sz w:val="24"/>
          <w:szCs w:val="24"/>
        </w:rPr>
        <w:t>)</w:t>
      </w:r>
      <w:r w:rsidRPr="000959AB">
        <w:rPr>
          <w:rFonts w:ascii="Times New Roman" w:hAnsi="Times New Roman" w:cs="Times New Roman"/>
          <w:sz w:val="24"/>
          <w:szCs w:val="24"/>
        </w:rPr>
        <w:t>.</w:t>
      </w:r>
    </w:p>
    <w:p w:rsidRPr="007528B4" w:rsidR="006908EA" w:rsidP="007528B4" w:rsidRDefault="006908EA" w14:paraId="42B78511" w14:textId="77777777">
      <w:pPr>
        <w:spacing w:line="240" w:lineRule="auto"/>
        <w:jc w:val="both"/>
        <w:rPr>
          <w:rFonts w:ascii="Times New Roman" w:hAnsi="Times New Roman" w:cs="Times New Roman"/>
          <w:sz w:val="24"/>
          <w:szCs w:val="24"/>
        </w:rPr>
      </w:pPr>
    </w:p>
    <w:p w:rsidRPr="008264B4" w:rsidR="0024051E" w:rsidP="008264B4" w:rsidRDefault="0024051E" w14:paraId="1667A357" w14:textId="0725B02B">
      <w:pPr>
        <w:pStyle w:val="Heading1"/>
        <w:numPr>
          <w:ilvl w:val="1"/>
          <w:numId w:val="32"/>
        </w:numPr>
        <w:ind w:left="993" w:hanging="633"/>
        <w:rPr>
          <w:rFonts w:ascii="Times New Roman" w:hAnsi="Times New Roman" w:cs="Times New Roman"/>
          <w:b/>
          <w:bCs/>
          <w:color w:val="auto"/>
          <w:sz w:val="28"/>
          <w:szCs w:val="28"/>
        </w:rPr>
      </w:pPr>
      <w:bookmarkStart w:name="_Toc488415868" w:id="4"/>
      <w:bookmarkStart w:name="_Toc177638289" w:id="5"/>
      <w:r w:rsidRPr="008264B4">
        <w:rPr>
          <w:rFonts w:ascii="Times New Roman" w:hAnsi="Times New Roman" w:cs="Times New Roman"/>
          <w:b/>
          <w:bCs/>
          <w:color w:val="auto"/>
          <w:sz w:val="28"/>
          <w:szCs w:val="28"/>
        </w:rPr>
        <w:t>Izmaksu un ieguvumu analīzes būtība, mērķi un pamatprincipi</w:t>
      </w:r>
      <w:bookmarkEnd w:id="4"/>
      <w:bookmarkEnd w:id="5"/>
    </w:p>
    <w:p w:rsidR="00B71C94" w:rsidP="00B71C94" w:rsidRDefault="00B71C94" w14:paraId="2BCCF0A5" w14:textId="407FAECB">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00B71C94" w:rsidP="00B71C94" w:rsidRDefault="00B71C94" w14:paraId="7038B6E4" w14:textId="22C30F41">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rsidRPr="001302F4" w:rsidR="001302F4" w:rsidP="001302F4" w:rsidRDefault="001302F4" w14:paraId="4879630E" w14:textId="77777777">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rsidR="00B71C94" w:rsidP="00B71C94" w:rsidRDefault="00B71C94" w14:paraId="4ACD3792" w14:textId="4E071AE0">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rsidR="00B71C94" w:rsidP="00B71C94" w:rsidRDefault="00B71C94" w14:paraId="3DD9C7DD" w14:textId="07BD455B">
      <w:pPr>
        <w:pStyle w:val="ListParagraph"/>
        <w:numPr>
          <w:ilvl w:val="0"/>
          <w:numId w:val="4"/>
        </w:numPr>
        <w:spacing w:line="240" w:lineRule="auto"/>
        <w:jc w:val="both"/>
        <w:rPr>
          <w:rFonts w:ascii="Times New Roman" w:hAnsi="Times New Roman" w:cs="Times New Roman"/>
          <w:sz w:val="24"/>
          <w:szCs w:val="24"/>
        </w:rPr>
      </w:pPr>
      <w:r w:rsidRPr="0B812883">
        <w:rPr>
          <w:rFonts w:ascii="Times New Roman" w:hAnsi="Times New Roman" w:cs="Times New Roman"/>
          <w:sz w:val="24"/>
          <w:szCs w:val="24"/>
        </w:rPr>
        <w:t>izmaksu un finanšu resursu apzināšana projekta īstenošanai;</w:t>
      </w:r>
    </w:p>
    <w:p w:rsidR="00B71C94" w:rsidP="00B71C94" w:rsidRDefault="00B71C94" w14:paraId="66D52B5F" w14:textId="77777777">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rsidR="00B71C94" w:rsidP="00B71C94" w:rsidRDefault="00B71C94" w14:paraId="1AEDBD4C" w14:textId="77777777">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rsidR="00B71C94" w:rsidP="00B71C94" w:rsidRDefault="00B71C94" w14:paraId="2D83C1A9" w14:textId="60172CE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rsidR="00B71C94" w:rsidP="00B71C94" w:rsidRDefault="00B71C94" w14:paraId="32A93AF3" w14:textId="507A19FF">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rsidR="00B71C94" w:rsidP="00B71C94" w:rsidRDefault="00B71C94" w14:paraId="21474BDA"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rsidR="00B71C94" w:rsidP="00B71C94" w:rsidRDefault="00B71C94" w14:paraId="4735C04A" w14:textId="1D1F8B19">
      <w:pPr>
        <w:pStyle w:val="ListParagraph"/>
        <w:numPr>
          <w:ilvl w:val="0"/>
          <w:numId w:val="5"/>
        </w:numPr>
        <w:spacing w:line="240" w:lineRule="auto"/>
        <w:jc w:val="both"/>
        <w:rPr>
          <w:rFonts w:ascii="Times New Roman" w:hAnsi="Times New Roman" w:cs="Times New Roman"/>
          <w:sz w:val="24"/>
          <w:szCs w:val="24"/>
        </w:rPr>
      </w:pPr>
      <w:r w:rsidRPr="00C20642">
        <w:rPr>
          <w:rFonts w:ascii="Times New Roman" w:hAnsi="Times New Roman"/>
          <w:b/>
          <w:sz w:val="24"/>
        </w:rPr>
        <w:t xml:space="preserve">projektiem ir jāpamato ES finansējuma </w:t>
      </w:r>
      <w:r w:rsidRPr="00C20642" w:rsidR="007705DB">
        <w:rPr>
          <w:rFonts w:ascii="Times New Roman" w:hAnsi="Times New Roman"/>
          <w:b/>
          <w:sz w:val="24"/>
        </w:rPr>
        <w:t xml:space="preserve">apmērs un </w:t>
      </w:r>
      <w:r w:rsidRPr="00C20642">
        <w:rPr>
          <w:rFonts w:ascii="Times New Roman" w:hAnsi="Times New Roman"/>
          <w:b/>
          <w:sz w:val="24"/>
        </w:rPr>
        <w:t>nepieciešamība</w:t>
      </w:r>
      <w:r w:rsidRPr="0B812883">
        <w:rPr>
          <w:rFonts w:ascii="Times New Roman" w:hAnsi="Times New Roman" w:cs="Times New Roman"/>
          <w:sz w:val="24"/>
          <w:szCs w:val="24"/>
        </w:rPr>
        <w:t>;</w:t>
      </w:r>
    </w:p>
    <w:p w:rsidR="00B71C94" w:rsidP="00B71C94" w:rsidRDefault="00B71C94" w14:paraId="741EA568"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rsidR="00B71C94" w:rsidP="00B71C94" w:rsidRDefault="00B71C94" w14:paraId="56BC6E68"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rsidRPr="00E8525F" w:rsidR="00B71C94" w:rsidP="00B71C94" w:rsidRDefault="00B71C94" w14:paraId="15E46DB7" w14:textId="77777777">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rsidRPr="00B71C94" w:rsidR="00B71C94" w:rsidP="00B71C94" w:rsidRDefault="00B71C94" w14:paraId="4BE42907" w14:textId="77777777">
      <w:pPr>
        <w:spacing w:line="240" w:lineRule="auto"/>
        <w:outlineLvl w:val="1"/>
        <w:rPr>
          <w:rFonts w:ascii="Times New Roman" w:hAnsi="Times New Roman" w:cs="Times New Roman"/>
          <w:b/>
          <w:sz w:val="28"/>
          <w:szCs w:val="28"/>
        </w:rPr>
      </w:pPr>
    </w:p>
    <w:p w:rsidRPr="00514729" w:rsidR="0024051E" w:rsidP="00447B69" w:rsidRDefault="0024051E" w14:paraId="15EA7F62" w14:textId="3F74FE7C">
      <w:pPr>
        <w:pStyle w:val="Heading1"/>
        <w:numPr>
          <w:ilvl w:val="0"/>
          <w:numId w:val="32"/>
        </w:numPr>
        <w:rPr>
          <w:rFonts w:ascii="Times New Roman" w:hAnsi="Times New Roman" w:cs="Times New Roman"/>
          <w:b/>
          <w:bCs/>
          <w:color w:val="auto"/>
          <w:sz w:val="28"/>
          <w:szCs w:val="28"/>
        </w:rPr>
      </w:pPr>
      <w:bookmarkStart w:name="_Toc177638290" w:id="6"/>
      <w:r w:rsidRPr="00514729">
        <w:rPr>
          <w:rFonts w:ascii="Times New Roman" w:hAnsi="Times New Roman" w:cs="Times New Roman"/>
          <w:b/>
          <w:bCs/>
          <w:color w:val="auto"/>
          <w:sz w:val="28"/>
          <w:szCs w:val="28"/>
        </w:rPr>
        <w:t>Izmaksu un ieguvumu analīzes izstrāde un saturs</w:t>
      </w:r>
      <w:bookmarkEnd w:id="6"/>
    </w:p>
    <w:p w:rsidRPr="00447B69" w:rsidR="0024051E" w:rsidP="00447B69" w:rsidRDefault="0024051E" w14:paraId="7D38D18D" w14:textId="1946D5C6">
      <w:pPr>
        <w:pStyle w:val="Heading1"/>
        <w:numPr>
          <w:ilvl w:val="1"/>
          <w:numId w:val="32"/>
        </w:numPr>
        <w:ind w:left="993" w:hanging="633"/>
        <w:rPr>
          <w:rFonts w:ascii="Times New Roman" w:hAnsi="Times New Roman" w:cs="Times New Roman"/>
          <w:b/>
          <w:bCs/>
          <w:color w:val="auto"/>
          <w:sz w:val="28"/>
          <w:szCs w:val="28"/>
        </w:rPr>
      </w:pPr>
      <w:bookmarkStart w:name="_Toc488415870" w:id="7"/>
      <w:bookmarkStart w:name="_Toc177638291" w:id="8"/>
      <w:r w:rsidRPr="00447B69">
        <w:rPr>
          <w:rFonts w:ascii="Times New Roman" w:hAnsi="Times New Roman" w:cs="Times New Roman"/>
          <w:b/>
          <w:bCs/>
          <w:color w:val="auto"/>
          <w:sz w:val="28"/>
          <w:szCs w:val="28"/>
        </w:rPr>
        <w:t>Vispārīgā informācija</w:t>
      </w:r>
      <w:bookmarkEnd w:id="7"/>
      <w:bookmarkEnd w:id="8"/>
    </w:p>
    <w:p w:rsidR="00DA6ED6" w:rsidP="00DA6ED6" w:rsidRDefault="00DA6ED6" w14:paraId="5EA7E929" w14:textId="0F8A12AB">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name="_Hlk112683308" w:id="9"/>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Pr="003110C3" w:rsid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752151">
        <w:rPr>
          <w:rFonts w:ascii="Times New Roman" w:hAnsi="Times New Roman" w:cs="Times New Roman"/>
          <w:sz w:val="24"/>
          <w:szCs w:val="24"/>
        </w:rPr>
        <w:t>ts</w:t>
      </w:r>
      <w:r w:rsidR="00C47E05">
        <w:rPr>
          <w:rFonts w:ascii="Times New Roman" w:hAnsi="Times New Roman" w:cs="Times New Roman"/>
          <w:sz w:val="24"/>
          <w:szCs w:val="24"/>
        </w:rPr>
        <w:t xml:space="preserve"> </w:t>
      </w:r>
      <w:r w:rsidRPr="006D66BC" w:rsidR="006D66BC">
        <w:rPr>
          <w:rFonts w:ascii="Times New Roman" w:hAnsi="Times New Roman" w:cs="Times New Roman"/>
          <w:sz w:val="24"/>
          <w:szCs w:val="24"/>
        </w:rPr>
        <w:t>2.2.2.2. pasākuma "Atkritumu dalītā vākšana" projektu iesniegumu otrās atlases kārtas</w:t>
      </w:r>
      <w:r w:rsidR="00B3309C">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Pr="00BD03CD" w:rsidR="00D72A98">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Pr="00BD03CD" w:rsidR="00D72A98">
        <w:rPr>
          <w:rFonts w:ascii="Times New Roman" w:hAnsi="Times New Roman" w:cs="Times New Roman"/>
          <w:sz w:val="24"/>
          <w:szCs w:val="24"/>
        </w:rPr>
        <w:t>.</w:t>
      </w:r>
    </w:p>
    <w:p w:rsidRPr="00106EAC" w:rsidR="00DA6ED6" w:rsidP="00DA6ED6" w:rsidRDefault="00DA6ED6" w14:paraId="6AA89FAF" w14:textId="62BF6AD7">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Pr="00BD03CD" w:rsidR="00106EAC">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Pr="00BD03CD" w:rsid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rsidRPr="00760A33" w:rsidR="00DA6ED6" w:rsidP="00DA6ED6" w:rsidRDefault="00DA6ED6" w14:paraId="6202FBF3" w14:textId="13D1F7F5">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207237">
        <w:rPr>
          <w:rFonts w:ascii="Times New Roman" w:hAnsi="Times New Roman" w:cs="Times New Roman"/>
          <w:sz w:val="24"/>
          <w:szCs w:val="24"/>
        </w:rPr>
        <w:t>12</w:t>
      </w:r>
      <w:r w:rsidRPr="00760A33">
        <w:rPr>
          <w:rFonts w:ascii="Times New Roman" w:hAnsi="Times New Roman" w:cs="Times New Roman"/>
          <w:sz w:val="24"/>
          <w:szCs w:val="24"/>
        </w:rPr>
        <w:t xml:space="preserve"> MS Excel izklājlapām, no kurām:</w:t>
      </w:r>
    </w:p>
    <w:p w:rsidRPr="00760A33" w:rsidR="00DA6ED6" w:rsidP="00DA6ED6" w:rsidRDefault="00DA6ED6" w14:paraId="27889164" w14:textId="6E14FB14">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Pr="00760A33" w:rsid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rsidRPr="00CF06D8" w:rsidR="00CF06D8" w:rsidP="00DA6ED6" w:rsidRDefault="00303C8A" w14:paraId="0F074CCD" w14:textId="075ECE85">
      <w:pPr>
        <w:pStyle w:val="ListParagraph"/>
        <w:numPr>
          <w:ilvl w:val="0"/>
          <w:numId w:val="6"/>
        </w:numPr>
        <w:jc w:val="both"/>
        <w:rPr>
          <w:rFonts w:ascii="Times New Roman" w:hAnsi="Times New Roman" w:cs="Times New Roman"/>
          <w:sz w:val="24"/>
          <w:szCs w:val="24"/>
        </w:rPr>
      </w:pPr>
      <w:bookmarkStart w:name="_Hlk95467422" w:id="10"/>
      <w:r>
        <w:rPr>
          <w:rFonts w:ascii="Times New Roman" w:hAnsi="Times New Roman" w:cs="Times New Roman"/>
          <w:sz w:val="24"/>
          <w:szCs w:val="24"/>
        </w:rPr>
        <w:t>viena</w:t>
      </w:r>
      <w:r w:rsidRPr="00CF06D8" w:rsidR="00DA6ED6">
        <w:rPr>
          <w:rFonts w:ascii="Times New Roman" w:hAnsi="Times New Roman" w:cs="Times New Roman"/>
          <w:sz w:val="24"/>
          <w:szCs w:val="24"/>
        </w:rPr>
        <w:t xml:space="preserve"> </w:t>
      </w:r>
      <w:r w:rsidRPr="00CF06D8" w:rsidR="00CF06D8">
        <w:rPr>
          <w:rFonts w:ascii="Times New Roman" w:hAnsi="Times New Roman" w:cs="Times New Roman"/>
          <w:sz w:val="24"/>
          <w:szCs w:val="24"/>
        </w:rPr>
        <w:t>izklāj</w:t>
      </w:r>
      <w:r w:rsidRPr="00CF06D8" w:rsidR="00DA6ED6">
        <w:rPr>
          <w:rFonts w:ascii="Times New Roman" w:hAnsi="Times New Roman" w:cs="Times New Roman"/>
          <w:sz w:val="24"/>
          <w:szCs w:val="24"/>
        </w:rPr>
        <w:t>lapa</w:t>
      </w:r>
      <w:r w:rsidRPr="00CF06D8" w:rsidR="00CF06D8">
        <w:rPr>
          <w:rFonts w:ascii="Times New Roman" w:hAnsi="Times New Roman" w:cs="Times New Roman"/>
          <w:sz w:val="24"/>
          <w:szCs w:val="24"/>
        </w:rPr>
        <w:t xml:space="preserve">, kurā ievada </w:t>
      </w:r>
      <w:bookmarkEnd w:id="10"/>
      <w:r w:rsidRPr="00CF06D8" w:rsid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Pr="00CF06D8" w:rsid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rsidRPr="00CF06D8" w:rsidR="00303C8A" w:rsidP="00303C8A" w:rsidRDefault="00303C8A" w14:paraId="5A8BD96F" w14:textId="4865CD6D">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1.1.B. Iesniedzējs;</w:t>
      </w:r>
    </w:p>
    <w:p w:rsidRPr="00C47CF8" w:rsidR="00CF06D8" w:rsidP="00CF06D8" w:rsidRDefault="00CF06D8" w14:paraId="03D7310E" w14:textId="0687CE1D">
      <w:pPr>
        <w:pStyle w:val="ListParagraph"/>
        <w:numPr>
          <w:ilvl w:val="0"/>
          <w:numId w:val="6"/>
        </w:numPr>
        <w:jc w:val="both"/>
        <w:rPr>
          <w:rFonts w:ascii="Times New Roman" w:hAnsi="Times New Roman" w:cs="Times New Roman"/>
          <w:sz w:val="24"/>
          <w:szCs w:val="24"/>
        </w:rPr>
      </w:pPr>
      <w:bookmarkStart w:name="_Hlk95468974" w:id="11"/>
      <w:r w:rsidRPr="00C47CF8">
        <w:rPr>
          <w:rFonts w:ascii="Times New Roman" w:hAnsi="Times New Roman" w:cs="Times New Roman"/>
          <w:sz w:val="24"/>
          <w:szCs w:val="24"/>
        </w:rPr>
        <w:t>divas izklājlapas, kurās ievada datus par projekta alternatīvām bez projekta un ar projektu:</w:t>
      </w:r>
    </w:p>
    <w:p w:rsidRPr="00C47CF8" w:rsidR="00CF06D8" w:rsidP="00CF06D8" w:rsidRDefault="00CF06D8" w14:paraId="40851F69" w14:textId="61DBCDDC">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rsidRPr="00CF06D8" w:rsidR="00CF06D8" w:rsidP="00CF06D8" w:rsidRDefault="00CF06D8" w14:paraId="4E12D610" w14:textId="77777777">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rsidRPr="006768F1" w:rsidR="006768F1" w:rsidP="006768F1" w:rsidRDefault="006768F1" w14:paraId="67FF1449" w14:textId="0B86185C">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Pr="006768F1" w:rsidR="00E80235">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Pr="006768F1" w:rsidR="00E80235">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Pr="006768F1" w:rsidR="00E80235">
        <w:rPr>
          <w:rFonts w:ascii="Times New Roman" w:hAnsi="Times New Roman" w:cs="Times New Roman"/>
          <w:sz w:val="24"/>
          <w:szCs w:val="24"/>
        </w:rPr>
        <w:t>finansiālo ilgtspēju</w:t>
      </w:r>
      <w:r w:rsidRPr="006768F1">
        <w:rPr>
          <w:rFonts w:ascii="Times New Roman" w:hAnsi="Times New Roman" w:cs="Times New Roman"/>
          <w:sz w:val="24"/>
          <w:szCs w:val="24"/>
        </w:rPr>
        <w:t>;</w:t>
      </w:r>
    </w:p>
    <w:p w:rsidRPr="006768F1" w:rsidR="006768F1" w:rsidP="006768F1" w:rsidRDefault="006768F1" w14:paraId="632CD94B" w14:textId="505B813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Pr="00E80235" w:rsidR="00E80235">
        <w:rPr>
          <w:rFonts w:ascii="Times New Roman" w:hAnsi="Times New Roman" w:cs="Times New Roman"/>
          <w:sz w:val="24"/>
          <w:szCs w:val="24"/>
        </w:rPr>
        <w:t xml:space="preserve"> </w:t>
      </w:r>
      <w:r w:rsidRPr="006768F1" w:rsidR="00E80235">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Pr="006768F1" w:rsidR="00E80235">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Pr="006768F1" w:rsidR="00E80235">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rsidRPr="006768F1" w:rsidR="006768F1" w:rsidP="006768F1" w:rsidRDefault="006768F1" w14:paraId="4A98EDA9" w14:textId="79748483">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rsidRPr="00C47CF8" w:rsidR="00DE4327" w:rsidP="00DE4327" w:rsidRDefault="00DE4327" w14:paraId="73171405" w14:textId="179AD133">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rsidR="0068792F" w:rsidP="0068792F" w:rsidRDefault="0068792F" w14:paraId="55972E0E" w14:textId="0DB72D8E">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rsidR="0068792F" w:rsidP="0068792F" w:rsidRDefault="0068792F" w14:paraId="11D85ED6" w14:textId="285E392B">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rsidRPr="001B500B" w:rsidR="00CF06D8" w:rsidP="00DE4327" w:rsidRDefault="0068792F" w14:paraId="4C358826" w14:textId="06BA4D64">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rsidR="009736D3" w:rsidP="00640E74" w:rsidRDefault="00A35D5B" w14:paraId="603FDF44" w14:textId="77777777">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rsidR="00037A55" w:rsidP="00640E74" w:rsidRDefault="00EC5B49" w14:paraId="61224EA0" w14:textId="3D5B8681">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Pr="009736D3" w:rsid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Pr="009736D3" w:rsid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Pr="009736D3" w:rsid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rsidRPr="009736D3" w:rsidR="009736D3" w:rsidP="009736D3" w:rsidRDefault="009736D3" w14:paraId="4C61F23B" w14:textId="77777777">
      <w:pPr>
        <w:rPr>
          <w:rFonts w:ascii="Times New Roman" w:hAnsi="Times New Roman" w:cs="Times New Roman"/>
          <w:sz w:val="24"/>
          <w:szCs w:val="24"/>
        </w:rPr>
      </w:pPr>
    </w:p>
    <w:p w:rsidRPr="00596D47" w:rsidR="00B6764A" w:rsidP="00596D47" w:rsidRDefault="00B6764A" w14:paraId="03CB34E1" w14:textId="6FC3BF7C">
      <w:pPr>
        <w:pStyle w:val="Heading1"/>
        <w:numPr>
          <w:ilvl w:val="1"/>
          <w:numId w:val="32"/>
        </w:numPr>
        <w:ind w:left="993" w:hanging="633"/>
        <w:rPr>
          <w:rFonts w:ascii="Times New Roman" w:hAnsi="Times New Roman" w:cs="Times New Roman"/>
          <w:b/>
          <w:bCs/>
          <w:color w:val="auto"/>
          <w:sz w:val="28"/>
          <w:szCs w:val="28"/>
        </w:rPr>
      </w:pPr>
      <w:bookmarkStart w:name="_Toc177638292" w:id="12"/>
      <w:r w:rsidRPr="00596D47">
        <w:rPr>
          <w:rFonts w:ascii="Times New Roman" w:hAnsi="Times New Roman" w:cs="Times New Roman"/>
          <w:b/>
          <w:bCs/>
          <w:color w:val="auto"/>
          <w:sz w:val="28"/>
          <w:szCs w:val="28"/>
        </w:rPr>
        <w:t>Izmaksu un ieguvumu analīzes aprēķinu izklājlapās norādāmā informācija</w:t>
      </w:r>
      <w:bookmarkEnd w:id="12"/>
    </w:p>
    <w:p w:rsidRPr="00596D47" w:rsidR="009E7D1D" w:rsidP="00596D47" w:rsidRDefault="00D04C6F" w14:paraId="42C18F65" w14:textId="262EEF9D">
      <w:pPr>
        <w:pStyle w:val="Heading1"/>
        <w:numPr>
          <w:ilvl w:val="2"/>
          <w:numId w:val="32"/>
        </w:numPr>
        <w:rPr>
          <w:rFonts w:ascii="Times New Roman" w:hAnsi="Times New Roman" w:cs="Times New Roman"/>
          <w:b/>
          <w:bCs/>
          <w:color w:val="auto"/>
          <w:sz w:val="28"/>
          <w:szCs w:val="28"/>
        </w:rPr>
      </w:pPr>
      <w:bookmarkStart w:name="_Toc177638293" w:id="13"/>
      <w:r w:rsidRPr="00596D47">
        <w:rPr>
          <w:rFonts w:ascii="Times New Roman" w:hAnsi="Times New Roman" w:cs="Times New Roman"/>
          <w:b/>
          <w:bCs/>
          <w:color w:val="auto"/>
          <w:sz w:val="28"/>
          <w:szCs w:val="28"/>
        </w:rPr>
        <w:t>Dati par projektu</w:t>
      </w:r>
      <w:bookmarkEnd w:id="13"/>
    </w:p>
    <w:p w:rsidRPr="00187FF4" w:rsidR="002D31BE" w:rsidP="00187FF4" w:rsidRDefault="002D31BE" w14:paraId="5A24C5E2" w14:textId="67859DEE">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3D30BD"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shd w:val="clear" w:color="auto" w:fill="auto"/>
          </w:tcPr>
          <w:p w:rsidRPr="00B45BE2" w:rsidR="009E7D1D" w:rsidP="007A5C5C" w:rsidRDefault="009E7D1D" w14:paraId="16A6E15F" w14:textId="7777777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B45BE2" w:rsidR="009E7D1D" w:rsidP="007A5C5C" w:rsidRDefault="009E7D1D" w14:paraId="1B20BE86" w14:textId="7777777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Pr="003D30BD" w:rsidR="009E7D1D" w:rsidTr="00B27FAB" w14:paraId="48D4813E"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78150F55" w14:textId="5B569D68">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color w:val="000000"/>
                <w:sz w:val="24"/>
                <w:szCs w:val="24"/>
                <w:lang w:eastAsia="lv-LV"/>
              </w:rPr>
              <w:t>1.1. Projekta iesniedzējs</w:t>
            </w:r>
            <w:r w:rsidR="00D04C6F">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9E7D1D" w14:paraId="5AFA2118" w14:textId="0616F0F7">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sz w:val="24"/>
                <w:szCs w:val="24"/>
                <w:lang w:eastAsia="lv-LV"/>
              </w:rPr>
              <w:t>Norāda projekta iesniedzēj</w:t>
            </w:r>
            <w:r w:rsidR="00D04C6F">
              <w:rPr>
                <w:rFonts w:ascii="Times New Roman" w:hAnsi="Times New Roman" w:eastAsia="Times New Roman" w:cs="Times New Roman"/>
                <w:sz w:val="24"/>
                <w:szCs w:val="24"/>
                <w:lang w:eastAsia="lv-LV"/>
              </w:rPr>
              <w:t>u</w:t>
            </w:r>
          </w:p>
        </w:tc>
      </w:tr>
      <w:tr w:rsidRPr="003D30BD" w:rsidR="009E7D1D" w:rsidTr="00B27FAB" w14:paraId="6AB2113E"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Pr="00B45BE2" w:rsidR="009E7D1D" w:rsidP="007A5C5C" w:rsidRDefault="009E7D1D" w14:paraId="1B6EF41A" w14:textId="0FEB9242">
            <w:pPr>
              <w:spacing w:after="0" w:line="240" w:lineRule="auto"/>
              <w:rPr>
                <w:rFonts w:ascii="Times New Roman" w:hAnsi="Times New Roman" w:eastAsia="Times New Roman" w:cs="Times New Roman"/>
                <w:color w:val="000000"/>
                <w:sz w:val="24"/>
                <w:szCs w:val="24"/>
                <w:lang w:eastAsia="lv-LV"/>
              </w:rPr>
            </w:pPr>
            <w:r w:rsidRPr="00FE0EB9">
              <w:rPr>
                <w:rFonts w:ascii="Times New Roman" w:hAnsi="Times New Roman" w:eastAsia="Times New Roman" w:cs="Times New Roman"/>
                <w:color w:val="000000"/>
                <w:sz w:val="24"/>
                <w:szCs w:val="24"/>
                <w:lang w:eastAsia="lv-LV"/>
              </w:rPr>
              <w:t>1.2. Projekta iesniedzēj</w:t>
            </w:r>
            <w:r w:rsidR="00D04C6F">
              <w:rPr>
                <w:rFonts w:ascii="Times New Roman" w:hAnsi="Times New Roman"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D04C6F" w14:paraId="0A97555A" w14:textId="781367F2">
            <w:pPr>
              <w:spacing w:after="0" w:line="240" w:lineRule="auto"/>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Izvēlnē izvēlas projekta iesniedzēja veidu</w:t>
            </w:r>
          </w:p>
        </w:tc>
      </w:tr>
      <w:tr w:rsidRPr="003D30BD" w:rsidR="009E7D1D" w:rsidTr="00B27FAB" w14:paraId="3C1B35B3"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42BDDEFD" w14:textId="5322288E">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D04C6F">
              <w:rPr>
                <w:rFonts w:ascii="Times New Roman" w:hAnsi="Times New Roman" w:eastAsia="Times New Roman" w:cs="Times New Roman"/>
                <w:color w:val="000000"/>
                <w:sz w:val="24"/>
                <w:szCs w:val="24"/>
                <w:lang w:eastAsia="lv-LV"/>
              </w:rPr>
              <w:t>3</w:t>
            </w:r>
            <w:r w:rsidRPr="00B45BE2">
              <w:rPr>
                <w:rFonts w:ascii="Times New Roman" w:hAnsi="Times New Roman"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9E7D1D" w14:paraId="09206DA6" w14:textId="607AAC32">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sz w:val="24"/>
                <w:szCs w:val="24"/>
                <w:lang w:eastAsia="lv-LV"/>
              </w:rPr>
              <w:t>Norāda projekta nosaukumu</w:t>
            </w:r>
          </w:p>
        </w:tc>
      </w:tr>
      <w:tr w:rsidRPr="003D30BD" w:rsidR="009E7D1D" w:rsidTr="00B27FAB" w14:paraId="0F02A3A4"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7AE7D6EF" w14:textId="4DB7B12C">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D04C6F">
              <w:rPr>
                <w:rFonts w:ascii="Times New Roman" w:hAnsi="Times New Roman" w:eastAsia="Times New Roman" w:cs="Times New Roman"/>
                <w:color w:val="000000"/>
                <w:sz w:val="24"/>
                <w:szCs w:val="24"/>
                <w:lang w:eastAsia="lv-LV"/>
              </w:rPr>
              <w:t>4</w:t>
            </w:r>
            <w:r w:rsidRPr="00B45BE2">
              <w:rPr>
                <w:rFonts w:ascii="Times New Roman" w:hAnsi="Times New Roman" w:eastAsia="Times New Roman" w:cs="Times New Roman"/>
                <w:color w:val="000000"/>
                <w:sz w:val="24"/>
                <w:szCs w:val="24"/>
                <w:lang w:eastAsia="lv-LV"/>
              </w:rPr>
              <w:t xml:space="preserve">. </w:t>
            </w:r>
            <w:r w:rsidR="00D04C6F">
              <w:rPr>
                <w:rFonts w:ascii="Times New Roman" w:hAnsi="Times New Roman" w:eastAsia="Times New Roman" w:cs="Times New Roman"/>
                <w:color w:val="000000"/>
                <w:sz w:val="24"/>
                <w:szCs w:val="24"/>
                <w:lang w:eastAsia="lv-LV"/>
              </w:rPr>
              <w:t>Specifisk</w:t>
            </w:r>
            <w:r w:rsidR="008575D3">
              <w:rPr>
                <w:rFonts w:ascii="Times New Roman" w:hAnsi="Times New Roman" w:eastAsia="Times New Roman" w:cs="Times New Roman"/>
                <w:color w:val="000000"/>
                <w:sz w:val="24"/>
                <w:szCs w:val="24"/>
                <w:lang w:eastAsia="lv-LV"/>
              </w:rPr>
              <w:t>ā</w:t>
            </w:r>
            <w:r w:rsidR="00D04C6F">
              <w:rPr>
                <w:rFonts w:ascii="Times New Roman" w:hAnsi="Times New Roman" w:eastAsia="Times New Roman" w:cs="Times New Roman"/>
                <w:color w:val="000000"/>
                <w:sz w:val="24"/>
                <w:szCs w:val="24"/>
                <w:lang w:eastAsia="lv-LV"/>
              </w:rPr>
              <w:t xml:space="preserve"> atbalsta mērķ</w:t>
            </w:r>
            <w:r w:rsidR="008575D3">
              <w:rPr>
                <w:rFonts w:ascii="Times New Roman" w:hAnsi="Times New Roman" w:eastAsia="Times New Roman" w:cs="Times New Roman"/>
                <w:color w:val="000000"/>
                <w:sz w:val="24"/>
                <w:szCs w:val="24"/>
                <w:lang w:eastAsia="lv-LV"/>
              </w:rPr>
              <w:t>a pasākums</w:t>
            </w:r>
            <w:r w:rsidR="00D04C6F">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B45BE2" w:rsidR="009E7D1D" w:rsidP="007A5C5C" w:rsidRDefault="00D04C6F" w14:paraId="2B2D96E5" w14:textId="406A603C">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sz w:val="24"/>
                <w:szCs w:val="24"/>
                <w:lang w:eastAsia="lv-LV"/>
              </w:rPr>
              <w:t>Izvēlnē izvēlas projektam atbilstošu spe</w:t>
            </w:r>
            <w:r w:rsidR="00B27FAB">
              <w:rPr>
                <w:rFonts w:ascii="Times New Roman" w:hAnsi="Times New Roman" w:eastAsia="Times New Roman" w:cs="Times New Roman"/>
                <w:sz w:val="24"/>
                <w:szCs w:val="24"/>
                <w:lang w:eastAsia="lv-LV"/>
              </w:rPr>
              <w:t>cifisk</w:t>
            </w:r>
            <w:r w:rsidR="00D36D3D">
              <w:rPr>
                <w:rFonts w:ascii="Times New Roman" w:hAnsi="Times New Roman" w:eastAsia="Times New Roman" w:cs="Times New Roman"/>
                <w:sz w:val="24"/>
                <w:szCs w:val="24"/>
                <w:lang w:eastAsia="lv-LV"/>
              </w:rPr>
              <w:t>ā</w:t>
            </w:r>
            <w:r w:rsidR="00B27FAB">
              <w:rPr>
                <w:rFonts w:ascii="Times New Roman" w:hAnsi="Times New Roman" w:eastAsia="Times New Roman" w:cs="Times New Roman"/>
                <w:sz w:val="24"/>
                <w:szCs w:val="24"/>
                <w:lang w:eastAsia="lv-LV"/>
              </w:rPr>
              <w:t xml:space="preserve"> atbalsta mērķ</w:t>
            </w:r>
            <w:r w:rsidR="00D36D3D">
              <w:rPr>
                <w:rFonts w:ascii="Times New Roman" w:hAnsi="Times New Roman" w:eastAsia="Times New Roman" w:cs="Times New Roman"/>
                <w:sz w:val="24"/>
                <w:szCs w:val="24"/>
                <w:lang w:eastAsia="lv-LV"/>
              </w:rPr>
              <w:t>a pasākumu</w:t>
            </w:r>
          </w:p>
        </w:tc>
      </w:tr>
      <w:tr w:rsidRPr="003D30BD" w:rsidR="009E7D1D" w:rsidTr="00B27FAB" w14:paraId="50AF2BB6"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1D8C97D7" w14:textId="14073B42">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913EF7">
              <w:rPr>
                <w:rFonts w:ascii="Times New Roman" w:hAnsi="Times New Roman" w:eastAsia="Times New Roman" w:cs="Times New Roman"/>
                <w:color w:val="000000"/>
                <w:sz w:val="24"/>
                <w:szCs w:val="24"/>
                <w:lang w:eastAsia="lv-LV"/>
              </w:rPr>
              <w:t>5</w:t>
            </w:r>
            <w:r w:rsidRPr="00B45BE2">
              <w:rPr>
                <w:rFonts w:ascii="Times New Roman" w:hAnsi="Times New Roman" w:eastAsia="Times New Roman" w:cs="Times New Roman"/>
                <w:color w:val="000000"/>
                <w:sz w:val="24"/>
                <w:szCs w:val="24"/>
                <w:lang w:eastAsia="lv-LV"/>
              </w:rPr>
              <w:t xml:space="preserve">. Projekta </w:t>
            </w:r>
            <w:r w:rsidR="00B27FAB">
              <w:rPr>
                <w:rFonts w:ascii="Times New Roman" w:hAnsi="Times New Roman" w:eastAsia="Times New Roman" w:cs="Times New Roman"/>
                <w:color w:val="000000"/>
                <w:sz w:val="24"/>
                <w:szCs w:val="24"/>
                <w:lang w:eastAsia="lv-LV"/>
              </w:rPr>
              <w:t>uzsākšanas datums</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7A5C5C" w:rsidRDefault="00B27FAB" w14:paraId="35A9DDCF" w14:textId="254A8219">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Izvēlnē izvēlas projekta uzsākšanas datumu mēnesi un gadu</w:t>
            </w:r>
          </w:p>
        </w:tc>
      </w:tr>
      <w:tr w:rsidRPr="003D30BD" w:rsidR="009E7D1D" w:rsidTr="00B27FAB" w14:paraId="5ABA2DE1"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6B2CB2F7" w14:textId="64D660D5">
            <w:pPr>
              <w:spacing w:after="0" w:line="240" w:lineRule="auto"/>
              <w:rPr>
                <w:rFonts w:ascii="Times New Roman" w:hAnsi="Times New Roman" w:eastAsia="Times New Roman" w:cs="Times New Roman"/>
                <w:color w:val="000000"/>
                <w:sz w:val="24"/>
                <w:szCs w:val="24"/>
                <w:lang w:eastAsia="lv-LV"/>
              </w:rPr>
            </w:pPr>
            <w:r w:rsidRPr="00B45BE2">
              <w:rPr>
                <w:rFonts w:ascii="Times New Roman" w:hAnsi="Times New Roman" w:eastAsia="Times New Roman" w:cs="Times New Roman"/>
                <w:color w:val="000000"/>
                <w:sz w:val="24"/>
                <w:szCs w:val="24"/>
                <w:lang w:eastAsia="lv-LV"/>
              </w:rPr>
              <w:t>1.</w:t>
            </w:r>
            <w:r w:rsidR="00913EF7">
              <w:rPr>
                <w:rFonts w:ascii="Times New Roman" w:hAnsi="Times New Roman" w:eastAsia="Times New Roman" w:cs="Times New Roman"/>
                <w:color w:val="000000"/>
                <w:sz w:val="24"/>
                <w:szCs w:val="24"/>
                <w:lang w:eastAsia="lv-LV"/>
              </w:rPr>
              <w:t>6</w:t>
            </w:r>
            <w:r w:rsidRPr="00B45BE2">
              <w:rPr>
                <w:rFonts w:ascii="Times New Roman" w:hAnsi="Times New Roman" w:eastAsia="Times New Roman" w:cs="Times New Roman"/>
                <w:color w:val="000000"/>
                <w:sz w:val="24"/>
                <w:szCs w:val="24"/>
                <w:lang w:eastAsia="lv-LV"/>
              </w:rPr>
              <w:t>. P</w:t>
            </w:r>
            <w:r w:rsidR="00B27FAB">
              <w:rPr>
                <w:rFonts w:ascii="Times New Roman" w:hAnsi="Times New Roman" w:eastAsia="Times New Roman" w:cs="Times New Roman"/>
                <w:color w:val="000000"/>
                <w:sz w:val="24"/>
                <w:szCs w:val="24"/>
                <w:lang w:eastAsia="lv-LV"/>
              </w:rPr>
              <w:t>rojekta iesniegšanas datums</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7A5C5C" w:rsidRDefault="00B27FAB" w14:paraId="2CDAA35F" w14:textId="0C5D6DBF">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Izvēlnē izvēlas projekta iesniegšanas datumu mēnesi un gadu</w:t>
            </w:r>
          </w:p>
        </w:tc>
      </w:tr>
      <w:tr w:rsidRPr="003D30BD" w:rsidR="009E7D1D" w:rsidTr="00B27FAB" w14:paraId="38397932"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hideMark/>
          </w:tcPr>
          <w:p w:rsidRPr="00B45BE2" w:rsidR="009E7D1D" w:rsidP="007A5C5C" w:rsidRDefault="009E7D1D" w14:paraId="337EFDAF" w14:textId="3437BF71">
            <w:pPr>
              <w:spacing w:after="0" w:line="240" w:lineRule="auto"/>
              <w:rPr>
                <w:rFonts w:ascii="Times New Roman" w:hAnsi="Times New Roman" w:eastAsia="Times New Roman" w:cs="Times New Roman"/>
                <w:color w:val="000000"/>
                <w:sz w:val="24"/>
                <w:szCs w:val="24"/>
                <w:lang w:eastAsia="lv-LV"/>
              </w:rPr>
            </w:pPr>
            <w:r>
              <w:rPr>
                <w:rFonts w:ascii="Times New Roman" w:hAnsi="Times New Roman" w:eastAsia="Times New Roman" w:cs="Times New Roman"/>
                <w:color w:val="000000"/>
                <w:sz w:val="24"/>
                <w:szCs w:val="24"/>
                <w:lang w:eastAsia="lv-LV"/>
              </w:rPr>
              <w:t>1.</w:t>
            </w:r>
            <w:r w:rsidR="00913EF7">
              <w:rPr>
                <w:rFonts w:ascii="Times New Roman" w:hAnsi="Times New Roman" w:eastAsia="Times New Roman" w:cs="Times New Roman"/>
                <w:color w:val="000000"/>
                <w:sz w:val="24"/>
                <w:szCs w:val="24"/>
                <w:lang w:eastAsia="lv-LV"/>
              </w:rPr>
              <w:t>7</w:t>
            </w:r>
            <w:r w:rsidRPr="00B45BE2">
              <w:rPr>
                <w:rFonts w:ascii="Times New Roman" w:hAnsi="Times New Roman" w:eastAsia="Times New Roman" w:cs="Times New Roman"/>
                <w:color w:val="000000"/>
                <w:sz w:val="24"/>
                <w:szCs w:val="24"/>
                <w:lang w:eastAsia="lv-LV"/>
              </w:rPr>
              <w:t xml:space="preserve">. </w:t>
            </w:r>
            <w:r w:rsidR="00ED00CC">
              <w:rPr>
                <w:rFonts w:ascii="Times New Roman" w:hAnsi="Times New Roman" w:eastAsia="Times New Roman" w:cs="Times New Roman"/>
                <w:color w:val="000000"/>
                <w:sz w:val="24"/>
                <w:szCs w:val="24"/>
                <w:lang w:eastAsia="lv-LV"/>
              </w:rPr>
              <w:t>Nozare</w:t>
            </w:r>
            <w:r w:rsidRPr="00B45BE2">
              <w:rPr>
                <w:rFonts w:ascii="Times New Roman" w:hAnsi="Times New Roman"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B45BE2" w:rsidR="009E7D1D" w:rsidP="008E7ED8" w:rsidRDefault="00CC75A4" w14:paraId="29D70076" w14:textId="6B11C265">
            <w:pPr>
              <w:spacing w:after="0" w:line="240" w:lineRule="auto"/>
              <w:rPr>
                <w:rFonts w:ascii="Times New Roman" w:hAnsi="Times New Roman" w:eastAsia="Times New Roman" w:cs="Times New Roman"/>
                <w:color w:val="000000"/>
                <w:sz w:val="24"/>
                <w:szCs w:val="24"/>
                <w:lang w:eastAsia="lv-LV"/>
              </w:rPr>
            </w:pPr>
            <w:r w:rsidRPr="00CC75A4">
              <w:rPr>
                <w:rFonts w:ascii="Times New Roman" w:hAnsi="Times New Roman" w:eastAsia="Times New Roman" w:cs="Times New Roman"/>
                <w:sz w:val="24"/>
                <w:szCs w:val="24"/>
                <w:lang w:eastAsia="lv-LV"/>
              </w:rPr>
              <w:t>Izvēlnē izvēlas projektam atbilstošu nozari  - Atkritumu apsaimniekošana</w:t>
            </w:r>
          </w:p>
        </w:tc>
      </w:tr>
      <w:tr w:rsidRPr="003D30BD" w:rsidR="009E7D1D" w:rsidTr="00B27FAB" w14:paraId="60947529"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009E7D1D" w:rsidP="007A5C5C" w:rsidRDefault="009E7D1D" w14:paraId="0FEB5433" w14:textId="0A2513BE">
            <w:pPr>
              <w:spacing w:after="0" w:line="240" w:lineRule="auto"/>
              <w:rPr>
                <w:rFonts w:ascii="Times New Roman" w:hAnsi="Times New Roman" w:eastAsia="Times New Roman" w:cs="Times New Roman"/>
                <w:color w:val="000000"/>
                <w:sz w:val="24"/>
                <w:szCs w:val="24"/>
                <w:lang w:eastAsia="lv-LV"/>
              </w:rPr>
            </w:pPr>
            <w:r w:rsidRPr="002B6A64">
              <w:rPr>
                <w:rFonts w:ascii="Times New Roman" w:hAnsi="Times New Roman" w:eastAsia="Times New Roman" w:cs="Times New Roman"/>
                <w:color w:val="000000"/>
                <w:sz w:val="24"/>
                <w:szCs w:val="24"/>
                <w:lang w:eastAsia="lv-LV"/>
              </w:rPr>
              <w:t>1.</w:t>
            </w:r>
            <w:r w:rsidR="00913EF7">
              <w:rPr>
                <w:rFonts w:ascii="Times New Roman" w:hAnsi="Times New Roman" w:eastAsia="Times New Roman" w:cs="Times New Roman"/>
                <w:color w:val="000000"/>
                <w:sz w:val="24"/>
                <w:szCs w:val="24"/>
                <w:lang w:eastAsia="lv-LV"/>
              </w:rPr>
              <w:t>8</w:t>
            </w:r>
            <w:r w:rsidRPr="002B6A64">
              <w:rPr>
                <w:rFonts w:ascii="Times New Roman" w:hAnsi="Times New Roman" w:eastAsia="Times New Roman" w:cs="Times New Roman"/>
                <w:color w:val="000000"/>
                <w:sz w:val="24"/>
                <w:szCs w:val="24"/>
                <w:lang w:eastAsia="lv-LV"/>
              </w:rPr>
              <w:t xml:space="preserve">. </w:t>
            </w:r>
            <w:r w:rsidR="006B48B3">
              <w:rPr>
                <w:rFonts w:ascii="Times New Roman" w:hAnsi="Times New Roman" w:eastAsia="Times New Roman" w:cs="Times New Roman"/>
                <w:color w:val="000000"/>
                <w:sz w:val="24"/>
                <w:szCs w:val="24"/>
                <w:lang w:eastAsia="lv-LV"/>
              </w:rPr>
              <w:t>Pārskata periods (projekta dzīves cikls) (gadi):</w:t>
            </w:r>
            <w:r w:rsidRPr="002B6A64">
              <w:rPr>
                <w:rFonts w:ascii="Times New Roman" w:hAnsi="Times New Roman" w:eastAsia="Times New Roman" w:cs="Times New Roman"/>
                <w:color w:val="000000"/>
                <w:sz w:val="24"/>
                <w:szCs w:val="24"/>
                <w:lang w:eastAsia="lv-LV"/>
              </w:rPr>
              <w:t xml:space="preserve"> </w:t>
            </w:r>
          </w:p>
        </w:tc>
        <w:tc>
          <w:tcPr>
            <w:tcW w:w="5528" w:type="dxa"/>
            <w:tcBorders>
              <w:top w:val="nil"/>
              <w:left w:val="single" w:color="auto" w:sz="4" w:space="0"/>
              <w:bottom w:val="single" w:color="auto" w:sz="4" w:space="0"/>
              <w:right w:val="single" w:color="auto" w:sz="4" w:space="0"/>
            </w:tcBorders>
          </w:tcPr>
          <w:p w:rsidRPr="00B45BE2" w:rsidR="009E7D1D" w:rsidP="007A5C5C" w:rsidRDefault="00913EF7" w14:paraId="5209E49E" w14:textId="4B006736">
            <w:pPr>
              <w:spacing w:after="0" w:line="240" w:lineRule="auto"/>
              <w:rPr>
                <w:rFonts w:ascii="Times New Roman" w:hAnsi="Times New Roman" w:eastAsia="Times New Roman" w:cs="Times New Roman"/>
                <w:sz w:val="24"/>
                <w:szCs w:val="24"/>
                <w:lang w:eastAsia="lv-LV"/>
              </w:rPr>
            </w:pPr>
            <w:r w:rsidRPr="00913EF7">
              <w:rPr>
                <w:rFonts w:ascii="Times New Roman" w:hAnsi="Times New Roman" w:eastAsia="Times New Roman" w:cs="Times New Roman"/>
                <w:sz w:val="24"/>
                <w:szCs w:val="24"/>
                <w:lang w:eastAsia="lv-LV"/>
              </w:rPr>
              <w:t>Norādi projekta pārskata periodu – 10 gadi</w:t>
            </w:r>
          </w:p>
        </w:tc>
      </w:tr>
      <w:tr w:rsidRPr="003D30BD" w:rsidR="009E7D1D" w:rsidTr="00B27FAB" w14:paraId="24C611F3" w14:textId="77777777">
        <w:trPr>
          <w:trHeight w:val="255"/>
        </w:trPr>
        <w:tc>
          <w:tcPr>
            <w:tcW w:w="3539" w:type="dxa"/>
            <w:tcBorders>
              <w:top w:val="nil"/>
              <w:left w:val="single" w:color="auto" w:sz="4" w:space="0"/>
              <w:bottom w:val="single" w:color="auto" w:sz="4" w:space="0"/>
              <w:right w:val="single" w:color="auto" w:sz="4" w:space="0"/>
            </w:tcBorders>
            <w:shd w:val="clear" w:color="auto" w:fill="auto"/>
            <w:noWrap/>
            <w:vAlign w:val="bottom"/>
          </w:tcPr>
          <w:p w:rsidR="009E7D1D" w:rsidP="007A5C5C" w:rsidRDefault="009E7D1D" w14:paraId="3A5F9816" w14:textId="1BDF0339">
            <w:pPr>
              <w:spacing w:after="0" w:line="240" w:lineRule="auto"/>
              <w:rPr>
                <w:rFonts w:ascii="Times New Roman" w:hAnsi="Times New Roman" w:eastAsia="Times New Roman" w:cs="Times New Roman"/>
                <w:color w:val="000000"/>
                <w:sz w:val="24"/>
                <w:szCs w:val="24"/>
                <w:lang w:eastAsia="lv-LV"/>
              </w:rPr>
            </w:pPr>
            <w:r w:rsidRPr="002B6A64">
              <w:rPr>
                <w:rFonts w:ascii="Times New Roman" w:hAnsi="Times New Roman" w:eastAsia="Times New Roman" w:cs="Times New Roman"/>
                <w:color w:val="000000"/>
                <w:sz w:val="24"/>
                <w:szCs w:val="24"/>
                <w:lang w:eastAsia="lv-LV"/>
              </w:rPr>
              <w:t>1.</w:t>
            </w:r>
            <w:r w:rsidR="00913EF7">
              <w:rPr>
                <w:rFonts w:ascii="Times New Roman" w:hAnsi="Times New Roman" w:eastAsia="Times New Roman" w:cs="Times New Roman"/>
                <w:color w:val="000000"/>
                <w:sz w:val="24"/>
                <w:szCs w:val="24"/>
                <w:lang w:eastAsia="lv-LV"/>
              </w:rPr>
              <w:t>9</w:t>
            </w:r>
            <w:r w:rsidRPr="002B6A64">
              <w:rPr>
                <w:rFonts w:ascii="Times New Roman" w:hAnsi="Times New Roman" w:eastAsia="Times New Roman" w:cs="Times New Roman"/>
                <w:color w:val="000000"/>
                <w:sz w:val="24"/>
                <w:szCs w:val="24"/>
                <w:lang w:eastAsia="lv-LV"/>
              </w:rPr>
              <w:t>.</w:t>
            </w:r>
            <w:r w:rsidR="000C4C22">
              <w:rPr>
                <w:rFonts w:ascii="Times New Roman" w:hAnsi="Times New Roman" w:eastAsia="Times New Roman" w:cs="Times New Roman"/>
                <w:color w:val="000000"/>
                <w:sz w:val="24"/>
                <w:szCs w:val="24"/>
                <w:lang w:eastAsia="lv-LV"/>
              </w:rPr>
              <w:t xml:space="preserve"> N</w:t>
            </w:r>
            <w:r w:rsidR="006B48B3">
              <w:rPr>
                <w:rFonts w:ascii="Times New Roman" w:hAnsi="Times New Roman" w:eastAsia="Times New Roman" w:cs="Times New Roman"/>
                <w:color w:val="000000"/>
                <w:sz w:val="24"/>
                <w:szCs w:val="24"/>
                <w:lang w:eastAsia="lv-LV"/>
              </w:rPr>
              <w:t>oteiktais ma</w:t>
            </w:r>
            <w:r w:rsidR="00D2613E">
              <w:rPr>
                <w:rFonts w:ascii="Times New Roman" w:hAnsi="Times New Roman" w:eastAsia="Times New Roman" w:cs="Times New Roman"/>
                <w:color w:val="000000"/>
                <w:sz w:val="24"/>
                <w:szCs w:val="24"/>
                <w:lang w:eastAsia="lv-LV"/>
              </w:rPr>
              <w:t>ksimālais</w:t>
            </w:r>
            <w:r w:rsidR="006B48B3">
              <w:rPr>
                <w:rFonts w:ascii="Times New Roman" w:hAnsi="Times New Roman" w:eastAsia="Times New Roman" w:cs="Times New Roman"/>
                <w:color w:val="000000"/>
                <w:sz w:val="24"/>
                <w:szCs w:val="24"/>
                <w:lang w:eastAsia="lv-LV"/>
              </w:rPr>
              <w:t xml:space="preserve"> projekta īstenošanas ilgums</w:t>
            </w:r>
          </w:p>
        </w:tc>
        <w:tc>
          <w:tcPr>
            <w:tcW w:w="5528" w:type="dxa"/>
            <w:tcBorders>
              <w:top w:val="nil"/>
              <w:left w:val="single" w:color="auto" w:sz="4" w:space="0"/>
              <w:bottom w:val="single" w:color="auto" w:sz="4" w:space="0"/>
              <w:right w:val="single" w:color="auto" w:sz="4" w:space="0"/>
            </w:tcBorders>
          </w:tcPr>
          <w:p w:rsidRPr="00B45BE2" w:rsidR="009E7D1D" w:rsidP="007A5C5C" w:rsidRDefault="006B48B3" w14:paraId="005A56F1" w14:textId="1AEEA504">
            <w:pPr>
              <w:spacing w:after="0" w:line="240" w:lineRule="auto"/>
              <w:rPr>
                <w:rFonts w:ascii="Times New Roman" w:hAnsi="Times New Roman" w:eastAsia="Times New Roman" w:cs="Times New Roman"/>
                <w:sz w:val="24"/>
                <w:szCs w:val="24"/>
                <w:lang w:eastAsia="lv-LV"/>
              </w:rPr>
            </w:pPr>
            <w:r w:rsidRPr="006B48B3">
              <w:rPr>
                <w:rFonts w:ascii="Times New Roman" w:hAnsi="Times New Roman" w:eastAsia="Times New Roman" w:cs="Times New Roman"/>
                <w:sz w:val="24"/>
                <w:szCs w:val="24"/>
                <w:lang w:eastAsia="lv-LV"/>
              </w:rPr>
              <w:t xml:space="preserve">Izvēlnē izvēlas </w:t>
            </w:r>
            <w:r>
              <w:rPr>
                <w:rFonts w:ascii="Times New Roman" w:hAnsi="Times New Roman" w:eastAsia="Times New Roman" w:cs="Times New Roman"/>
                <w:sz w:val="24"/>
                <w:szCs w:val="24"/>
                <w:lang w:eastAsia="lv-LV"/>
              </w:rPr>
              <w:t xml:space="preserve">MK noteikumos </w:t>
            </w:r>
            <w:r w:rsidR="004F6137">
              <w:rPr>
                <w:rFonts w:ascii="Times New Roman" w:hAnsi="Times New Roman" w:eastAsia="Times New Roman" w:cs="Times New Roman"/>
                <w:sz w:val="24"/>
                <w:szCs w:val="24"/>
                <w:lang w:eastAsia="lv-LV"/>
              </w:rPr>
              <w:t>noteikto ma</w:t>
            </w:r>
            <w:r w:rsidR="00C42903">
              <w:rPr>
                <w:rFonts w:ascii="Times New Roman" w:hAnsi="Times New Roman" w:eastAsia="Times New Roman" w:cs="Times New Roman"/>
                <w:sz w:val="24"/>
                <w:szCs w:val="24"/>
                <w:lang w:eastAsia="lv-LV"/>
              </w:rPr>
              <w:t>ksimāli</w:t>
            </w:r>
            <w:r w:rsidR="004F6137">
              <w:rPr>
                <w:rFonts w:ascii="Times New Roman" w:hAnsi="Times New Roman" w:eastAsia="Times New Roman" w:cs="Times New Roman"/>
                <w:sz w:val="24"/>
                <w:szCs w:val="24"/>
                <w:lang w:eastAsia="lv-LV"/>
              </w:rPr>
              <w:t xml:space="preserve"> iespējamo </w:t>
            </w:r>
            <w:r w:rsidRPr="006B48B3">
              <w:rPr>
                <w:rFonts w:ascii="Times New Roman" w:hAnsi="Times New Roman" w:eastAsia="Times New Roman" w:cs="Times New Roman"/>
                <w:sz w:val="24"/>
                <w:szCs w:val="24"/>
                <w:lang w:eastAsia="lv-LV"/>
              </w:rPr>
              <w:t xml:space="preserve">projekta </w:t>
            </w:r>
            <w:r w:rsidR="004F6137">
              <w:rPr>
                <w:rFonts w:ascii="Times New Roman" w:hAnsi="Times New Roman" w:eastAsia="Times New Roman" w:cs="Times New Roman"/>
                <w:sz w:val="24"/>
                <w:szCs w:val="24"/>
                <w:lang w:eastAsia="lv-LV"/>
              </w:rPr>
              <w:t>īstenošanas</w:t>
            </w:r>
            <w:r w:rsidRPr="006B48B3">
              <w:rPr>
                <w:rFonts w:ascii="Times New Roman" w:hAnsi="Times New Roman" w:eastAsia="Times New Roman" w:cs="Times New Roman"/>
                <w:sz w:val="24"/>
                <w:szCs w:val="24"/>
                <w:lang w:eastAsia="lv-LV"/>
              </w:rPr>
              <w:t xml:space="preserve"> gadu</w:t>
            </w:r>
          </w:p>
        </w:tc>
      </w:tr>
    </w:tbl>
    <w:p w:rsidR="00037A55" w:rsidP="00037A55" w:rsidRDefault="00037A55" w14:paraId="5AB01AB5" w14:textId="77777777">
      <w:pPr>
        <w:jc w:val="both"/>
        <w:rPr>
          <w:rFonts w:ascii="Times New Roman" w:hAnsi="Times New Roman" w:cs="Times New Roman"/>
          <w:sz w:val="24"/>
          <w:szCs w:val="24"/>
        </w:rPr>
      </w:pPr>
    </w:p>
    <w:p w:rsidR="00037A55" w:rsidP="00037A55" w:rsidRDefault="00037A55" w14:paraId="7A52CF27" w14:textId="55E20394">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rsidR="00037A55" w:rsidP="00187FF4" w:rsidRDefault="00037A55" w14:paraId="0840AB00" w14:textId="77777777">
      <w:pPr>
        <w:jc w:val="both"/>
        <w:rPr>
          <w:rFonts w:ascii="Times New Roman" w:hAnsi="Times New Roman" w:cs="Times New Roman"/>
          <w:sz w:val="24"/>
          <w:szCs w:val="24"/>
        </w:rPr>
      </w:pPr>
    </w:p>
    <w:p w:rsidR="006B48B3" w:rsidP="00187FF4" w:rsidRDefault="004F6137" w14:paraId="4718472B" w14:textId="070C8143">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rsidRPr="008E0762" w:rsidR="004F6137" w:rsidP="008E0762" w:rsidRDefault="004F6137" w14:paraId="53C30C50" w14:textId="2CEB51DC">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rsidR="00BA6FB9" w:rsidP="00C44095" w:rsidRDefault="009E7D1D" w14:paraId="78FD5CF1" w14:textId="685D7C06">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rsidRPr="00596D47" w:rsidR="0060686B" w:rsidP="00596D47" w:rsidRDefault="0060686B" w14:paraId="343A34C8" w14:textId="7544BD8C">
      <w:pPr>
        <w:pStyle w:val="Heading1"/>
        <w:numPr>
          <w:ilvl w:val="2"/>
          <w:numId w:val="32"/>
        </w:numPr>
        <w:rPr>
          <w:rFonts w:ascii="Times New Roman" w:hAnsi="Times New Roman" w:cs="Times New Roman"/>
          <w:b/>
          <w:bCs/>
          <w:color w:val="auto"/>
          <w:sz w:val="28"/>
          <w:szCs w:val="28"/>
        </w:rPr>
      </w:pPr>
      <w:bookmarkStart w:name="_Toc177638294" w:id="14"/>
      <w:r w:rsidRPr="00596D47">
        <w:rPr>
          <w:rFonts w:ascii="Times New Roman" w:hAnsi="Times New Roman" w:cs="Times New Roman"/>
          <w:b/>
          <w:bCs/>
          <w:color w:val="auto"/>
          <w:sz w:val="28"/>
          <w:szCs w:val="28"/>
        </w:rPr>
        <w:lastRenderedPageBreak/>
        <w:t xml:space="preserve">Projekta </w:t>
      </w:r>
      <w:r w:rsidRPr="00596D47" w:rsidR="00E16E23">
        <w:rPr>
          <w:rFonts w:ascii="Times New Roman" w:hAnsi="Times New Roman" w:cs="Times New Roman"/>
          <w:b/>
          <w:bCs/>
          <w:color w:val="auto"/>
          <w:sz w:val="28"/>
          <w:szCs w:val="28"/>
        </w:rPr>
        <w:t>investīciju izmaksas</w:t>
      </w:r>
      <w:bookmarkEnd w:id="14"/>
    </w:p>
    <w:p w:rsidR="00761D4F" w:rsidP="003F7DE7" w:rsidRDefault="008C5819" w14:paraId="057E0BDB" w14:textId="77777777">
      <w:pPr>
        <w:jc w:val="both"/>
      </w:pPr>
      <w:r>
        <w:rPr>
          <w:rFonts w:ascii="Times New Roman" w:hAnsi="Times New Roman" w:cs="Times New Roman"/>
          <w:sz w:val="24"/>
          <w:szCs w:val="24"/>
        </w:rPr>
        <w:t>Izklāj</w:t>
      </w:r>
      <w:r w:rsidRPr="003F7DE7" w:rsidR="002D31BE">
        <w:rPr>
          <w:rFonts w:ascii="Times New Roman" w:hAnsi="Times New Roman" w:cs="Times New Roman"/>
          <w:sz w:val="24"/>
          <w:szCs w:val="24"/>
        </w:rPr>
        <w:t>lapā</w:t>
      </w:r>
      <w:r w:rsidR="009E35DB">
        <w:rPr>
          <w:rFonts w:ascii="Times New Roman" w:hAnsi="Times New Roman" w:cs="Times New Roman"/>
          <w:sz w:val="24"/>
          <w:szCs w:val="24"/>
        </w:rPr>
        <w:t xml:space="preserve"> </w:t>
      </w:r>
      <w:r w:rsidRPr="003F7DE7" w:rsidR="00F00566">
        <w:rPr>
          <w:rFonts w:ascii="Times New Roman" w:hAnsi="Times New Roman" w:cs="Times New Roman"/>
          <w:sz w:val="24"/>
          <w:szCs w:val="24"/>
        </w:rPr>
        <w:t xml:space="preserve">1.1.B.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Pr="007D46B9" w:rsidR="007D46B9">
        <w:rPr>
          <w:rFonts w:ascii="Times New Roman" w:hAnsi="Times New Roman" w:cs="Times New Roman"/>
          <w:sz w:val="24"/>
          <w:szCs w:val="24"/>
        </w:rPr>
        <w:t>(pašvaldība vai tās iestāde, pašvaldības kapitālsabiedrība)</w:t>
      </w:r>
      <w:r w:rsidR="007D46B9">
        <w:rPr>
          <w:rFonts w:ascii="Times New Roman" w:hAnsi="Times New Roman" w:cs="Times New Roman"/>
          <w:sz w:val="24"/>
          <w:szCs w:val="24"/>
        </w:rPr>
        <w:t xml:space="preserve"> projektā plānotajām investīciju izmaksām.</w:t>
      </w:r>
      <w:r w:rsidRPr="00061ABE" w:rsidR="00061ABE">
        <w:t xml:space="preserve"> </w:t>
      </w:r>
    </w:p>
    <w:p w:rsidR="003F7DE7" w:rsidP="003F7DE7" w:rsidRDefault="00061ABE" w14:paraId="24E774E9" w14:textId="086428CE">
      <w:pPr>
        <w:jc w:val="both"/>
        <w:rPr>
          <w:rFonts w:ascii="Times New Roman" w:hAnsi="Times New Roman" w:cs="Times New Roman"/>
          <w:sz w:val="24"/>
          <w:szCs w:val="24"/>
        </w:rPr>
      </w:pPr>
      <w:r w:rsidRPr="00BF02BD">
        <w:rPr>
          <w:rFonts w:ascii="Times New Roman" w:hAnsi="Times New Roman" w:cs="Times New Roman"/>
          <w:b/>
          <w:bCs/>
          <w:sz w:val="24"/>
          <w:szCs w:val="24"/>
        </w:rPr>
        <w:t>I</w:t>
      </w:r>
      <w:r w:rsidRPr="00BF02BD" w:rsidR="00BF02BD">
        <w:rPr>
          <w:rFonts w:ascii="Times New Roman" w:hAnsi="Times New Roman" w:cs="Times New Roman"/>
          <w:b/>
          <w:bCs/>
          <w:sz w:val="24"/>
          <w:szCs w:val="24"/>
        </w:rPr>
        <w:t>nvestīciju izmaksas</w:t>
      </w:r>
      <w:r w:rsidRPr="00BF02BD">
        <w:rPr>
          <w:rFonts w:ascii="Times New Roman" w:hAnsi="Times New Roman" w:cs="Times New Roman"/>
          <w:b/>
          <w:bCs/>
          <w:sz w:val="24"/>
          <w:szCs w:val="24"/>
        </w:rPr>
        <w:t xml:space="preserve"> norāda kā pozitīvas vērtības (piemēram, 2</w:t>
      </w:r>
      <w:r w:rsidRPr="00BF02BD" w:rsidR="00BF02BD">
        <w:rPr>
          <w:rFonts w:ascii="Times New Roman" w:hAnsi="Times New Roman" w:cs="Times New Roman"/>
          <w:b/>
          <w:bCs/>
          <w:sz w:val="24"/>
          <w:szCs w:val="24"/>
        </w:rPr>
        <w:t xml:space="preserve">00 </w:t>
      </w:r>
      <w:r w:rsidRPr="00BF02BD">
        <w:rPr>
          <w:rFonts w:ascii="Times New Roman" w:hAnsi="Times New Roman" w:cs="Times New Roman"/>
          <w:b/>
          <w:bCs/>
          <w:sz w:val="24"/>
          <w:szCs w:val="24"/>
        </w:rPr>
        <w:t>000,00).</w:t>
      </w:r>
    </w:p>
    <w:p w:rsidR="00213942" w:rsidP="00895676" w:rsidRDefault="00213942" w14:paraId="5A0B8EC1" w14:textId="23096F82">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w:t>
      </w:r>
      <w:r>
        <w:rPr>
          <w:rFonts w:ascii="Times New Roman" w:hAnsi="Times New Roman" w:cs="Times New Roman"/>
          <w:sz w:val="24"/>
          <w:szCs w:val="24"/>
        </w:rPr>
        <w:t xml:space="preserve"> </w:t>
      </w:r>
      <w:r w:rsidRPr="003F7DE7">
        <w:rPr>
          <w:rFonts w:ascii="Times New Roman" w:hAnsi="Times New Roman" w:cs="Times New Roman"/>
          <w:sz w:val="24"/>
          <w:szCs w:val="24"/>
        </w:rPr>
        <w:t>1.1.B.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w:t>
      </w:r>
      <w:r>
        <w:rPr>
          <w:rFonts w:ascii="Times New Roman" w:hAnsi="Times New Roman" w:cs="Times New Roman"/>
          <w:sz w:val="24"/>
          <w:szCs w:val="24"/>
        </w:rPr>
        <w:t>projekta i</w:t>
      </w:r>
      <w:r w:rsidRPr="004D19CA">
        <w:rPr>
          <w:rFonts w:ascii="Times New Roman" w:hAnsi="Times New Roman" w:cs="Times New Roman"/>
          <w:sz w:val="24"/>
          <w:szCs w:val="24"/>
        </w:rPr>
        <w:t>zmaks</w:t>
      </w:r>
      <w:r>
        <w:rPr>
          <w:rFonts w:ascii="Times New Roman" w:hAnsi="Times New Roman" w:cs="Times New Roman"/>
          <w:sz w:val="24"/>
          <w:szCs w:val="24"/>
        </w:rPr>
        <w:t>ām</w:t>
      </w:r>
      <w:r w:rsidRPr="004D19CA">
        <w:rPr>
          <w:rFonts w:ascii="Times New Roman" w:hAnsi="Times New Roman" w:cs="Times New Roman"/>
          <w:sz w:val="24"/>
          <w:szCs w:val="24"/>
        </w:rPr>
        <w:t xml:space="preserve"> darbībām, kas kvalificējas kā </w:t>
      </w:r>
      <w:r>
        <w:rPr>
          <w:rFonts w:ascii="Times New Roman" w:hAnsi="Times New Roman" w:cs="Times New Roman"/>
          <w:sz w:val="24"/>
          <w:szCs w:val="24"/>
        </w:rPr>
        <w:t>komercdarbības</w:t>
      </w:r>
      <w:r w:rsidRPr="004D19CA">
        <w:rPr>
          <w:rFonts w:ascii="Times New Roman" w:hAnsi="Times New Roman" w:cs="Times New Roman"/>
          <w:sz w:val="24"/>
          <w:szCs w:val="24"/>
        </w:rPr>
        <w:t xml:space="preserve"> atbalsts</w:t>
      </w:r>
      <w:r>
        <w:rPr>
          <w:rFonts w:ascii="Times New Roman" w:hAnsi="Times New Roman" w:cs="Times New Roman"/>
          <w:sz w:val="24"/>
          <w:szCs w:val="24"/>
        </w:rPr>
        <w:t xml:space="preserve"> (</w:t>
      </w:r>
      <w:r w:rsidRPr="00724068">
        <w:rPr>
          <w:rFonts w:ascii="Times New Roman" w:hAnsi="Times New Roman" w:cs="Times New Roman"/>
          <w:sz w:val="24"/>
          <w:szCs w:val="24"/>
        </w:rPr>
        <w:t>KOMISIJAS REGULA</w:t>
      </w:r>
      <w:r>
        <w:rPr>
          <w:rFonts w:ascii="Times New Roman" w:hAnsi="Times New Roman" w:cs="Times New Roman"/>
          <w:sz w:val="24"/>
          <w:szCs w:val="24"/>
        </w:rPr>
        <w:t>S</w:t>
      </w:r>
      <w:r w:rsidRPr="00724068">
        <w:rPr>
          <w:rFonts w:ascii="Times New Roman" w:hAnsi="Times New Roman" w:cs="Times New Roman"/>
          <w:sz w:val="24"/>
          <w:szCs w:val="24"/>
        </w:rPr>
        <w:t xml:space="preserve"> (ES) Nr. 651/2014</w:t>
      </w:r>
      <w:r>
        <w:rPr>
          <w:rFonts w:ascii="Times New Roman" w:hAnsi="Times New Roman" w:cs="Times New Roman"/>
          <w:sz w:val="24"/>
          <w:szCs w:val="24"/>
        </w:rPr>
        <w:t xml:space="preserve"> 47.pants</w:t>
      </w:r>
      <w:r w:rsidR="00DF2E83">
        <w:rPr>
          <w:rFonts w:ascii="Times New Roman" w:hAnsi="Times New Roman" w:cs="Times New Roman"/>
          <w:sz w:val="24"/>
          <w:szCs w:val="24"/>
        </w:rPr>
        <w:t xml:space="preserve"> un</w:t>
      </w:r>
      <w:r w:rsidR="00895676">
        <w:rPr>
          <w:rFonts w:ascii="Times New Roman" w:hAnsi="Times New Roman" w:cs="Times New Roman"/>
          <w:sz w:val="24"/>
          <w:szCs w:val="24"/>
        </w:rPr>
        <w:t>/</w:t>
      </w:r>
      <w:r w:rsidRPr="00895676" w:rsidR="00895676">
        <w:rPr>
          <w:rFonts w:ascii="Times New Roman" w:hAnsi="Times New Roman" w:cs="Times New Roman"/>
          <w:sz w:val="24"/>
          <w:szCs w:val="24"/>
        </w:rPr>
        <w:t>vai Komisijas 2023. gada 13. decembra Regul</w:t>
      </w:r>
      <w:r w:rsidR="00090F9F">
        <w:rPr>
          <w:rFonts w:ascii="Times New Roman" w:hAnsi="Times New Roman" w:cs="Times New Roman"/>
          <w:sz w:val="24"/>
          <w:szCs w:val="24"/>
        </w:rPr>
        <w:t>a</w:t>
      </w:r>
      <w:r w:rsidRPr="00895676" w:rsidR="00895676">
        <w:rPr>
          <w:rFonts w:ascii="Times New Roman" w:hAnsi="Times New Roman" w:cs="Times New Roman"/>
          <w:sz w:val="24"/>
          <w:szCs w:val="24"/>
        </w:rPr>
        <w:t xml:space="preserve"> (ES)</w:t>
      </w:r>
      <w:r w:rsidR="00090F9F">
        <w:rPr>
          <w:rFonts w:ascii="Times New Roman" w:hAnsi="Times New Roman" w:cs="Times New Roman"/>
          <w:sz w:val="24"/>
          <w:szCs w:val="24"/>
        </w:rPr>
        <w:t xml:space="preserve"> </w:t>
      </w:r>
      <w:r w:rsidRPr="00895676" w:rsidR="00895676">
        <w:rPr>
          <w:rFonts w:ascii="Times New Roman" w:hAnsi="Times New Roman" w:cs="Times New Roman"/>
          <w:sz w:val="24"/>
          <w:szCs w:val="24"/>
        </w:rPr>
        <w:t>2023/2831 par Līguma par Eiropas Savienības darbību 107. un 108. panta piemērošanu de minimis atbals</w:t>
      </w:r>
      <w:r w:rsidR="00374EA7">
        <w:rPr>
          <w:rFonts w:ascii="Times New Roman" w:hAnsi="Times New Roman" w:cs="Times New Roman"/>
          <w:sz w:val="24"/>
          <w:szCs w:val="24"/>
        </w:rPr>
        <w:t>ts</w:t>
      </w:r>
      <w:r>
        <w:rPr>
          <w:rFonts w:ascii="Times New Roman" w:hAnsi="Times New Roman" w:cs="Times New Roman"/>
          <w:sz w:val="24"/>
          <w:szCs w:val="24"/>
        </w:rPr>
        <w:t>).</w:t>
      </w:r>
    </w:p>
    <w:p w:rsidR="00D929FD" w:rsidP="00D929FD" w:rsidRDefault="00D929FD" w14:paraId="15143B67" w14:textId="1EA13C20">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00783AC1">
        <w:rPr>
          <w:rFonts w:ascii="Times New Roman" w:hAnsi="Times New Roman" w:cs="Times New Roman"/>
          <w:sz w:val="24"/>
          <w:szCs w:val="24"/>
        </w:rPr>
        <w:t xml:space="preserve"> </w:t>
      </w:r>
      <w:r w:rsidRPr="00783AC1" w:rsidR="00783AC1">
        <w:rPr>
          <w:rFonts w:ascii="Times New Roman" w:hAnsi="Times New Roman" w:cs="Times New Roman"/>
          <w:sz w:val="24"/>
          <w:szCs w:val="24"/>
        </w:rPr>
        <w:t>(izmaksu pozīcijas, kas SAM MK noteikumos nav paredzētas, aprēķinu modelī ir paslēptas)</w:t>
      </w:r>
      <w:r>
        <w:rPr>
          <w:rFonts w:ascii="Times New Roman" w:hAnsi="Times New Roman" w:cs="Times New Roman"/>
          <w:sz w:val="24"/>
          <w:szCs w:val="24"/>
        </w:rPr>
        <w:t>.</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rsidR="00D929FD" w:rsidP="00D929FD" w:rsidRDefault="00D929FD" w14:paraId="443792CB" w14:textId="0F0B4F96">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“t.sk.PVN”.</w:t>
      </w:r>
    </w:p>
    <w:p w:rsidR="00D929FD" w:rsidP="00D929FD" w:rsidRDefault="00D929FD" w14:paraId="23074E50" w14:textId="77777777">
      <w:pPr>
        <w:jc w:val="both"/>
        <w:rPr>
          <w:rFonts w:ascii="Times New Roman" w:hAnsi="Times New Roman" w:cs="Times New Roman"/>
          <w:sz w:val="24"/>
          <w:szCs w:val="24"/>
        </w:rPr>
      </w:pPr>
      <w:r>
        <w:rPr>
          <w:rFonts w:ascii="Times New Roman" w:hAnsi="Times New Roman" w:cs="Times New Roman"/>
          <w:sz w:val="24"/>
          <w:szCs w:val="24"/>
        </w:rPr>
        <w:t>Izklājlapas C kolonnā “Maksimālā ES fondu līdzfin.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rsidR="002B625D" w:rsidP="002D31BE" w:rsidRDefault="002B625D" w14:paraId="363070D9" w14:textId="672FD924">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w:t>
      </w:r>
      <w:r w:rsidR="00E40CB0">
        <w:rPr>
          <w:rFonts w:ascii="Times New Roman" w:hAnsi="Times New Roman" w:cs="Times New Roman"/>
          <w:sz w:val="24"/>
          <w:szCs w:val="24"/>
        </w:rPr>
        <w:t>,</w:t>
      </w:r>
      <w:r w:rsidR="009B1BE7">
        <w:rPr>
          <w:rFonts w:ascii="Times New Roman" w:hAnsi="Times New Roman" w:cs="Times New Roman"/>
          <w:sz w:val="24"/>
          <w:szCs w:val="24"/>
        </w:rPr>
        <w:t xml:space="preserve"> kā arī projekta iesnieguma sadaļā “Projekta īstenošanas laika grafiks”</w:t>
      </w:r>
      <w:r w:rsidR="00392874">
        <w:rPr>
          <w:rFonts w:ascii="Times New Roman" w:hAnsi="Times New Roman" w:cs="Times New Roman"/>
          <w:sz w:val="24"/>
          <w:szCs w:val="24"/>
        </w:rPr>
        <w:t xml:space="preserve"> norādītaja</w:t>
      </w:r>
      <w:r w:rsidR="00966C2B">
        <w:rPr>
          <w:rFonts w:ascii="Times New Roman" w:hAnsi="Times New Roman" w:cs="Times New Roman"/>
          <w:sz w:val="24"/>
          <w:szCs w:val="24"/>
        </w:rPr>
        <w:t>m projekta investīciju ieviešanas laika grafikam</w:t>
      </w:r>
      <w:r>
        <w:rPr>
          <w:rFonts w:ascii="Times New Roman" w:hAnsi="Times New Roman" w:cs="Times New Roman"/>
          <w:sz w:val="24"/>
          <w:szCs w:val="24"/>
        </w:rPr>
        <w:t xml:space="preserve">. </w:t>
      </w:r>
    </w:p>
    <w:p w:rsidR="00476670" w:rsidP="002D31BE" w:rsidRDefault="00476670" w14:paraId="62C666FA" w14:textId="77777777">
      <w:pPr>
        <w:jc w:val="both"/>
        <w:rPr>
          <w:rFonts w:ascii="Times New Roman" w:hAnsi="Times New Roman" w:cs="Times New Roman"/>
          <w:sz w:val="24"/>
          <w:szCs w:val="24"/>
        </w:rPr>
      </w:pPr>
    </w:p>
    <w:p w:rsidRPr="00596D47" w:rsidR="00BA6FB9" w:rsidP="00596D47" w:rsidRDefault="00BA6FB9" w14:paraId="29C606FE" w14:textId="56BC7C81">
      <w:pPr>
        <w:pStyle w:val="Heading1"/>
        <w:numPr>
          <w:ilvl w:val="2"/>
          <w:numId w:val="32"/>
        </w:numPr>
        <w:rPr>
          <w:rFonts w:ascii="Times New Roman" w:hAnsi="Times New Roman" w:cs="Times New Roman"/>
          <w:b/>
          <w:bCs/>
          <w:color w:val="auto"/>
          <w:sz w:val="28"/>
          <w:szCs w:val="28"/>
        </w:rPr>
      </w:pPr>
      <w:bookmarkStart w:name="_Toc177638295" w:id="15"/>
      <w:r w:rsidRPr="00596D47">
        <w:rPr>
          <w:rFonts w:ascii="Times New Roman" w:hAnsi="Times New Roman" w:cs="Times New Roman"/>
          <w:b/>
          <w:bCs/>
          <w:color w:val="auto"/>
          <w:sz w:val="28"/>
          <w:szCs w:val="28"/>
        </w:rPr>
        <w:t>Investīciju naudas plūsma bez projekta</w:t>
      </w:r>
      <w:bookmarkEnd w:id="15"/>
    </w:p>
    <w:p w:rsidR="004914B1" w:rsidP="004914B1" w:rsidRDefault="004914B1" w14:paraId="1C49A237" w14:textId="397859A8">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rsidR="008C3B1D" w:rsidP="004914B1" w:rsidRDefault="008C3B1D" w14:paraId="10BFF343" w14:textId="270BBCDA">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Pr="004B3472" w:rsidR="0057041A">
        <w:rPr>
          <w:rFonts w:ascii="Times New Roman" w:hAnsi="Times New Roman" w:cs="Times New Roman"/>
          <w:sz w:val="24"/>
          <w:szCs w:val="24"/>
        </w:rPr>
        <w:t xml:space="preserve"> un </w:t>
      </w:r>
      <w:r w:rsidRPr="0057041A" w:rsid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rsidRPr="004914B1" w:rsidR="008C3B1D" w:rsidP="004914B1" w:rsidRDefault="0022408E" w14:paraId="66E89AF4" w14:textId="0C105675">
      <w:pPr>
        <w:jc w:val="both"/>
        <w:rPr>
          <w:rFonts w:ascii="Times New Roman" w:hAnsi="Times New Roman" w:cs="Times New Roman"/>
          <w:sz w:val="24"/>
          <w:szCs w:val="24"/>
        </w:rPr>
      </w:pPr>
      <w:r>
        <w:rPr>
          <w:rFonts w:ascii="Times New Roman" w:hAnsi="Times New Roman" w:cs="Times New Roman"/>
          <w:sz w:val="24"/>
          <w:szCs w:val="24"/>
        </w:rPr>
        <w:t>1.d</w:t>
      </w:r>
      <w:r w:rsidRPr="008C3B1D" w:rsidR="008C3B1D">
        <w:rPr>
          <w:rFonts w:ascii="Times New Roman" w:hAnsi="Times New Roman" w:cs="Times New Roman"/>
          <w:sz w:val="24"/>
          <w:szCs w:val="24"/>
        </w:rPr>
        <w:t xml:space="preserve">aļā “Ieņēmumi BEZ projekta” projekta iesniedzējs norāda plānotos ieņēmumus, dalot tos atsevišķi pa </w:t>
      </w:r>
      <w:r w:rsidR="008C3B1D">
        <w:rPr>
          <w:rFonts w:ascii="Times New Roman" w:hAnsi="Times New Roman" w:cs="Times New Roman"/>
          <w:sz w:val="24"/>
          <w:szCs w:val="24"/>
        </w:rPr>
        <w:t>ieņēmumu</w:t>
      </w:r>
      <w:r w:rsidRPr="008C3B1D" w:rsidR="008C3B1D">
        <w:rPr>
          <w:rFonts w:ascii="Times New Roman" w:hAnsi="Times New Roman" w:cs="Times New Roman"/>
          <w:sz w:val="24"/>
          <w:szCs w:val="24"/>
        </w:rPr>
        <w:t xml:space="preserve"> </w:t>
      </w:r>
      <w:r w:rsidR="000F5D15">
        <w:rPr>
          <w:rFonts w:ascii="Times New Roman" w:hAnsi="Times New Roman" w:cs="Times New Roman"/>
          <w:sz w:val="24"/>
          <w:szCs w:val="24"/>
        </w:rPr>
        <w:t>pozīcijām</w:t>
      </w:r>
      <w:r w:rsidR="008C3B1D">
        <w:rPr>
          <w:rFonts w:ascii="Times New Roman" w:hAnsi="Times New Roman" w:cs="Times New Roman"/>
          <w:sz w:val="24"/>
          <w:szCs w:val="24"/>
        </w:rPr>
        <w:t xml:space="preserve">. </w:t>
      </w:r>
      <w:r w:rsidRPr="008C3B1D" w:rsidR="008C3B1D">
        <w:rPr>
          <w:rFonts w:ascii="Times New Roman" w:hAnsi="Times New Roman" w:cs="Times New Roman"/>
          <w:sz w:val="24"/>
          <w:szCs w:val="24"/>
        </w:rPr>
        <w:t xml:space="preserve">Ieņēmumus rēķina </w:t>
      </w:r>
      <w:r w:rsidR="008C3B1D">
        <w:rPr>
          <w:rFonts w:ascii="Times New Roman" w:hAnsi="Times New Roman" w:cs="Times New Roman"/>
          <w:sz w:val="24"/>
          <w:szCs w:val="24"/>
        </w:rPr>
        <w:t>projekta iesniegšanas</w:t>
      </w:r>
      <w:r w:rsidR="00D46466">
        <w:rPr>
          <w:rFonts w:ascii="Times New Roman" w:hAnsi="Times New Roman" w:cs="Times New Roman"/>
          <w:sz w:val="24"/>
          <w:szCs w:val="24"/>
        </w:rPr>
        <w:t xml:space="preserve"> gada cenās (piemēram, </w:t>
      </w:r>
      <w:r w:rsidRPr="008C3B1D" w:rsidR="008C3B1D">
        <w:rPr>
          <w:rFonts w:ascii="Times New Roman" w:hAnsi="Times New Roman" w:cs="Times New Roman"/>
          <w:sz w:val="24"/>
          <w:szCs w:val="24"/>
        </w:rPr>
        <w:t>202</w:t>
      </w:r>
      <w:r w:rsidR="00372348">
        <w:rPr>
          <w:rFonts w:ascii="Times New Roman" w:hAnsi="Times New Roman" w:cs="Times New Roman"/>
          <w:sz w:val="24"/>
          <w:szCs w:val="24"/>
        </w:rPr>
        <w:t>4</w:t>
      </w:r>
      <w:r w:rsidRPr="008C3B1D" w:rsidR="008C3B1D">
        <w:rPr>
          <w:rFonts w:ascii="Times New Roman" w:hAnsi="Times New Roman" w:cs="Times New Roman"/>
          <w:sz w:val="24"/>
          <w:szCs w:val="24"/>
        </w:rPr>
        <w:t>.gada cenās</w:t>
      </w:r>
      <w:r w:rsidR="00D46466">
        <w:rPr>
          <w:rFonts w:ascii="Times New Roman" w:hAnsi="Times New Roman" w:cs="Times New Roman"/>
          <w:sz w:val="24"/>
          <w:szCs w:val="24"/>
        </w:rPr>
        <w:t>)</w:t>
      </w:r>
      <w:r w:rsidRPr="008C3B1D" w:rsidR="008C3B1D">
        <w:rPr>
          <w:rFonts w:ascii="Times New Roman" w:hAnsi="Times New Roman" w:cs="Times New Roman"/>
          <w:sz w:val="24"/>
          <w:szCs w:val="24"/>
        </w:rPr>
        <w:t xml:space="preserve"> un tiem klāt nerēķina </w:t>
      </w:r>
      <w:r w:rsidR="00D46466">
        <w:rPr>
          <w:rFonts w:ascii="Times New Roman" w:hAnsi="Times New Roman" w:cs="Times New Roman"/>
          <w:sz w:val="24"/>
          <w:szCs w:val="24"/>
        </w:rPr>
        <w:t xml:space="preserve">ar inflāciju saistītu </w:t>
      </w:r>
      <w:r w:rsidRPr="008C3B1D" w:rsidR="008C3B1D">
        <w:rPr>
          <w:rFonts w:ascii="Times New Roman" w:hAnsi="Times New Roman" w:cs="Times New Roman"/>
          <w:sz w:val="24"/>
          <w:szCs w:val="24"/>
        </w:rPr>
        <w:t>sadārdzinājumu</w:t>
      </w:r>
      <w:r w:rsidR="00D46466">
        <w:rPr>
          <w:rFonts w:ascii="Times New Roman" w:hAnsi="Times New Roman" w:cs="Times New Roman"/>
          <w:sz w:val="24"/>
          <w:szCs w:val="24"/>
        </w:rPr>
        <w:t>.</w:t>
      </w:r>
      <w:r w:rsidR="00A53272">
        <w:rPr>
          <w:rFonts w:ascii="Times New Roman" w:hAnsi="Times New Roman" w:cs="Times New Roman"/>
          <w:sz w:val="24"/>
          <w:szCs w:val="24"/>
        </w:rPr>
        <w:t xml:space="preserve"> </w:t>
      </w:r>
      <w:r w:rsidRPr="00A53272" w:rsidR="00A53272">
        <w:rPr>
          <w:rFonts w:ascii="Times New Roman" w:hAnsi="Times New Roman" w:cs="Times New Roman"/>
          <w:b/>
          <w:bCs/>
          <w:sz w:val="24"/>
          <w:szCs w:val="24"/>
        </w:rPr>
        <w:t xml:space="preserve">Ieņēmumus norāda kā pozitīvas vērtības (piemēram, </w:t>
      </w:r>
      <w:r w:rsidR="00411470">
        <w:rPr>
          <w:rFonts w:ascii="Times New Roman" w:hAnsi="Times New Roman" w:cs="Times New Roman"/>
          <w:b/>
          <w:bCs/>
          <w:sz w:val="24"/>
          <w:szCs w:val="24"/>
        </w:rPr>
        <w:t>2</w:t>
      </w:r>
      <w:r w:rsidRPr="00A53272" w:rsidR="00A53272">
        <w:rPr>
          <w:rFonts w:ascii="Times New Roman" w:hAnsi="Times New Roman" w:cs="Times New Roman"/>
          <w:b/>
          <w:bCs/>
          <w:sz w:val="24"/>
          <w:szCs w:val="24"/>
        </w:rPr>
        <w:t>000,00).</w:t>
      </w:r>
    </w:p>
    <w:p w:rsidR="00581AFC" w:rsidP="002D31BE" w:rsidRDefault="0022408E" w14:paraId="005C8CF5" w14:textId="26638B49">
      <w:pPr>
        <w:jc w:val="both"/>
        <w:rPr>
          <w:rFonts w:ascii="Times New Roman" w:hAnsi="Times New Roman" w:cs="Times New Roman"/>
          <w:b/>
          <w:bCs/>
          <w:sz w:val="24"/>
          <w:szCs w:val="24"/>
        </w:rPr>
      </w:pPr>
      <w:r>
        <w:rPr>
          <w:rFonts w:ascii="Times New Roman" w:hAnsi="Times New Roman" w:cs="Times New Roman"/>
          <w:sz w:val="24"/>
          <w:szCs w:val="24"/>
        </w:rPr>
        <w:t>2.d</w:t>
      </w:r>
      <w:r w:rsidRPr="000F5D15" w:rsid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Pr="000F5D15" w:rsid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Pr="000F5D15" w:rsidR="000F5D15">
        <w:rPr>
          <w:rFonts w:ascii="Times New Roman" w:hAnsi="Times New Roman" w:cs="Times New Roman"/>
          <w:sz w:val="24"/>
          <w:szCs w:val="24"/>
        </w:rPr>
        <w:t>Iz</w:t>
      </w:r>
      <w:r w:rsidR="009B297A">
        <w:rPr>
          <w:rFonts w:ascii="Times New Roman" w:hAnsi="Times New Roman" w:cs="Times New Roman"/>
          <w:sz w:val="24"/>
          <w:szCs w:val="24"/>
        </w:rPr>
        <w:t>maksas</w:t>
      </w:r>
      <w:r w:rsidRPr="000F5D15" w:rsid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Pr="000F5D15" w:rsid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Pr="00A53272" w:rsid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rsidR="00411470" w:rsidP="002D31BE" w:rsidRDefault="00411470" w14:paraId="02918470" w14:textId="3A4D6A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rsidRPr="00F42274" w:rsidR="00D15786" w:rsidP="002D31BE" w:rsidRDefault="00D15786" w14:paraId="0F2DD31E" w14:textId="7A14B5F9">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rsidR="000F5D15" w:rsidP="002D31BE" w:rsidRDefault="0022408E" w14:paraId="52DD423D" w14:textId="4CCB1805">
      <w:pPr>
        <w:jc w:val="both"/>
        <w:rPr>
          <w:rFonts w:ascii="Times New Roman" w:hAnsi="Times New Roman" w:cs="Times New Roman"/>
          <w:sz w:val="24"/>
          <w:szCs w:val="24"/>
        </w:rPr>
      </w:pPr>
      <w:r>
        <w:rPr>
          <w:rFonts w:ascii="Times New Roman" w:hAnsi="Times New Roman" w:cs="Times New Roman"/>
          <w:sz w:val="24"/>
          <w:szCs w:val="24"/>
        </w:rPr>
        <w:lastRenderedPageBreak/>
        <w:t>3.d</w:t>
      </w:r>
      <w:r w:rsidRPr="000F5D15" w:rsid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Pr="000F5D15" w:rsid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Pr="000F5D15" w:rsid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Pr="000F5D15" w:rsid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Pr="000F5D15" w:rsid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Pr="000F5D15" w:rsidR="000F5D15">
        <w:rPr>
          <w:rFonts w:ascii="Times New Roman" w:hAnsi="Times New Roman" w:cs="Times New Roman"/>
          <w:sz w:val="24"/>
          <w:szCs w:val="24"/>
        </w:rPr>
        <w:t>s iz</w:t>
      </w:r>
      <w:r w:rsidR="002A78FE">
        <w:rPr>
          <w:rFonts w:ascii="Times New Roman" w:hAnsi="Times New Roman" w:cs="Times New Roman"/>
          <w:sz w:val="24"/>
          <w:szCs w:val="24"/>
        </w:rPr>
        <w:t>maksa</w:t>
      </w:r>
      <w:r w:rsidRPr="000F5D15" w:rsidR="000F5D15">
        <w:rPr>
          <w:rFonts w:ascii="Times New Roman" w:hAnsi="Times New Roman" w:cs="Times New Roman"/>
          <w:sz w:val="24"/>
          <w:szCs w:val="24"/>
        </w:rPr>
        <w:t>s</w:t>
      </w:r>
      <w:r w:rsidR="00A53272">
        <w:rPr>
          <w:rFonts w:ascii="Times New Roman" w:hAnsi="Times New Roman" w:cs="Times New Roman"/>
          <w:sz w:val="24"/>
          <w:szCs w:val="24"/>
        </w:rPr>
        <w:t>.</w:t>
      </w:r>
    </w:p>
    <w:p w:rsidR="000F5D15" w:rsidP="002D31BE" w:rsidRDefault="000F5D15" w14:paraId="5CCC4E32" w14:textId="24E0CAB4">
      <w:pPr>
        <w:jc w:val="both"/>
        <w:rPr>
          <w:rFonts w:ascii="Times New Roman" w:hAnsi="Times New Roman" w:cs="Times New Roman"/>
          <w:sz w:val="24"/>
          <w:szCs w:val="24"/>
        </w:rPr>
      </w:pPr>
    </w:p>
    <w:p w:rsidRPr="00596D47" w:rsidR="00BA6FB9" w:rsidP="00596D47" w:rsidRDefault="008C4545" w14:paraId="01EE274C" w14:textId="4D74A823">
      <w:pPr>
        <w:pStyle w:val="Heading1"/>
        <w:numPr>
          <w:ilvl w:val="2"/>
          <w:numId w:val="32"/>
        </w:numPr>
        <w:rPr>
          <w:rFonts w:ascii="Times New Roman" w:hAnsi="Times New Roman" w:cs="Times New Roman"/>
          <w:b/>
          <w:bCs/>
          <w:color w:val="auto"/>
          <w:sz w:val="28"/>
          <w:szCs w:val="28"/>
        </w:rPr>
      </w:pPr>
      <w:bookmarkStart w:name="_Toc177638296" w:id="16"/>
      <w:r w:rsidRPr="00596D47">
        <w:rPr>
          <w:rFonts w:ascii="Times New Roman" w:hAnsi="Times New Roman" w:cs="Times New Roman"/>
          <w:b/>
          <w:bCs/>
          <w:color w:val="auto"/>
          <w:sz w:val="28"/>
          <w:szCs w:val="28"/>
        </w:rPr>
        <w:t>Investīciju naudas plūsma ar projektu</w:t>
      </w:r>
      <w:bookmarkEnd w:id="16"/>
    </w:p>
    <w:p w:rsidRPr="00E6581F" w:rsidR="00E6581F" w:rsidP="00E6581F" w:rsidRDefault="00E6581F" w14:paraId="1EB94FC5" w14:textId="71761443">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rsidRPr="00E6581F" w:rsidR="00E6581F" w:rsidP="00E6581F" w:rsidRDefault="00E6581F" w14:paraId="4635EFCA" w14:textId="3A6C4728">
      <w:pPr>
        <w:jc w:val="both"/>
        <w:rPr>
          <w:rFonts w:ascii="Times New Roman" w:hAnsi="Times New Roman" w:cs="Times New Roman"/>
          <w:sz w:val="24"/>
          <w:szCs w:val="24"/>
        </w:rPr>
      </w:pPr>
      <w:bookmarkStart w:name="_Hlk95915372" w:id="17"/>
      <w:r w:rsidRPr="00E6581F">
        <w:rPr>
          <w:rFonts w:ascii="Times New Roman" w:hAnsi="Times New Roman" w:cs="Times New Roman"/>
          <w:sz w:val="24"/>
          <w:szCs w:val="24"/>
        </w:rPr>
        <w:t xml:space="preserve">Izklājlapa </w:t>
      </w:r>
      <w:r w:rsidRPr="009B297A" w:rsidR="009B297A">
        <w:rPr>
          <w:rFonts w:ascii="Times New Roman" w:hAnsi="Times New Roman" w:cs="Times New Roman"/>
          <w:sz w:val="24"/>
          <w:szCs w:val="24"/>
        </w:rPr>
        <w:t xml:space="preserve">“3. DL invest.n.pl.AR pr.”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rsidRPr="00E6581F" w:rsidR="00E6581F" w:rsidP="00E6581F" w:rsidRDefault="0022408E" w14:paraId="1E3CED34" w14:textId="4F153C07">
      <w:pPr>
        <w:jc w:val="both"/>
        <w:rPr>
          <w:rFonts w:ascii="Times New Roman" w:hAnsi="Times New Roman" w:cs="Times New Roman"/>
          <w:sz w:val="24"/>
          <w:szCs w:val="24"/>
        </w:rPr>
      </w:pPr>
      <w:r>
        <w:rPr>
          <w:rFonts w:ascii="Times New Roman" w:hAnsi="Times New Roman" w:cs="Times New Roman"/>
          <w:sz w:val="24"/>
          <w:szCs w:val="24"/>
        </w:rPr>
        <w:t>1.d</w:t>
      </w:r>
      <w:r w:rsidRPr="00E6581F" w:rsidR="00E6581F">
        <w:rPr>
          <w:rFonts w:ascii="Times New Roman" w:hAnsi="Times New Roman" w:cs="Times New Roman"/>
          <w:sz w:val="24"/>
          <w:szCs w:val="24"/>
        </w:rPr>
        <w:t xml:space="preserve">aļā “Ieņēmumi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sidR="00E6581F">
        <w:rPr>
          <w:rFonts w:ascii="Times New Roman" w:hAnsi="Times New Roman" w:cs="Times New Roman"/>
          <w:sz w:val="24"/>
          <w:szCs w:val="24"/>
        </w:rPr>
        <w:t>” projekta iesniedzējs norāda plānotos ieņēmumus, dalot tos atsevišķi pa ieņēmumu pozīcijām</w:t>
      </w:r>
      <w:r w:rsidR="009B297A">
        <w:rPr>
          <w:rFonts w:ascii="Times New Roman" w:hAnsi="Times New Roman" w:cs="Times New Roman"/>
          <w:sz w:val="24"/>
          <w:szCs w:val="24"/>
        </w:rPr>
        <w:t xml:space="preserve"> un norādot ieņēmumu pozīcijas nosaukumu.</w:t>
      </w:r>
      <w:r w:rsidRPr="00E6581F" w:rsidR="00E6581F">
        <w:rPr>
          <w:rFonts w:ascii="Times New Roman" w:hAnsi="Times New Roman" w:cs="Times New Roman"/>
          <w:sz w:val="24"/>
          <w:szCs w:val="24"/>
        </w:rPr>
        <w:t xml:space="preserve"> Ieņēmumus rēķina projekta iesniegšanas gada cenās (piemēram, 202</w:t>
      </w:r>
      <w:r w:rsidR="00372348">
        <w:rPr>
          <w:rFonts w:ascii="Times New Roman" w:hAnsi="Times New Roman" w:cs="Times New Roman"/>
          <w:sz w:val="24"/>
          <w:szCs w:val="24"/>
        </w:rPr>
        <w:t>4</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Ieņēmumus norāda kā pozitīvas vērtības (piemēram, 2000,00).</w:t>
      </w:r>
    </w:p>
    <w:p w:rsidRPr="0064187F" w:rsidR="0064187F" w:rsidP="00E6581F" w:rsidRDefault="0022408E" w14:paraId="1E91B8C1" w14:textId="095DDE9A">
      <w:pPr>
        <w:jc w:val="both"/>
        <w:rPr>
          <w:rFonts w:ascii="Times New Roman" w:hAnsi="Times New Roman" w:cs="Times New Roman"/>
          <w:b/>
          <w:bCs/>
          <w:sz w:val="24"/>
          <w:szCs w:val="24"/>
        </w:rPr>
      </w:pPr>
      <w:r>
        <w:rPr>
          <w:rFonts w:ascii="Times New Roman" w:hAnsi="Times New Roman" w:cs="Times New Roman"/>
          <w:sz w:val="24"/>
          <w:szCs w:val="24"/>
        </w:rPr>
        <w:t>2.d</w:t>
      </w:r>
      <w:r w:rsidRPr="00E6581F" w:rsid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Pr="00E6581F" w:rsid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sid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Pr="00E6581F" w:rsid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Pr="00E6581F" w:rsidR="00E6581F">
        <w:rPr>
          <w:rFonts w:ascii="Times New Roman" w:hAnsi="Times New Roman" w:cs="Times New Roman"/>
          <w:sz w:val="24"/>
          <w:szCs w:val="24"/>
        </w:rPr>
        <w:t>. Iz</w:t>
      </w:r>
      <w:r w:rsidR="009B297A">
        <w:rPr>
          <w:rFonts w:ascii="Times New Roman" w:hAnsi="Times New Roman" w:cs="Times New Roman"/>
          <w:sz w:val="24"/>
          <w:szCs w:val="24"/>
        </w:rPr>
        <w:t>maksa</w:t>
      </w:r>
      <w:r w:rsidRPr="00E6581F" w:rsid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Pr="00E6581F" w:rsidR="00E6581F">
        <w:rPr>
          <w:rFonts w:ascii="Times New Roman" w:hAnsi="Times New Roman" w:cs="Times New Roman"/>
          <w:sz w:val="24"/>
          <w:szCs w:val="24"/>
        </w:rPr>
        <w:t xml:space="preserve">.gada cenās) un tiem klāt nerēķina ar inflāciju saistītu sadārdzinājumu. </w:t>
      </w:r>
      <w:r w:rsidRPr="00E6581F" w:rsidR="00E6581F">
        <w:rPr>
          <w:rFonts w:ascii="Times New Roman" w:hAnsi="Times New Roman" w:cs="Times New Roman"/>
          <w:b/>
          <w:bCs/>
          <w:sz w:val="24"/>
          <w:szCs w:val="24"/>
        </w:rPr>
        <w:t>Izmaksas norāda kā negatīvas vērtības (ar – zīmi, piemēram, -4000,00).</w:t>
      </w:r>
    </w:p>
    <w:p w:rsidR="0064187F" w:rsidP="00E6581F" w:rsidRDefault="0064187F" w14:paraId="1D9EF06C" w14:textId="1FF38D8E">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rsidR="0022408E" w:rsidP="00E6581F" w:rsidRDefault="00436503" w14:paraId="71A7A87F" w14:textId="727F6DA9">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rsidR="0022408E" w:rsidP="00E6581F" w:rsidRDefault="0022408E" w14:paraId="5DECD234" w14:textId="06B3B1A7">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rsidR="00C16C58" w:rsidP="00E6581F" w:rsidRDefault="00C16C58" w14:paraId="7F478FCF" w14:textId="1FCF5406">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Pr="002A78FE" w:rsid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Pr="00E6581F" w:rsidR="002A78FE">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Pr="00E6581F" w:rsidR="002A78FE">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Pr="00E6581F" w:rsidR="002A78FE">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Pr="00E6581F" w:rsidR="002A78FE">
        <w:rPr>
          <w:rFonts w:ascii="Times New Roman" w:hAnsi="Times New Roman" w:cs="Times New Roman"/>
          <w:b/>
          <w:bCs/>
          <w:sz w:val="24"/>
          <w:szCs w:val="24"/>
        </w:rPr>
        <w:t>000,00).</w:t>
      </w:r>
    </w:p>
    <w:p w:rsidR="00094834" w:rsidP="00094834" w:rsidRDefault="00094834" w14:paraId="764A7BAB" w14:textId="77777777">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rsidRPr="00B4356F" w:rsidR="00094834" w:rsidP="00094834" w:rsidRDefault="00094834" w14:paraId="227750D3" w14:textId="77777777">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rsidRPr="00E6581F" w:rsidR="00E6581F" w:rsidP="00E6581F" w:rsidRDefault="00E6581F" w14:paraId="7E9C8120" w14:textId="0E8D8CD0">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rsidRPr="00E6581F" w:rsidR="00E6581F" w:rsidP="00E6581F" w:rsidRDefault="00B95F5A" w14:paraId="5512A082" w14:textId="1692E014">
      <w:pPr>
        <w:jc w:val="both"/>
        <w:rPr>
          <w:rFonts w:ascii="Times New Roman" w:hAnsi="Times New Roman" w:cs="Times New Roman"/>
          <w:sz w:val="24"/>
          <w:szCs w:val="24"/>
        </w:rPr>
      </w:pPr>
      <w:r>
        <w:rPr>
          <w:rFonts w:ascii="Times New Roman" w:hAnsi="Times New Roman" w:cs="Times New Roman"/>
          <w:sz w:val="24"/>
          <w:szCs w:val="24"/>
        </w:rPr>
        <w:lastRenderedPageBreak/>
        <w:t>5.d</w:t>
      </w:r>
      <w:r w:rsidRPr="00E6581F" w:rsid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Pr="00E6581F" w:rsid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Pr="00E6581F" w:rsidR="00E6581F">
        <w:rPr>
          <w:rFonts w:ascii="Times New Roman" w:hAnsi="Times New Roman" w:cs="Times New Roman"/>
          <w:sz w:val="24"/>
          <w:szCs w:val="24"/>
        </w:rPr>
        <w:t>s iz</w:t>
      </w:r>
      <w:r w:rsidR="002A78FE">
        <w:rPr>
          <w:rFonts w:ascii="Times New Roman" w:hAnsi="Times New Roman" w:cs="Times New Roman"/>
          <w:sz w:val="24"/>
          <w:szCs w:val="24"/>
        </w:rPr>
        <w:t>maksas</w:t>
      </w:r>
      <w:r w:rsidRPr="00E6581F" w:rsidR="00E6581F">
        <w:rPr>
          <w:rFonts w:ascii="Times New Roman" w:hAnsi="Times New Roman" w:cs="Times New Roman"/>
          <w:sz w:val="24"/>
          <w:szCs w:val="24"/>
        </w:rPr>
        <w:t>.</w:t>
      </w:r>
    </w:p>
    <w:p w:rsidR="008C4545" w:rsidP="002D31BE" w:rsidRDefault="008C4545" w14:paraId="2E4AA717" w14:textId="77777777">
      <w:pPr>
        <w:jc w:val="both"/>
        <w:rPr>
          <w:rFonts w:ascii="Times New Roman" w:hAnsi="Times New Roman" w:cs="Times New Roman"/>
          <w:sz w:val="24"/>
          <w:szCs w:val="24"/>
        </w:rPr>
      </w:pPr>
    </w:p>
    <w:p w:rsidRPr="00596D47" w:rsidR="00BA6FB9" w:rsidP="00596D47" w:rsidRDefault="00764C79" w14:paraId="4D657BB4" w14:textId="31481827">
      <w:pPr>
        <w:pStyle w:val="Heading1"/>
        <w:numPr>
          <w:ilvl w:val="2"/>
          <w:numId w:val="32"/>
        </w:numPr>
        <w:rPr>
          <w:rFonts w:ascii="Times New Roman" w:hAnsi="Times New Roman" w:cs="Times New Roman"/>
          <w:b/>
          <w:bCs/>
          <w:color w:val="auto"/>
          <w:sz w:val="28"/>
          <w:szCs w:val="28"/>
        </w:rPr>
      </w:pPr>
      <w:bookmarkStart w:name="_Toc177638297" w:id="18"/>
      <w:r w:rsidRPr="00596D47">
        <w:rPr>
          <w:rFonts w:ascii="Times New Roman" w:hAnsi="Times New Roman" w:cs="Times New Roman"/>
          <w:b/>
          <w:bCs/>
          <w:color w:val="auto"/>
          <w:sz w:val="28"/>
          <w:szCs w:val="28"/>
        </w:rPr>
        <w:t>F</w:t>
      </w:r>
      <w:r w:rsidRPr="00596D47" w:rsidR="00BA6FB9">
        <w:rPr>
          <w:rFonts w:ascii="Times New Roman" w:hAnsi="Times New Roman" w:cs="Times New Roman"/>
          <w:b/>
          <w:bCs/>
          <w:color w:val="auto"/>
          <w:sz w:val="28"/>
          <w:szCs w:val="28"/>
        </w:rPr>
        <w:t>inansiālā ilgtspēja</w:t>
      </w:r>
      <w:bookmarkEnd w:id="18"/>
    </w:p>
    <w:p w:rsidR="00796626" w:rsidP="00796626" w:rsidRDefault="00796626" w14:paraId="3ECD4A74" w14:textId="7BF7C104">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rsidRPr="00E6581F" w:rsidR="00735C02" w:rsidP="00735C02" w:rsidRDefault="00735C02" w14:paraId="31E71BBF" w14:textId="50CF6E8C">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rsidR="00C1129F" w:rsidP="00796626" w:rsidRDefault="00735C02" w14:paraId="782EBD15" w14:textId="77777777">
      <w:pPr>
        <w:jc w:val="both"/>
        <w:rPr>
          <w:rFonts w:ascii="Times New Roman" w:hAnsi="Times New Roman" w:cs="Times New Roman"/>
          <w:sz w:val="24"/>
          <w:szCs w:val="24"/>
        </w:rPr>
      </w:pPr>
      <w:r w:rsidRPr="00AD1B9D">
        <w:rPr>
          <w:rFonts w:ascii="Times New Roman" w:hAnsi="Times New Roman" w:cs="Times New Roman"/>
          <w:sz w:val="24"/>
          <w:szCs w:val="24"/>
        </w:rPr>
        <w:t>1.daļas</w:t>
      </w:r>
      <w:r w:rsidRPr="00AD1B9D" w:rsidR="00C1129F">
        <w:rPr>
          <w:rFonts w:ascii="Times New Roman" w:hAnsi="Times New Roman" w:cs="Times New Roman"/>
          <w:sz w:val="24"/>
          <w:szCs w:val="24"/>
        </w:rPr>
        <w:t xml:space="preserve"> “Kopējie ieņēmumi”:</w:t>
      </w:r>
    </w:p>
    <w:p w:rsidR="00735C02" w:rsidP="00C1129F" w:rsidRDefault="00735C02" w14:paraId="38DF3376" w14:textId="36E5C84E">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rsidR="00C1129F">
        <w:t xml:space="preserve"> </w:t>
      </w:r>
      <w:r w:rsidRPr="00C1129F" w:rsid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rsidR="00764C79" w:rsidP="00C1129F" w:rsidRDefault="00C1129F" w14:paraId="3D652D10" w14:textId="4303937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name="_Hlk88058639" w:id="1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rsidR="004201D0" w:rsidP="00C1129F" w:rsidRDefault="00C1129F" w14:paraId="53D6B9D9" w14:textId="7DFC734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rsidR="004201D0" w:rsidP="00C1129F" w:rsidRDefault="004201D0" w14:paraId="3363756A" w14:textId="67465E9B">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“1.4. P</w:t>
      </w:r>
      <w:r>
        <w:rPr>
          <w:rFonts w:ascii="Times New Roman" w:hAnsi="Times New Roman" w:cs="Times New Roman"/>
          <w:sz w:val="24"/>
          <w:szCs w:val="24"/>
        </w:rPr>
        <w:t xml:space="preserve">rivātais </w:t>
      </w:r>
      <w:r w:rsidR="00796626">
        <w:rPr>
          <w:rFonts w:ascii="Times New Roman" w:hAnsi="Times New Roman" w:cs="Times New Roman"/>
          <w:sz w:val="24"/>
          <w:szCs w:val="24"/>
        </w:rPr>
        <w:t xml:space="preserve">finansējums” </w:t>
      </w:r>
      <w:r>
        <w:rPr>
          <w:rFonts w:ascii="Times New Roman" w:hAnsi="Times New Roman" w:cs="Times New Roman"/>
          <w:sz w:val="24"/>
          <w:szCs w:val="24"/>
        </w:rPr>
        <w:t>norāda projekta iesniedzēja paša privātos līdzekļus</w:t>
      </w:r>
      <w:r w:rsidRPr="00C1129F" w:rsidR="00C1129F">
        <w:rPr>
          <w:rFonts w:ascii="Times New Roman" w:hAnsi="Times New Roman" w:cs="Times New Roman"/>
          <w:sz w:val="24"/>
          <w:szCs w:val="24"/>
        </w:rPr>
        <w:t xml:space="preserve"> </w:t>
      </w:r>
      <w:r w:rsidR="00C1129F">
        <w:rPr>
          <w:rFonts w:ascii="Times New Roman" w:hAnsi="Times New Roman" w:cs="Times New Roman"/>
          <w:sz w:val="24"/>
          <w:szCs w:val="24"/>
        </w:rPr>
        <w:t>kurus izmantos projekta izmaksu segšanai</w:t>
      </w:r>
      <w:r w:rsidR="00EC01EE">
        <w:rPr>
          <w:rFonts w:ascii="Times New Roman" w:hAnsi="Times New Roman" w:cs="Times New Roman"/>
          <w:sz w:val="24"/>
          <w:szCs w:val="24"/>
        </w:rPr>
        <w:t>;</w:t>
      </w:r>
    </w:p>
    <w:p w:rsidR="00C1129F" w:rsidP="00C1129F" w:rsidRDefault="00C1129F" w14:paraId="4BEA130B" w14:textId="4B520EA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595D7F">
        <w:rPr>
          <w:rFonts w:ascii="Times New Roman" w:hAnsi="Times New Roman" w:cs="Times New Roman"/>
          <w:sz w:val="24"/>
          <w:szCs w:val="24"/>
        </w:rPr>
        <w:t>u</w:t>
      </w:r>
      <w:r w:rsidRPr="00C1129F">
        <w:rPr>
          <w:rFonts w:ascii="Times New Roman" w:hAnsi="Times New Roman" w:cs="Times New Roman"/>
          <w:sz w:val="24"/>
          <w:szCs w:val="24"/>
        </w:rPr>
        <w:t xml:space="preserve"> “1.</w:t>
      </w:r>
      <w:r>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Pr="008417F8"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rsidRPr="008417F8" w:rsidR="008417F8" w:rsidP="008417F8" w:rsidRDefault="008417F8" w14:paraId="354DC88A" w14:textId="67199124">
      <w:pPr>
        <w:pStyle w:val="ListParagraph"/>
        <w:numPr>
          <w:ilvl w:val="0"/>
          <w:numId w:val="21"/>
        </w:numPr>
        <w:jc w:val="both"/>
        <w:rPr>
          <w:rFonts w:ascii="Times New Roman" w:hAnsi="Times New Roman" w:cs="Times New Roman"/>
          <w:sz w:val="24"/>
          <w:szCs w:val="24"/>
        </w:rPr>
      </w:pPr>
      <w:r w:rsidRPr="008417F8">
        <w:rPr>
          <w:rFonts w:ascii="Times New Roman" w:hAnsi="Times New Roman" w:cs="Times New Roman"/>
          <w:sz w:val="24"/>
          <w:szCs w:val="24"/>
        </w:rPr>
        <w:t>pozīcij</w:t>
      </w:r>
      <w:r w:rsidR="008A7FE7">
        <w:rPr>
          <w:rFonts w:ascii="Times New Roman" w:hAnsi="Times New Roman" w:cs="Times New Roman"/>
          <w:sz w:val="24"/>
          <w:szCs w:val="24"/>
        </w:rPr>
        <w:t>u</w:t>
      </w:r>
      <w:r w:rsidRPr="008417F8">
        <w:rPr>
          <w:rFonts w:ascii="Times New Roman" w:hAnsi="Times New Roman" w:cs="Times New Roman"/>
          <w:sz w:val="24"/>
          <w:szCs w:val="24"/>
        </w:rPr>
        <w:t xml:space="preserve"> “1.</w:t>
      </w:r>
      <w:r w:rsidR="006A169F">
        <w:rPr>
          <w:rFonts w:ascii="Times New Roman" w:hAnsi="Times New Roman" w:cs="Times New Roman"/>
          <w:sz w:val="24"/>
          <w:szCs w:val="24"/>
        </w:rPr>
        <w:t>6</w:t>
      </w:r>
      <w:r w:rsidRPr="008417F8">
        <w:rPr>
          <w:rFonts w:ascii="Times New Roman" w:hAnsi="Times New Roman" w:cs="Times New Roman"/>
          <w:sz w:val="24"/>
          <w:szCs w:val="24"/>
        </w:rPr>
        <w:t xml:space="preserve">. </w:t>
      </w:r>
      <w:r>
        <w:rPr>
          <w:rFonts w:ascii="Times New Roman" w:hAnsi="Times New Roman" w:cs="Times New Roman"/>
          <w:sz w:val="24"/>
          <w:szCs w:val="24"/>
        </w:rPr>
        <w:t>Pašvaldības finansējums (</w:t>
      </w:r>
      <w:r w:rsidR="00F351B6">
        <w:rPr>
          <w:rFonts w:ascii="Times New Roman" w:hAnsi="Times New Roman" w:cs="Times New Roman"/>
          <w:sz w:val="24"/>
          <w:szCs w:val="24"/>
        </w:rPr>
        <w:t>Invest.izmaksām)</w:t>
      </w:r>
      <w:r w:rsidRPr="008417F8">
        <w:rPr>
          <w:rFonts w:ascii="Times New Roman" w:hAnsi="Times New Roman" w:cs="Times New Roman"/>
          <w:sz w:val="24"/>
          <w:szCs w:val="24"/>
        </w:rPr>
        <w:t>” projekta iesniedzējs neaizpilda, jo tajās automātiski ģenerējas iznākums, ņemot vērā izklājlapā “9. DL PI</w:t>
      </w:r>
      <w:r w:rsidR="00685C4A">
        <w:rPr>
          <w:rFonts w:ascii="Times New Roman" w:hAnsi="Times New Roman" w:cs="Times New Roman"/>
          <w:sz w:val="24"/>
          <w:szCs w:val="24"/>
        </w:rPr>
        <w:t xml:space="preserve"> Fin.plans</w:t>
      </w:r>
      <w:r w:rsidRPr="008417F8">
        <w:rPr>
          <w:rFonts w:ascii="Times New Roman" w:hAnsi="Times New Roman" w:cs="Times New Roman"/>
          <w:sz w:val="24"/>
          <w:szCs w:val="24"/>
        </w:rPr>
        <w:t>” aprēķināto projekta finansēšanas plānu</w:t>
      </w:r>
      <w:r w:rsidR="00F351B6">
        <w:rPr>
          <w:rFonts w:ascii="Times New Roman" w:hAnsi="Times New Roman" w:cs="Times New Roman"/>
          <w:sz w:val="24"/>
          <w:szCs w:val="24"/>
        </w:rPr>
        <w:t>, bet tās var precizēt, ja šīm izmaksām plānots ņemt aizņēmumu</w:t>
      </w:r>
      <w:r w:rsidRPr="008417F8">
        <w:rPr>
          <w:rFonts w:ascii="Times New Roman" w:hAnsi="Times New Roman" w:cs="Times New Roman"/>
          <w:sz w:val="24"/>
          <w:szCs w:val="24"/>
        </w:rPr>
        <w:t>;</w:t>
      </w:r>
    </w:p>
    <w:p w:rsidRPr="00633F94" w:rsidR="008417F8" w:rsidP="00633F94" w:rsidRDefault="00F351B6" w14:paraId="68FAD6F4" w14:textId="2977AFCA">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6A169F">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rsidRPr="00633F94" w:rsidR="00633F94" w:rsidP="00633F94" w:rsidRDefault="00633F94" w14:paraId="00BDD2CA" w14:textId="46FF3805">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rsidR="00633F94" w:rsidP="00633F94" w:rsidRDefault="00633F94" w14:paraId="66EC272D" w14:textId="4FE50543">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rsidR="00A13F49" w:rsidP="00A13F49" w:rsidRDefault="00633F94" w14:paraId="2533B2FE" w14:textId="77777777">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rsidRPr="00A13F49" w:rsidR="004201D0" w:rsidP="00A13F49" w:rsidRDefault="00A13F49" w14:paraId="49889567" w14:textId="790B4CBA">
      <w:pPr>
        <w:pStyle w:val="ListParagraph"/>
        <w:numPr>
          <w:ilvl w:val="0"/>
          <w:numId w:val="21"/>
        </w:numPr>
        <w:jc w:val="both"/>
        <w:rPr>
          <w:rFonts w:ascii="Times New Roman" w:hAnsi="Times New Roman" w:cs="Times New Roman"/>
          <w:sz w:val="24"/>
          <w:szCs w:val="24"/>
        </w:rPr>
      </w:pPr>
      <w:bookmarkStart w:name="_Hlk95921548" w:id="20"/>
      <w:r w:rsidRPr="00A13F49">
        <w:rPr>
          <w:rFonts w:ascii="Times New Roman" w:hAnsi="Times New Roman" w:cs="Times New Roman"/>
          <w:sz w:val="24"/>
          <w:szCs w:val="24"/>
        </w:rPr>
        <w:t>p</w:t>
      </w:r>
      <w:r w:rsidRPr="00A13F49" w:rsidR="004201D0">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Pr="00A13F49" w:rsidR="004201D0">
        <w:rPr>
          <w:rFonts w:ascii="Times New Roman" w:hAnsi="Times New Roman" w:cs="Times New Roman"/>
          <w:sz w:val="24"/>
          <w:szCs w:val="24"/>
        </w:rPr>
        <w:t xml:space="preserve">jam jāatspoguļo </w:t>
      </w:r>
      <w:bookmarkEnd w:id="20"/>
      <w:r w:rsidRPr="00A13F49" w:rsidR="004201D0">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rsidR="004201D0" w:rsidP="00842B38" w:rsidRDefault="00A13F49" w14:paraId="2763F0AD" w14:textId="36FD1D41">
      <w:pPr>
        <w:pStyle w:val="ListParagraph"/>
        <w:numPr>
          <w:ilvl w:val="0"/>
          <w:numId w:val="21"/>
        </w:numPr>
        <w:jc w:val="both"/>
        <w:rPr>
          <w:rFonts w:ascii="Times New Roman" w:hAnsi="Times New Roman" w:cs="Times New Roman"/>
          <w:sz w:val="24"/>
          <w:szCs w:val="24"/>
        </w:rPr>
      </w:pPr>
      <w:bookmarkStart w:name="_Hlk96414404" w:id="21"/>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Pr="00184AD0" w:rsidR="004201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Pr="00184AD0" w:rsidR="004201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Pr="004201D0" w:rsid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Pr="00276FAB" w:rsidR="00276FAB">
        <w:rPr>
          <w:rFonts w:ascii="Times New Roman" w:hAnsi="Times New Roman" w:cs="Times New Roman"/>
          <w:sz w:val="24"/>
          <w:szCs w:val="24"/>
        </w:rPr>
        <w:t xml:space="preserve"> </w:t>
      </w:r>
      <w:r w:rsidR="00276FAB">
        <w:rPr>
          <w:rFonts w:ascii="Times New Roman" w:hAnsi="Times New Roman" w:cs="Times New Roman"/>
          <w:sz w:val="24"/>
          <w:szCs w:val="24"/>
        </w:rPr>
        <w:t xml:space="preserve">Ja aizņēmuma atdošanas periods ir ilgāks par projekta aprēķinu periodu, tad gan aizņēmuma pamatsummas atmaksas </w:t>
      </w:r>
      <w:r w:rsidR="00276FAB">
        <w:rPr>
          <w:rFonts w:ascii="Times New Roman" w:hAnsi="Times New Roman" w:cs="Times New Roman"/>
          <w:sz w:val="24"/>
          <w:szCs w:val="24"/>
        </w:rPr>
        <w:lastRenderedPageBreak/>
        <w:t>neatdoto daļu, gan arī aizņēmumu procentu atmaksas neatdoto daļu norāda aprēķinu perioda pēdējā gadā.</w:t>
      </w:r>
      <w:r w:rsidR="000D7414">
        <w:rPr>
          <w:rFonts w:ascii="Times New Roman" w:hAnsi="Times New Roman" w:cs="Times New Roman"/>
          <w:sz w:val="24"/>
          <w:szCs w:val="24"/>
        </w:rPr>
        <w:t xml:space="preserve"> </w:t>
      </w:r>
    </w:p>
    <w:p w:rsidRPr="00842B38" w:rsidR="000D7414" w:rsidP="000D7414" w:rsidRDefault="000D7414" w14:paraId="27581EF5" w14:textId="6C06DF77">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rsidRPr="00A13F49" w:rsidR="00A13F49" w:rsidP="00A13F49" w:rsidRDefault="00A13F49" w14:paraId="5BB0B7AA" w14:textId="78F35296">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rsidRPr="00686F1A" w:rsidR="00276FAB" w:rsidP="00686F1A" w:rsidRDefault="00276FAB" w14:paraId="454513F3" w14:textId="70E16DD8">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Pr="00686F1A" w:rsidR="00842B38">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00796626" w:rsidP="00830E5A" w:rsidRDefault="00842B38" w14:paraId="7B2E6B0A" w14:textId="4BAD5E7D">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rsidRPr="00596D47" w:rsidR="00842B38" w:rsidP="00596D47" w:rsidRDefault="00842B38" w14:paraId="550EC3A4" w14:textId="77777777">
      <w:pPr>
        <w:pStyle w:val="Heading1"/>
        <w:rPr>
          <w:rFonts w:ascii="Times New Roman" w:hAnsi="Times New Roman" w:cs="Times New Roman"/>
          <w:b/>
          <w:bCs/>
          <w:color w:val="auto"/>
          <w:sz w:val="28"/>
          <w:szCs w:val="28"/>
        </w:rPr>
      </w:pPr>
    </w:p>
    <w:p w:rsidRPr="00596D47" w:rsidR="00BA6FB9" w:rsidP="00596D47" w:rsidRDefault="00BA6FB9" w14:paraId="1EBECC82" w14:textId="30E9D677">
      <w:pPr>
        <w:pStyle w:val="Heading1"/>
        <w:numPr>
          <w:ilvl w:val="2"/>
          <w:numId w:val="32"/>
        </w:numPr>
        <w:rPr>
          <w:rFonts w:ascii="Times New Roman" w:hAnsi="Times New Roman" w:cs="Times New Roman"/>
          <w:b/>
          <w:bCs/>
          <w:color w:val="auto"/>
          <w:sz w:val="28"/>
          <w:szCs w:val="28"/>
        </w:rPr>
      </w:pPr>
      <w:bookmarkStart w:name="_Toc177638298" w:id="22"/>
      <w:r w:rsidRPr="00596D47">
        <w:rPr>
          <w:rFonts w:ascii="Times New Roman" w:hAnsi="Times New Roman" w:cs="Times New Roman"/>
          <w:b/>
          <w:bCs/>
          <w:color w:val="auto"/>
          <w:sz w:val="28"/>
          <w:szCs w:val="28"/>
        </w:rPr>
        <w:t>Sociālekonomiskā analīze</w:t>
      </w:r>
      <w:bookmarkEnd w:id="22"/>
    </w:p>
    <w:p w:rsidR="00115EE6" w:rsidP="002068C2" w:rsidRDefault="002068C2" w14:paraId="239C44AC" w14:textId="300AED9A">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Pr="00115EE6" w:rsid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Pr="00115EE6" w:rsid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Pr="00115EE6" w:rsid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rsidR="00115EE6" w:rsidP="00115EE6" w:rsidRDefault="00115EE6" w14:paraId="37CBDCD6" w14:textId="1A78278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rsidR="00115EE6" w:rsidP="00115EE6" w:rsidRDefault="00115EE6" w14:paraId="0E923580" w14:textId="7044323B">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rsidR="00115EE6" w:rsidP="00115EE6" w:rsidRDefault="00115EE6" w14:paraId="0347E312" w14:textId="3D811BA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rsidR="008A70E3" w:rsidP="002068C2" w:rsidRDefault="00115EE6" w14:paraId="24A108D6" w14:textId="77777777">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rsidR="002068C2" w:rsidP="002068C2" w:rsidRDefault="008A70E3" w14:paraId="2A96F59F" w14:textId="53EB4BD9">
      <w:pPr>
        <w:jc w:val="both"/>
        <w:rPr>
          <w:rFonts w:ascii="Times New Roman" w:hAnsi="Times New Roman" w:cs="Times New Roman"/>
          <w:sz w:val="24"/>
          <w:szCs w:val="24"/>
        </w:rPr>
      </w:pPr>
      <w:r>
        <w:rPr>
          <w:rFonts w:ascii="Times New Roman" w:hAnsi="Times New Roman" w:cs="Times New Roman"/>
          <w:sz w:val="24"/>
          <w:szCs w:val="24"/>
        </w:rPr>
        <w:t>P</w:t>
      </w:r>
      <w:r w:rsidRPr="002A69FE" w:rsidR="00115EE6">
        <w:rPr>
          <w:rFonts w:ascii="Times New Roman" w:hAnsi="Times New Roman" w:cs="Times New Roman"/>
          <w:sz w:val="24"/>
          <w:szCs w:val="24"/>
        </w:rPr>
        <w:t xml:space="preserve">rojekta iesniedzējs šos </w:t>
      </w:r>
      <w:r w:rsidRPr="002A69FE" w:rsidR="003D1F6A">
        <w:rPr>
          <w:rFonts w:ascii="Times New Roman" w:hAnsi="Times New Roman" w:cs="Times New Roman"/>
          <w:sz w:val="24"/>
          <w:szCs w:val="24"/>
        </w:rPr>
        <w:t>sociālekonomisk</w:t>
      </w:r>
      <w:r w:rsidRPr="002A69FE" w:rsidR="00D16823">
        <w:rPr>
          <w:rFonts w:ascii="Times New Roman" w:hAnsi="Times New Roman" w:cs="Times New Roman"/>
          <w:sz w:val="24"/>
          <w:szCs w:val="24"/>
        </w:rPr>
        <w:t xml:space="preserve">o ieguvumu un zaudējumu </w:t>
      </w:r>
      <w:r w:rsidRPr="002A69FE" w:rsidR="00115EE6">
        <w:rPr>
          <w:rFonts w:ascii="Times New Roman" w:hAnsi="Times New Roman" w:cs="Times New Roman"/>
          <w:sz w:val="24"/>
          <w:szCs w:val="24"/>
        </w:rPr>
        <w:t xml:space="preserve">aprēķinus veic </w:t>
      </w:r>
      <w:r w:rsidRPr="002A69FE" w:rsidR="00CB25AA">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Pr="002A69FE" w:rsidR="00CB25AA">
        <w:rPr>
          <w:rFonts w:ascii="Times New Roman" w:hAnsi="Times New Roman" w:cs="Times New Roman"/>
          <w:sz w:val="24"/>
          <w:szCs w:val="24"/>
        </w:rPr>
        <w:t xml:space="preserve"> </w:t>
      </w:r>
      <w:r w:rsidRPr="002A69FE" w:rsidR="00130607">
        <w:rPr>
          <w:rFonts w:ascii="Times New Roman" w:hAnsi="Times New Roman" w:cs="Times New Roman"/>
          <w:sz w:val="24"/>
          <w:szCs w:val="24"/>
        </w:rPr>
        <w:t xml:space="preserve">arī </w:t>
      </w:r>
      <w:r w:rsidRPr="002A69FE" w:rsidR="00CB25AA">
        <w:rPr>
          <w:rFonts w:ascii="Times New Roman" w:hAnsi="Times New Roman" w:cs="Times New Roman"/>
          <w:sz w:val="24"/>
          <w:szCs w:val="24"/>
        </w:rPr>
        <w:t>citās valstīs</w:t>
      </w:r>
      <w:r w:rsidRPr="002A69FE" w:rsidR="00130607">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Pr="002A69FE" w:rsidR="003D1F6A">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Pr="002A69FE" w:rsidR="00115EE6">
        <w:rPr>
          <w:rFonts w:ascii="Times New Roman" w:hAnsi="Times New Roman" w:cs="Times New Roman"/>
          <w:sz w:val="24"/>
          <w:szCs w:val="24"/>
        </w:rPr>
        <w:t xml:space="preserve">, detalizēti </w:t>
      </w:r>
      <w:r w:rsidRPr="004D60EB" w:rsidR="004D60EB">
        <w:rPr>
          <w:rFonts w:ascii="Times New Roman" w:hAnsi="Times New Roman" w:cs="Times New Roman"/>
          <w:sz w:val="24"/>
          <w:szCs w:val="24"/>
        </w:rPr>
        <w:t xml:space="preserve">izklājlapās “Pieņēmumi” un “11.DL 4.pielikums” </w:t>
      </w:r>
      <w:r w:rsidRPr="002A69FE" w:rsidR="00115EE6">
        <w:rPr>
          <w:rFonts w:ascii="Times New Roman" w:hAnsi="Times New Roman" w:cs="Times New Roman"/>
          <w:sz w:val="24"/>
          <w:szCs w:val="24"/>
        </w:rPr>
        <w:t>aprakstot to</w:t>
      </w:r>
      <w:r w:rsidRPr="002A69FE" w:rsidR="00D16823">
        <w:rPr>
          <w:rFonts w:ascii="Times New Roman" w:hAnsi="Times New Roman" w:cs="Times New Roman"/>
          <w:sz w:val="24"/>
          <w:szCs w:val="24"/>
        </w:rPr>
        <w:t xml:space="preserve"> aprēķinu un pamatojumu,</w:t>
      </w:r>
      <w:r w:rsidRPr="002A69FE" w:rsidR="00130607">
        <w:rPr>
          <w:rFonts w:ascii="Times New Roman" w:hAnsi="Times New Roman" w:cs="Times New Roman"/>
          <w:sz w:val="24"/>
          <w:szCs w:val="24"/>
        </w:rPr>
        <w:t xml:space="preserve"> pielāgojot </w:t>
      </w:r>
      <w:r w:rsidRPr="002A69FE" w:rsidR="00D16823">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Pr="002A69FE" w:rsidR="00130607">
        <w:rPr>
          <w:rFonts w:ascii="Times New Roman" w:hAnsi="Times New Roman" w:cs="Times New Roman"/>
          <w:sz w:val="24"/>
          <w:szCs w:val="24"/>
        </w:rPr>
        <w:t>Latvijas ekonomiskajiem rādītājiem</w:t>
      </w:r>
      <w:r w:rsidRPr="002A69FE" w:rsidR="00115EE6">
        <w:rPr>
          <w:rFonts w:ascii="Times New Roman" w:hAnsi="Times New Roman" w:cs="Times New Roman"/>
          <w:sz w:val="24"/>
          <w:szCs w:val="24"/>
        </w:rPr>
        <w:t>.</w:t>
      </w:r>
    </w:p>
    <w:p w:rsidR="000A6DD3" w:rsidP="0B812883" w:rsidRDefault="000A6DD3" w14:paraId="71F017F9" w14:textId="0D561C85">
      <w:pPr>
        <w:spacing w:line="257" w:lineRule="auto"/>
        <w:jc w:val="both"/>
        <w:rPr>
          <w:rFonts w:ascii="Times New Roman" w:hAnsi="Times New Roman" w:eastAsia="Times New Roman" w:cs="Times New Roman"/>
          <w:sz w:val="24"/>
          <w:szCs w:val="24"/>
        </w:rPr>
      </w:pPr>
      <w:r w:rsidRPr="0B812883">
        <w:rPr>
          <w:rFonts w:ascii="Times New Roman" w:hAnsi="Times New Roman" w:eastAsia="Times New Roman" w:cs="Times New Roman"/>
          <w:sz w:val="24"/>
          <w:szCs w:val="24"/>
        </w:rPr>
        <w:t>Nosakot sociālekonomiskos ieguvumus var izmantot</w:t>
      </w:r>
      <w:r w:rsidRPr="0B812883" w:rsidR="2627E2DB">
        <w:rPr>
          <w:rFonts w:ascii="Times New Roman" w:hAnsi="Times New Roman" w:eastAsia="Times New Roman" w:cs="Times New Roman"/>
          <w:sz w:val="24"/>
          <w:szCs w:val="24"/>
        </w:rPr>
        <w:t xml:space="preserve"> Vides pārvaldības žurnālā norādīto metodiku par nešķiroto atkritumu monetāro vērtēšanu:</w:t>
      </w:r>
    </w:p>
    <w:p w:rsidR="000A6DD3" w:rsidP="00C20642" w:rsidRDefault="000A6DD3" w14:paraId="7A910269" w14:textId="00CCA1A1">
      <w:pPr>
        <w:spacing w:line="257" w:lineRule="auto"/>
        <w:jc w:val="both"/>
        <w:rPr>
          <w:rStyle w:val="Hyperlink"/>
          <w:rFonts w:ascii="Times New Roman" w:hAnsi="Times New Roman" w:eastAsia="Times New Roman" w:cs="Times New Roman"/>
          <w:sz w:val="24"/>
          <w:szCs w:val="24"/>
        </w:rPr>
      </w:pPr>
      <w:hyperlink w:history="1" r:id="rId17">
        <w:r w:rsidRPr="0B812883" w:rsidR="2627E2DB">
          <w:rPr>
            <w:rStyle w:val="Hyperlink"/>
            <w:rFonts w:ascii="Times New Roman" w:hAnsi="Times New Roman" w:eastAsia="Times New Roman" w:cs="Times New Roman"/>
            <w:sz w:val="24"/>
            <w:szCs w:val="24"/>
          </w:rPr>
          <w:t>https://www.sciencedirect.com/science/article/pii/S0301479722022411</w:t>
        </w:r>
      </w:hyperlink>
    </w:p>
    <w:p w:rsidR="000A6DD3" w:rsidP="00C20642" w:rsidRDefault="2627E2DB" w14:paraId="52D71274" w14:textId="145BF337">
      <w:pPr>
        <w:spacing w:line="257" w:lineRule="auto"/>
        <w:jc w:val="both"/>
        <w:rPr>
          <w:rFonts w:ascii="Times New Roman" w:hAnsi="Times New Roman" w:eastAsia="Times New Roman" w:cs="Times New Roman"/>
          <w:sz w:val="24"/>
          <w:szCs w:val="24"/>
        </w:rPr>
      </w:pPr>
      <w:r w:rsidRPr="0B812883">
        <w:rPr>
          <w:rFonts w:ascii="Times New Roman" w:hAnsi="Times New Roman" w:eastAsia="Times New Roman" w:cs="Times New Roman"/>
          <w:sz w:val="24"/>
          <w:szCs w:val="24"/>
        </w:rPr>
        <w:t>Šajā metodikā ir minēti vairāki piemēri par sociālekonomiskiem ieguvumiem un zaudējum</w:t>
      </w:r>
      <w:r w:rsidRPr="0B812883" w:rsidR="485C11D0">
        <w:rPr>
          <w:rFonts w:ascii="Times New Roman" w:hAnsi="Times New Roman" w:eastAsia="Times New Roman" w:cs="Times New Roman"/>
          <w:sz w:val="24"/>
          <w:szCs w:val="24"/>
        </w:rPr>
        <w:t>iem</w:t>
      </w:r>
      <w:r w:rsidRPr="0B812883">
        <w:rPr>
          <w:rFonts w:ascii="Times New Roman" w:hAnsi="Times New Roman" w:eastAsia="Times New Roman" w:cs="Times New Roman"/>
          <w:sz w:val="24"/>
          <w:szCs w:val="24"/>
        </w:rPr>
        <w:t>, bet nav sniegti to aprēķini, jo</w:t>
      </w:r>
      <w:r w:rsidRPr="0B812883">
        <w:rPr>
          <w:rFonts w:ascii="Calibri" w:hAnsi="Calibri" w:eastAsia="Calibri" w:cs="Calibri"/>
        </w:rPr>
        <w:t xml:space="preserve"> š</w:t>
      </w:r>
      <w:r w:rsidRPr="0B812883">
        <w:rPr>
          <w:rFonts w:ascii="Times New Roman" w:hAnsi="Times New Roman" w:eastAsia="Times New Roman" w:cs="Times New Roman"/>
          <w:sz w:val="24"/>
          <w:szCs w:val="24"/>
        </w:rPr>
        <w:t>obrīd Latvijā nav izstrādātas vienotas metodikas, kurā būtu minēti piemēri un datu avoti paskaidrojot kā šos ieguvumus/zaudējumus aprēķināt. Līdz ar to projekta iesniedzējs šos aprēķinus veic pēc saviem ieskatiem, detalizēti aprakstot tos</w:t>
      </w:r>
      <w:r w:rsidRPr="0B812883">
        <w:rPr>
          <w:rFonts w:ascii="Calibri" w:hAnsi="Calibri" w:eastAsia="Calibri" w:cs="Calibri"/>
        </w:rPr>
        <w:t xml:space="preserve"> </w:t>
      </w:r>
      <w:r w:rsidRPr="0B812883">
        <w:rPr>
          <w:rFonts w:ascii="Times New Roman" w:hAnsi="Times New Roman" w:eastAsia="Times New Roman" w:cs="Times New Roman"/>
          <w:sz w:val="24"/>
          <w:szCs w:val="24"/>
        </w:rPr>
        <w:t>izklājlapās “Pieņēmumi” un “11.DL 4.pielikums”</w:t>
      </w:r>
      <w:r w:rsidRPr="0B812883" w:rsidR="0D9B69E3">
        <w:rPr>
          <w:rFonts w:ascii="Times New Roman" w:hAnsi="Times New Roman" w:eastAsia="Times New Roman" w:cs="Times New Roman"/>
          <w:sz w:val="24"/>
          <w:szCs w:val="24"/>
        </w:rPr>
        <w:t>, nodrošinot pieņēmumu pamatojumu un izsekojamību</w:t>
      </w:r>
      <w:r w:rsidRPr="0B812883">
        <w:rPr>
          <w:rFonts w:ascii="Times New Roman" w:hAnsi="Times New Roman" w:eastAsia="Times New Roman" w:cs="Times New Roman"/>
          <w:sz w:val="24"/>
          <w:szCs w:val="24"/>
        </w:rPr>
        <w:t xml:space="preserve">. </w:t>
      </w:r>
    </w:p>
    <w:p w:rsidR="00212E39" w:rsidP="00C20642" w:rsidRDefault="00212E39" w14:paraId="6AD9E6AA" w14:textId="77777777">
      <w:pPr>
        <w:spacing w:line="257" w:lineRule="auto"/>
        <w:jc w:val="both"/>
        <w:rPr>
          <w:rFonts w:ascii="Times New Roman" w:hAnsi="Times New Roman" w:eastAsia="Times New Roman" w:cs="Times New Roman"/>
          <w:sz w:val="24"/>
          <w:szCs w:val="24"/>
        </w:rPr>
      </w:pPr>
    </w:p>
    <w:p w:rsidR="00212E39" w:rsidP="00C20642" w:rsidRDefault="00212E39" w14:paraId="0C082574" w14:textId="77777777">
      <w:pPr>
        <w:spacing w:line="257" w:lineRule="auto"/>
        <w:jc w:val="both"/>
        <w:rPr>
          <w:rFonts w:ascii="Times New Roman" w:hAnsi="Times New Roman" w:eastAsia="Times New Roman" w:cs="Times New Roman"/>
          <w:sz w:val="24"/>
          <w:szCs w:val="24"/>
        </w:rPr>
      </w:pPr>
    </w:p>
    <w:p w:rsidR="00212E39" w:rsidP="00C20642" w:rsidRDefault="00212E39" w14:paraId="7C0E96C4" w14:textId="77777777">
      <w:pPr>
        <w:spacing w:line="257" w:lineRule="auto"/>
        <w:jc w:val="both"/>
        <w:rPr>
          <w:rFonts w:ascii="Times New Roman" w:hAnsi="Times New Roman" w:eastAsia="Times New Roman" w:cs="Times New Roman"/>
          <w:sz w:val="24"/>
          <w:szCs w:val="24"/>
        </w:rPr>
      </w:pPr>
    </w:p>
    <w:p w:rsidR="000A6DD3" w:rsidP="00C20642" w:rsidRDefault="2627E2DB" w14:paraId="1D3BEC9E" w14:textId="2508EE1E">
      <w:pPr>
        <w:spacing w:line="257" w:lineRule="auto"/>
        <w:jc w:val="both"/>
        <w:rPr>
          <w:rFonts w:ascii="Times New Roman" w:hAnsi="Times New Roman" w:eastAsia="Times New Roman" w:cs="Times New Roman"/>
          <w:sz w:val="24"/>
          <w:szCs w:val="24"/>
        </w:rPr>
      </w:pPr>
      <w:r w:rsidRPr="0B812883">
        <w:rPr>
          <w:rFonts w:ascii="Times New Roman" w:hAnsi="Times New Roman" w:eastAsia="Times New Roman" w:cs="Times New Roman"/>
          <w:sz w:val="24"/>
          <w:szCs w:val="24"/>
        </w:rPr>
        <w:lastRenderedPageBreak/>
        <w:t>Tabulā norādīti daži sociālekonomisko ieguvumu piemēri:</w:t>
      </w:r>
    </w:p>
    <w:tbl>
      <w:tblPr>
        <w:tblW w:w="0" w:type="auto"/>
        <w:tblLayout w:type="fixed"/>
        <w:tblLook w:val="06A0" w:firstRow="1" w:lastRow="0" w:firstColumn="1" w:lastColumn="0" w:noHBand="1" w:noVBand="1"/>
      </w:tblPr>
      <w:tblGrid>
        <w:gridCol w:w="2634"/>
        <w:gridCol w:w="3299"/>
        <w:gridCol w:w="3156"/>
      </w:tblGrid>
      <w:tr w:rsidR="0B812883" w:rsidTr="0B812883" w14:paraId="66850211" w14:textId="77777777">
        <w:trPr>
          <w:trHeight w:val="105"/>
        </w:trPr>
        <w:tc>
          <w:tcPr>
            <w:tcW w:w="2634"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2C61A45E" w14:textId="3A5D287B">
            <w:pPr>
              <w:spacing w:after="0"/>
              <w:rPr>
                <w:rFonts w:ascii="Times New Roman" w:hAnsi="Times New Roman" w:eastAsia="Times New Roman" w:cs="Times New Roman"/>
                <w:b/>
                <w:bCs/>
                <w:color w:val="000000" w:themeColor="text1"/>
                <w:sz w:val="23"/>
                <w:szCs w:val="23"/>
              </w:rPr>
            </w:pPr>
            <w:r w:rsidRPr="0B812883">
              <w:rPr>
                <w:rFonts w:ascii="Times New Roman" w:hAnsi="Times New Roman" w:eastAsia="Times New Roman" w:cs="Times New Roman"/>
                <w:b/>
                <w:bCs/>
                <w:color w:val="000000" w:themeColor="text1"/>
                <w:sz w:val="23"/>
                <w:szCs w:val="23"/>
              </w:rPr>
              <w:t xml:space="preserve">Ieguvumi </w:t>
            </w:r>
          </w:p>
        </w:tc>
        <w:tc>
          <w:tcPr>
            <w:tcW w:w="3299"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48E78317" w14:textId="7C5824A0">
            <w:pPr>
              <w:spacing w:after="0"/>
              <w:rPr>
                <w:rFonts w:ascii="Times New Roman" w:hAnsi="Times New Roman" w:eastAsia="Times New Roman" w:cs="Times New Roman"/>
                <w:b/>
                <w:bCs/>
                <w:color w:val="000000" w:themeColor="text1"/>
                <w:sz w:val="23"/>
                <w:szCs w:val="23"/>
              </w:rPr>
            </w:pPr>
            <w:r w:rsidRPr="0B812883">
              <w:rPr>
                <w:rFonts w:ascii="Times New Roman" w:hAnsi="Times New Roman" w:eastAsia="Times New Roman" w:cs="Times New Roman"/>
                <w:b/>
                <w:bCs/>
                <w:color w:val="000000" w:themeColor="text1"/>
                <w:sz w:val="23"/>
                <w:szCs w:val="23"/>
              </w:rPr>
              <w:t xml:space="preserve">Apraksts </w:t>
            </w:r>
          </w:p>
        </w:tc>
        <w:tc>
          <w:tcPr>
            <w:tcW w:w="3156"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3F2EAC7D" w14:textId="64B12E3A">
            <w:pPr>
              <w:spacing w:after="0"/>
              <w:rPr>
                <w:rFonts w:ascii="Times New Roman" w:hAnsi="Times New Roman" w:eastAsia="Times New Roman" w:cs="Times New Roman"/>
                <w:b/>
                <w:bCs/>
                <w:color w:val="000000" w:themeColor="text1"/>
                <w:sz w:val="23"/>
                <w:szCs w:val="23"/>
              </w:rPr>
            </w:pPr>
            <w:r w:rsidRPr="0B812883">
              <w:rPr>
                <w:rFonts w:ascii="Times New Roman" w:hAnsi="Times New Roman" w:eastAsia="Times New Roman" w:cs="Times New Roman"/>
                <w:b/>
                <w:bCs/>
                <w:color w:val="000000" w:themeColor="text1"/>
                <w:sz w:val="23"/>
                <w:szCs w:val="23"/>
              </w:rPr>
              <w:t xml:space="preserve">Ietekmes rādītājs </w:t>
            </w:r>
          </w:p>
        </w:tc>
      </w:tr>
      <w:tr w:rsidR="0B812883" w:rsidTr="0B812883" w14:paraId="2F806C4F" w14:textId="77777777">
        <w:trPr>
          <w:trHeight w:val="390"/>
        </w:trPr>
        <w:tc>
          <w:tcPr>
            <w:tcW w:w="2634"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274DA6B3" w14:textId="77EACB39">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Samazināts veselības un vides apdraudējums </w:t>
            </w:r>
          </w:p>
        </w:tc>
        <w:tc>
          <w:tcPr>
            <w:tcW w:w="3299"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2AE3C1B2" w14:textId="6AC7906E">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Veicot </w:t>
            </w:r>
            <w:r w:rsidRPr="0B812883" w:rsidR="44363FA0">
              <w:rPr>
                <w:rFonts w:ascii="Times New Roman" w:hAnsi="Times New Roman" w:eastAsia="Times New Roman" w:cs="Times New Roman"/>
                <w:color w:val="000000" w:themeColor="text1"/>
                <w:sz w:val="23"/>
                <w:szCs w:val="23"/>
              </w:rPr>
              <w:t xml:space="preserve">atbilstošu </w:t>
            </w:r>
            <w:r w:rsidRPr="0B812883">
              <w:rPr>
                <w:rFonts w:ascii="Times New Roman" w:hAnsi="Times New Roman" w:eastAsia="Times New Roman" w:cs="Times New Roman"/>
                <w:color w:val="000000" w:themeColor="text1"/>
                <w:sz w:val="23"/>
                <w:szCs w:val="23"/>
              </w:rPr>
              <w:t xml:space="preserve">atkritumu </w:t>
            </w:r>
            <w:r w:rsidRPr="0B812883" w:rsidR="3F08ED9B">
              <w:rPr>
                <w:rFonts w:ascii="Times New Roman" w:hAnsi="Times New Roman" w:eastAsia="Times New Roman" w:cs="Times New Roman"/>
                <w:color w:val="000000" w:themeColor="text1"/>
                <w:sz w:val="23"/>
                <w:szCs w:val="23"/>
              </w:rPr>
              <w:t>dalītu vākšanu</w:t>
            </w:r>
            <w:r w:rsidRPr="0B812883">
              <w:rPr>
                <w:rFonts w:ascii="Times New Roman" w:hAnsi="Times New Roman" w:eastAsia="Times New Roman" w:cs="Times New Roman"/>
                <w:color w:val="000000" w:themeColor="text1"/>
                <w:sz w:val="23"/>
                <w:szCs w:val="23"/>
              </w:rPr>
              <w:t>, samazinās gaisa, ūdens un augsnes piesārņojums</w:t>
            </w:r>
          </w:p>
        </w:tc>
        <w:tc>
          <w:tcPr>
            <w:tcW w:w="3156"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08B9CA90" w14:textId="55300C4A">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Līdzekļu ietaupījums vides piesārņojuma samazināšanai</w:t>
            </w:r>
          </w:p>
        </w:tc>
      </w:tr>
    </w:tbl>
    <w:p w:rsidR="000A6DD3" w:rsidP="00C20642" w:rsidRDefault="074252D3" w14:paraId="6F172EE1" w14:textId="7578294D">
      <w:pPr>
        <w:spacing w:line="257" w:lineRule="auto"/>
        <w:jc w:val="both"/>
        <w:rPr>
          <w:rFonts w:ascii="Times New Roman" w:hAnsi="Times New Roman" w:eastAsia="Times New Roman" w:cs="Times New Roman"/>
          <w:sz w:val="24"/>
          <w:szCs w:val="24"/>
        </w:rPr>
      </w:pPr>
      <w:r w:rsidRPr="0B812883">
        <w:rPr>
          <w:rFonts w:ascii="Times New Roman" w:hAnsi="Times New Roman" w:eastAsia="Times New Roman" w:cs="Times New Roman"/>
          <w:sz w:val="24"/>
          <w:szCs w:val="24"/>
        </w:rPr>
        <w:t xml:space="preserve"> </w:t>
      </w:r>
    </w:p>
    <w:tbl>
      <w:tblPr>
        <w:tblW w:w="0" w:type="auto"/>
        <w:tblLayout w:type="fixed"/>
        <w:tblLook w:val="06A0" w:firstRow="1" w:lastRow="0" w:firstColumn="1" w:lastColumn="0" w:noHBand="1" w:noVBand="1"/>
      </w:tblPr>
      <w:tblGrid>
        <w:gridCol w:w="2630"/>
        <w:gridCol w:w="3275"/>
        <w:gridCol w:w="3183"/>
      </w:tblGrid>
      <w:tr w:rsidR="0B812883" w:rsidTr="0B812883" w14:paraId="00846AFB" w14:textId="77777777">
        <w:trPr>
          <w:trHeight w:val="930"/>
        </w:trPr>
        <w:tc>
          <w:tcPr>
            <w:tcW w:w="2630"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389E7A78" w14:textId="1A1AC953">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Samazināts atkritumu poligonu platības / izmaksas </w:t>
            </w:r>
          </w:p>
        </w:tc>
        <w:tc>
          <w:tcPr>
            <w:tcW w:w="3275" w:type="dxa"/>
            <w:tcBorders>
              <w:top w:val="single" w:color="auto" w:sz="8" w:space="0"/>
              <w:left w:val="single" w:color="auto" w:sz="8" w:space="0"/>
              <w:bottom w:val="single" w:color="auto" w:sz="8" w:space="0"/>
              <w:right w:val="single" w:color="auto" w:sz="8" w:space="0"/>
            </w:tcBorders>
            <w:tcMar>
              <w:left w:w="108" w:type="dxa"/>
              <w:right w:w="108" w:type="dxa"/>
            </w:tcMar>
          </w:tcPr>
          <w:p w:rsidR="2ACECCDF" w:rsidP="00C20642" w:rsidRDefault="2ACECCDF" w14:paraId="40048B93" w14:textId="78448B43">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Dalīti vācot</w:t>
            </w:r>
            <w:r w:rsidRPr="0B812883" w:rsidR="0B812883">
              <w:rPr>
                <w:rFonts w:ascii="Times New Roman" w:hAnsi="Times New Roman" w:eastAsia="Times New Roman" w:cs="Times New Roman"/>
                <w:color w:val="000000" w:themeColor="text1"/>
                <w:sz w:val="23"/>
                <w:szCs w:val="23"/>
              </w:rPr>
              <w:t xml:space="preserve"> atkritumus,</w:t>
            </w:r>
            <w:r w:rsidRPr="0B812883" w:rsidR="311F4E8D">
              <w:rPr>
                <w:rFonts w:ascii="Times New Roman" w:hAnsi="Times New Roman" w:eastAsia="Times New Roman" w:cs="Times New Roman"/>
                <w:color w:val="000000" w:themeColor="text1"/>
                <w:sz w:val="23"/>
                <w:szCs w:val="23"/>
              </w:rPr>
              <w:t xml:space="preserve"> tos iespējams nodot pārstrādei, tādējādi</w:t>
            </w:r>
            <w:r w:rsidRPr="0B812883" w:rsidR="0B812883">
              <w:rPr>
                <w:rFonts w:ascii="Times New Roman" w:hAnsi="Times New Roman" w:eastAsia="Times New Roman" w:cs="Times New Roman"/>
                <w:color w:val="000000" w:themeColor="text1"/>
                <w:sz w:val="23"/>
                <w:szCs w:val="23"/>
              </w:rPr>
              <w:t xml:space="preserve"> samazinās poligonu uzturēšanas izmaksas </w:t>
            </w:r>
          </w:p>
        </w:tc>
        <w:tc>
          <w:tcPr>
            <w:tcW w:w="3183"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050EF450" w14:textId="516245CB">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Līdzekļu ietaupījums, samazināto poligonu platību uzturēšanai un apsaimniekošanai, ietaupītās cilvēkresursu izmaksas atkritumu šķirošanai vai sagatavošanai apglabāšanai</w:t>
            </w:r>
          </w:p>
        </w:tc>
      </w:tr>
      <w:tr w:rsidR="0B812883" w:rsidTr="0B812883" w14:paraId="3EA37297" w14:textId="77777777">
        <w:trPr>
          <w:trHeight w:val="660"/>
        </w:trPr>
        <w:tc>
          <w:tcPr>
            <w:tcW w:w="2630"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78A6D9BF" w14:textId="6A68E3B6">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Samazināta vizuālā nepievilcība, skaņa un smaka </w:t>
            </w:r>
          </w:p>
        </w:tc>
        <w:tc>
          <w:tcPr>
            <w:tcW w:w="3275"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166953A8" w14:textId="0E27CCF2">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Veicot </w:t>
            </w:r>
            <w:r w:rsidRPr="0B812883" w:rsidR="05C93752">
              <w:rPr>
                <w:rFonts w:ascii="Times New Roman" w:hAnsi="Times New Roman" w:eastAsia="Times New Roman" w:cs="Times New Roman"/>
                <w:color w:val="000000" w:themeColor="text1"/>
                <w:sz w:val="23"/>
                <w:szCs w:val="23"/>
              </w:rPr>
              <w:t xml:space="preserve">atbilstošu </w:t>
            </w:r>
            <w:r w:rsidRPr="0B812883">
              <w:rPr>
                <w:rFonts w:ascii="Times New Roman" w:hAnsi="Times New Roman" w:eastAsia="Times New Roman" w:cs="Times New Roman"/>
                <w:color w:val="000000" w:themeColor="text1"/>
                <w:sz w:val="23"/>
                <w:szCs w:val="23"/>
              </w:rPr>
              <w:t xml:space="preserve">atkritumu </w:t>
            </w:r>
            <w:r w:rsidRPr="0B812883" w:rsidR="66A1B6C8">
              <w:rPr>
                <w:rFonts w:ascii="Times New Roman" w:hAnsi="Times New Roman" w:eastAsia="Times New Roman" w:cs="Times New Roman"/>
                <w:color w:val="000000" w:themeColor="text1"/>
                <w:sz w:val="23"/>
                <w:szCs w:val="23"/>
              </w:rPr>
              <w:t>dalītu vākšanu</w:t>
            </w:r>
            <w:r w:rsidRPr="0B812883">
              <w:rPr>
                <w:rFonts w:ascii="Times New Roman" w:hAnsi="Times New Roman" w:eastAsia="Times New Roman" w:cs="Times New Roman"/>
                <w:color w:val="000000" w:themeColor="text1"/>
                <w:sz w:val="23"/>
                <w:szCs w:val="23"/>
              </w:rPr>
              <w:t>, samazinās gaisa, ūdens un augsnes piesārņojums no atkritumiem, kas netiek savākti</w:t>
            </w:r>
          </w:p>
        </w:tc>
        <w:tc>
          <w:tcPr>
            <w:tcW w:w="3183"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470743B4" w14:textId="5AB8D372">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Līdzekļu ietaupījums vides piesārņojuma samazināšanai </w:t>
            </w:r>
          </w:p>
        </w:tc>
      </w:tr>
      <w:tr w:rsidR="0B812883" w:rsidTr="0B812883" w14:paraId="5AB799C9" w14:textId="77777777">
        <w:trPr>
          <w:trHeight w:val="390"/>
        </w:trPr>
        <w:tc>
          <w:tcPr>
            <w:tcW w:w="2630"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14DA7F31" w14:textId="63F6986B">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SEG emisiju samazinājums </w:t>
            </w:r>
          </w:p>
        </w:tc>
        <w:tc>
          <w:tcPr>
            <w:tcW w:w="3275"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30BED407" w14:textId="16EA44A5">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Veicot atkritumu </w:t>
            </w:r>
            <w:r w:rsidRPr="0B812883" w:rsidR="657C87DD">
              <w:rPr>
                <w:rFonts w:ascii="Times New Roman" w:hAnsi="Times New Roman" w:eastAsia="Times New Roman" w:cs="Times New Roman"/>
                <w:color w:val="000000" w:themeColor="text1"/>
                <w:sz w:val="23"/>
                <w:szCs w:val="23"/>
              </w:rPr>
              <w:t>dalītu vākšanu (lai varētu tos nodot pārstrādei)</w:t>
            </w:r>
            <w:r w:rsidRPr="0B812883">
              <w:rPr>
                <w:rFonts w:ascii="Times New Roman" w:hAnsi="Times New Roman" w:eastAsia="Times New Roman" w:cs="Times New Roman"/>
                <w:color w:val="000000" w:themeColor="text1"/>
                <w:sz w:val="23"/>
                <w:szCs w:val="23"/>
              </w:rPr>
              <w:t>,</w:t>
            </w:r>
            <w:r w:rsidRPr="0B812883" w:rsidR="3F753A78">
              <w:rPr>
                <w:rFonts w:ascii="Times New Roman" w:hAnsi="Times New Roman" w:eastAsia="Times New Roman" w:cs="Times New Roman"/>
                <w:color w:val="000000" w:themeColor="text1"/>
                <w:sz w:val="23"/>
                <w:szCs w:val="23"/>
              </w:rPr>
              <w:t xml:space="preserve"> var tikt</w:t>
            </w:r>
            <w:r w:rsidRPr="0B812883">
              <w:rPr>
                <w:rFonts w:ascii="Times New Roman" w:hAnsi="Times New Roman" w:eastAsia="Times New Roman" w:cs="Times New Roman"/>
                <w:color w:val="000000" w:themeColor="text1"/>
                <w:sz w:val="23"/>
                <w:szCs w:val="23"/>
              </w:rPr>
              <w:t xml:space="preserve"> samazinā</w:t>
            </w:r>
            <w:r w:rsidRPr="0B812883" w:rsidR="17B164D7">
              <w:rPr>
                <w:rFonts w:ascii="Times New Roman" w:hAnsi="Times New Roman" w:eastAsia="Times New Roman" w:cs="Times New Roman"/>
                <w:color w:val="000000" w:themeColor="text1"/>
                <w:sz w:val="23"/>
                <w:szCs w:val="23"/>
              </w:rPr>
              <w:t>ta</w:t>
            </w:r>
            <w:r w:rsidRPr="0B812883">
              <w:rPr>
                <w:rFonts w:ascii="Times New Roman" w:hAnsi="Times New Roman" w:eastAsia="Times New Roman" w:cs="Times New Roman"/>
                <w:color w:val="000000" w:themeColor="text1"/>
                <w:sz w:val="23"/>
                <w:szCs w:val="23"/>
              </w:rPr>
              <w:t xml:space="preserve">s SEG emisijas </w:t>
            </w:r>
          </w:p>
        </w:tc>
        <w:tc>
          <w:tcPr>
            <w:tcW w:w="3183" w:type="dxa"/>
            <w:tcBorders>
              <w:top w:val="single" w:color="auto" w:sz="8" w:space="0"/>
              <w:left w:val="single" w:color="auto" w:sz="8" w:space="0"/>
              <w:bottom w:val="single" w:color="auto" w:sz="8" w:space="0"/>
              <w:right w:val="single" w:color="auto" w:sz="8" w:space="0"/>
            </w:tcBorders>
            <w:tcMar>
              <w:left w:w="108" w:type="dxa"/>
              <w:right w:w="108" w:type="dxa"/>
            </w:tcMar>
          </w:tcPr>
          <w:p w:rsidR="0B812883" w:rsidP="00C20642" w:rsidRDefault="0B812883" w14:paraId="7E058658" w14:textId="6DA8955B">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Līdzekļu ietaupījums vides piesārņojuma samazināšanai</w:t>
            </w:r>
          </w:p>
        </w:tc>
      </w:tr>
    </w:tbl>
    <w:p w:rsidR="000A6DD3" w:rsidP="00C20642" w:rsidRDefault="000A6DD3" w14:paraId="3957F963" w14:textId="22814DEE">
      <w:pPr>
        <w:spacing w:line="257" w:lineRule="auto"/>
        <w:jc w:val="both"/>
        <w:rPr>
          <w:rFonts w:ascii="Times New Roman" w:hAnsi="Times New Roman" w:eastAsia="Times New Roman" w:cs="Times New Roman"/>
          <w:sz w:val="24"/>
          <w:szCs w:val="24"/>
        </w:rPr>
      </w:pPr>
    </w:p>
    <w:p w:rsidR="000A6DD3" w:rsidP="00C20642" w:rsidRDefault="074252D3" w14:paraId="352852FB" w14:textId="105B0923">
      <w:pPr>
        <w:spacing w:line="257" w:lineRule="auto"/>
        <w:jc w:val="both"/>
        <w:rPr>
          <w:rFonts w:ascii="Times New Roman" w:hAnsi="Times New Roman" w:eastAsia="Times New Roman" w:cs="Times New Roman"/>
          <w:sz w:val="24"/>
          <w:szCs w:val="24"/>
        </w:rPr>
      </w:pPr>
      <w:r w:rsidRPr="0B812883">
        <w:rPr>
          <w:rFonts w:ascii="Times New Roman" w:hAnsi="Times New Roman" w:eastAsia="Times New Roman" w:cs="Times New Roman"/>
          <w:sz w:val="24"/>
          <w:szCs w:val="24"/>
        </w:rPr>
        <w:t>Tabulā norādīti daži sociālekonomisko zaudējumu piemēri:</w:t>
      </w:r>
    </w:p>
    <w:tbl>
      <w:tblPr>
        <w:tblW w:w="0" w:type="auto"/>
        <w:tblLayout w:type="fixed"/>
        <w:tblLook w:val="06A0" w:firstRow="1" w:lastRow="0" w:firstColumn="1" w:lastColumn="0" w:noHBand="1" w:noVBand="1"/>
      </w:tblPr>
      <w:tblGrid>
        <w:gridCol w:w="2624"/>
        <w:gridCol w:w="3265"/>
        <w:gridCol w:w="3154"/>
      </w:tblGrid>
      <w:tr w:rsidR="0B812883" w:rsidTr="0B812883" w14:paraId="71203176" w14:textId="77777777">
        <w:trPr>
          <w:trHeight w:val="105"/>
        </w:trPr>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45A90908" w14:textId="0D6D4939">
            <w:pPr>
              <w:spacing w:after="0"/>
              <w:rPr>
                <w:rFonts w:ascii="Times New Roman" w:hAnsi="Times New Roman" w:eastAsia="Times New Roman" w:cs="Times New Roman"/>
                <w:b/>
                <w:bCs/>
                <w:color w:val="000000" w:themeColor="text1"/>
                <w:sz w:val="23"/>
                <w:szCs w:val="23"/>
              </w:rPr>
            </w:pPr>
            <w:r w:rsidRPr="0B812883">
              <w:rPr>
                <w:rFonts w:ascii="Times New Roman" w:hAnsi="Times New Roman" w:eastAsia="Times New Roman" w:cs="Times New Roman"/>
                <w:b/>
                <w:bCs/>
                <w:color w:val="000000" w:themeColor="text1"/>
                <w:sz w:val="23"/>
                <w:szCs w:val="23"/>
              </w:rPr>
              <w:t xml:space="preserve">Zaudējumi </w:t>
            </w:r>
          </w:p>
        </w:tc>
        <w:tc>
          <w:tcPr>
            <w:tcW w:w="3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1F4FFE62" w14:textId="105DAF95">
            <w:pPr>
              <w:spacing w:after="0"/>
              <w:rPr>
                <w:rFonts w:ascii="Times New Roman" w:hAnsi="Times New Roman" w:eastAsia="Times New Roman" w:cs="Times New Roman"/>
                <w:b/>
                <w:bCs/>
                <w:color w:val="000000" w:themeColor="text1"/>
                <w:sz w:val="23"/>
                <w:szCs w:val="23"/>
              </w:rPr>
            </w:pPr>
            <w:r w:rsidRPr="0B812883">
              <w:rPr>
                <w:rFonts w:ascii="Times New Roman" w:hAnsi="Times New Roman" w:eastAsia="Times New Roman" w:cs="Times New Roman"/>
                <w:b/>
                <w:bCs/>
                <w:color w:val="000000" w:themeColor="text1"/>
                <w:sz w:val="23"/>
                <w:szCs w:val="23"/>
              </w:rPr>
              <w:t xml:space="preserve">Apraksts </w:t>
            </w:r>
          </w:p>
        </w:tc>
        <w:tc>
          <w:tcPr>
            <w:tcW w:w="31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4E8E296E" w14:textId="63CBA088">
            <w:pPr>
              <w:spacing w:after="0"/>
              <w:rPr>
                <w:rFonts w:ascii="Times New Roman" w:hAnsi="Times New Roman" w:eastAsia="Times New Roman" w:cs="Times New Roman"/>
                <w:b/>
                <w:bCs/>
                <w:color w:val="000000" w:themeColor="text1"/>
                <w:sz w:val="23"/>
                <w:szCs w:val="23"/>
              </w:rPr>
            </w:pPr>
            <w:r w:rsidRPr="0B812883">
              <w:rPr>
                <w:rFonts w:ascii="Times New Roman" w:hAnsi="Times New Roman" w:eastAsia="Times New Roman" w:cs="Times New Roman"/>
                <w:b/>
                <w:bCs/>
                <w:color w:val="000000" w:themeColor="text1"/>
                <w:sz w:val="23"/>
                <w:szCs w:val="23"/>
              </w:rPr>
              <w:t xml:space="preserve">Ietekmes rādītājs </w:t>
            </w:r>
          </w:p>
        </w:tc>
      </w:tr>
      <w:tr w:rsidR="0B812883" w:rsidTr="0B812883" w14:paraId="484CA352" w14:textId="77777777">
        <w:trPr>
          <w:trHeight w:val="930"/>
        </w:trPr>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28571E0D" w14:textId="7F7B814C">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Zemes zaudēto iespēju izmaksas </w:t>
            </w:r>
          </w:p>
        </w:tc>
        <w:tc>
          <w:tcPr>
            <w:tcW w:w="3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6F2BE332" w14:textId="37B8F5BE">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Izveidojot </w:t>
            </w:r>
            <w:r w:rsidRPr="0B812883" w:rsidR="5F61251E">
              <w:rPr>
                <w:rFonts w:ascii="Times New Roman" w:hAnsi="Times New Roman" w:eastAsia="Times New Roman" w:cs="Times New Roman"/>
                <w:color w:val="000000" w:themeColor="text1"/>
                <w:sz w:val="23"/>
                <w:szCs w:val="23"/>
              </w:rPr>
              <w:t xml:space="preserve">dalītās vākšanas </w:t>
            </w:r>
            <w:r w:rsidRPr="0B812883" w:rsidR="41303715">
              <w:rPr>
                <w:rFonts w:ascii="Times New Roman" w:hAnsi="Times New Roman" w:eastAsia="Times New Roman" w:cs="Times New Roman"/>
                <w:color w:val="000000" w:themeColor="text1"/>
                <w:sz w:val="23"/>
                <w:szCs w:val="23"/>
              </w:rPr>
              <w:t>infrastruktūru</w:t>
            </w:r>
            <w:r w:rsidRPr="0B812883">
              <w:rPr>
                <w:rFonts w:ascii="Times New Roman" w:hAnsi="Times New Roman" w:eastAsia="Times New Roman" w:cs="Times New Roman"/>
                <w:color w:val="000000" w:themeColor="text1"/>
                <w:sz w:val="23"/>
                <w:szCs w:val="23"/>
              </w:rPr>
              <w:t xml:space="preserve">, ir nepieciešama papildus zeme, kas </w:t>
            </w:r>
            <w:r w:rsidRPr="0B812883" w:rsidR="7A9FABCA">
              <w:rPr>
                <w:rFonts w:ascii="Times New Roman" w:hAnsi="Times New Roman" w:eastAsia="Times New Roman" w:cs="Times New Roman"/>
                <w:color w:val="000000" w:themeColor="text1"/>
                <w:sz w:val="23"/>
                <w:szCs w:val="23"/>
              </w:rPr>
              <w:t>sākotnēji var nebūt</w:t>
            </w:r>
            <w:r w:rsidRPr="0B812883">
              <w:rPr>
                <w:rFonts w:ascii="Times New Roman" w:hAnsi="Times New Roman" w:eastAsia="Times New Roman" w:cs="Times New Roman"/>
                <w:color w:val="000000" w:themeColor="text1"/>
                <w:sz w:val="23"/>
                <w:szCs w:val="23"/>
              </w:rPr>
              <w:t xml:space="preserve"> projekta īstenotāja īpašumā </w:t>
            </w:r>
          </w:p>
        </w:tc>
        <w:tc>
          <w:tcPr>
            <w:tcW w:w="31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23D7D625" w14:textId="6A41B1F8">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Nepieciešamās zemes novērtējums naudas izteiksmē. Piemēram, to var aprēķināt, reizinot nepieciešamās zemes platību </w:t>
            </w:r>
            <w:r w:rsidRPr="0B812883" w:rsidR="73507C5A">
              <w:rPr>
                <w:rFonts w:ascii="Times New Roman" w:hAnsi="Times New Roman" w:eastAsia="Times New Roman" w:cs="Times New Roman"/>
                <w:color w:val="000000" w:themeColor="text1"/>
                <w:sz w:val="23"/>
                <w:szCs w:val="23"/>
              </w:rPr>
              <w:t xml:space="preserve">dalītās vākšanas </w:t>
            </w:r>
            <w:r w:rsidRPr="0B812883" w:rsidR="49BDAAC9">
              <w:rPr>
                <w:rFonts w:ascii="Times New Roman" w:hAnsi="Times New Roman" w:eastAsia="Times New Roman" w:cs="Times New Roman"/>
                <w:color w:val="000000" w:themeColor="text1"/>
                <w:sz w:val="23"/>
                <w:szCs w:val="23"/>
              </w:rPr>
              <w:t>infrastruktūras</w:t>
            </w:r>
            <w:r w:rsidRPr="0B812883">
              <w:rPr>
                <w:rFonts w:ascii="Times New Roman" w:hAnsi="Times New Roman" w:eastAsia="Times New Roman" w:cs="Times New Roman"/>
                <w:color w:val="000000" w:themeColor="text1"/>
                <w:sz w:val="23"/>
                <w:szCs w:val="23"/>
              </w:rPr>
              <w:t xml:space="preserve"> izveidei ar zemes vidējo kadastrālo cenu</w:t>
            </w:r>
          </w:p>
        </w:tc>
      </w:tr>
      <w:tr w:rsidR="0B812883" w:rsidTr="0B812883" w14:paraId="0C9A4D6C" w14:textId="77777777">
        <w:trPr>
          <w:trHeight w:val="2310"/>
        </w:trPr>
        <w:tc>
          <w:tcPr>
            <w:tcW w:w="262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6F2BBF7F" w14:textId="2133A815">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Trokšņu līmeņa palielināšanās un ar būvniecības procesa norisi saistītie zaudējumi projekta ieviešanas laikā vietējiem iedzīvotājiem </w:t>
            </w:r>
          </w:p>
        </w:tc>
        <w:tc>
          <w:tcPr>
            <w:tcW w:w="326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3BC1AA2B" w14:textId="033B22AC">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 xml:space="preserve">Būvdarbu norises ietekmē paredzami papildus transporta ierobežojumi, trokšņu līmeņa paaugstināšanās, atsevišķu teritoriju norobežošana un izslēgšana uz laiku no platības, kas izmantojama rekreācijai. Līdz ar to radīsies dažādas neērtības vietējiem iedzīvotājiem – ierobežota piekļuve atsevišķiem objektiem, papildus troksnis utml., kas nozīmē, ka uz laiku pasliktināsies dzīvojamās vides kvalitāte </w:t>
            </w:r>
          </w:p>
        </w:tc>
        <w:tc>
          <w:tcPr>
            <w:tcW w:w="31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B812883" w:rsidP="00C20642" w:rsidRDefault="0B812883" w14:paraId="748CB560" w14:textId="49805EE8">
            <w:pPr>
              <w:spacing w:after="0"/>
              <w:rPr>
                <w:rFonts w:ascii="Times New Roman" w:hAnsi="Times New Roman" w:eastAsia="Times New Roman" w:cs="Times New Roman"/>
                <w:color w:val="000000" w:themeColor="text1"/>
                <w:sz w:val="23"/>
                <w:szCs w:val="23"/>
              </w:rPr>
            </w:pPr>
            <w:r w:rsidRPr="0B812883">
              <w:rPr>
                <w:rFonts w:ascii="Times New Roman" w:hAnsi="Times New Roman" w:eastAsia="Times New Roman" w:cs="Times New Roman"/>
                <w:color w:val="000000" w:themeColor="text1"/>
                <w:sz w:val="23"/>
                <w:szCs w:val="23"/>
              </w:rPr>
              <w:t>Vietējo iedzīvotāju neapmierinātība ar dzīvojamās vides kvalitāti būvniecības laikā, kas izteikta naudas izteiksmē kā papildus izdevumi veselības veicināšanai</w:t>
            </w:r>
          </w:p>
        </w:tc>
      </w:tr>
    </w:tbl>
    <w:p w:rsidRPr="00E6581F" w:rsidR="00570B6A" w:rsidP="00570B6A" w:rsidRDefault="00570B6A" w14:paraId="57E6D15B" w14:textId="54EE458C">
      <w:pPr>
        <w:jc w:val="both"/>
        <w:rPr>
          <w:rFonts w:ascii="Times New Roman" w:hAnsi="Times New Roman" w:cs="Times New Roman"/>
          <w:sz w:val="24"/>
          <w:szCs w:val="24"/>
        </w:rPr>
      </w:pPr>
      <w:r w:rsidRPr="00E6581F">
        <w:rPr>
          <w:rFonts w:ascii="Times New Roman" w:hAnsi="Times New Roman" w:cs="Times New Roman"/>
          <w:sz w:val="24"/>
          <w:szCs w:val="24"/>
        </w:rPr>
        <w:lastRenderedPageBreak/>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0B5492">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0B5492">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000B5492">
        <w:rPr>
          <w:rFonts w:ascii="Times New Roman" w:hAnsi="Times New Roman" w:cs="Times New Roman"/>
          <w:sz w:val="24"/>
          <w:szCs w:val="24"/>
        </w:rPr>
        <w:t>”</w:t>
      </w:r>
      <w:r w:rsidRPr="00E6581F">
        <w:rPr>
          <w:rFonts w:ascii="Times New Roman" w:hAnsi="Times New Roman" w:cs="Times New Roman"/>
          <w:sz w:val="24"/>
          <w:szCs w:val="24"/>
        </w:rPr>
        <w:t>.</w:t>
      </w:r>
    </w:p>
    <w:p w:rsidRPr="004914B1" w:rsidR="00384276" w:rsidP="00384276" w:rsidRDefault="00384276" w14:paraId="6D484676" w14:textId="1284CBA1">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rsidRPr="004914B1" w:rsidR="0094491C" w:rsidP="0094491C" w:rsidRDefault="0094491C" w14:paraId="2E36B406" w14:textId="05B5A6C9">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Pr="00306D78" w:rsid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914B1" w:rsidR="0084491B" w:rsidP="0084491B" w:rsidRDefault="0084491B" w14:paraId="4209DDFD" w14:textId="79A04EFC">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rsidRPr="009504F0" w:rsidR="00266FC1" w:rsidP="00266FC1" w:rsidRDefault="00266FC1" w14:paraId="56F517C1" w14:textId="2B0186D2">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rsidRPr="009504F0" w:rsidR="002068C2" w:rsidP="007C06C8" w:rsidRDefault="00266FC1" w14:paraId="15D55612" w14:textId="16EA5F8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Pr="009504F0" w:rsidR="00A46785">
        <w:rPr>
          <w:rFonts w:ascii="Times New Roman" w:hAnsi="Times New Roman" w:cs="Times New Roman"/>
          <w:sz w:val="24"/>
          <w:szCs w:val="24"/>
        </w:rPr>
        <w:t>:</w:t>
      </w:r>
    </w:p>
    <w:p w:rsidRPr="009504F0" w:rsidR="00266FC1" w:rsidP="008E0762" w:rsidRDefault="00266FC1" w14:paraId="45590E58" w14:textId="13AFCB3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Pr="009504F0" w:rsidR="00A46785">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Pr="009504F0" w:rsidR="00A46785">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Pr="009504F0" w:rsidR="006F293A">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F293A">
        <w:rPr>
          <w:rFonts w:ascii="Times New Roman" w:hAnsi="Times New Roman" w:cs="Times New Roman"/>
          <w:b/>
          <w:bCs/>
          <w:sz w:val="24"/>
          <w:szCs w:val="24"/>
        </w:rPr>
        <w:t>orāda projekta darbības izmaksu periodā</w:t>
      </w:r>
      <w:r w:rsidRPr="009504F0" w:rsidR="00A46785">
        <w:rPr>
          <w:rFonts w:ascii="Times New Roman" w:hAnsi="Times New Roman" w:cs="Times New Roman"/>
          <w:sz w:val="24"/>
          <w:szCs w:val="24"/>
        </w:rPr>
        <w:t>;</w:t>
      </w:r>
    </w:p>
    <w:p w:rsidRPr="009504F0" w:rsidR="00A46785" w:rsidP="008E0762" w:rsidRDefault="00A46785" w14:paraId="75FD0556" w14:textId="2258D825">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9504F0" w:rsidR="006C7056">
        <w:rPr>
          <w:rFonts w:ascii="Times New Roman" w:hAnsi="Times New Roman" w:cs="Times New Roman"/>
          <w:sz w:val="24"/>
          <w:szCs w:val="24"/>
        </w:rPr>
        <w:t xml:space="preserve"> </w:t>
      </w:r>
      <w:r w:rsidRPr="00F2781D" w:rsidR="001812D6">
        <w:rPr>
          <w:rFonts w:ascii="Times New Roman" w:hAnsi="Times New Roman" w:cs="Times New Roman"/>
          <w:b/>
          <w:bCs/>
          <w:sz w:val="24"/>
          <w:szCs w:val="24"/>
        </w:rPr>
        <w:t>Šos datus n</w:t>
      </w:r>
      <w:r w:rsidRPr="00F2781D" w:rsidR="006C7056">
        <w:rPr>
          <w:rFonts w:ascii="Times New Roman" w:hAnsi="Times New Roman" w:cs="Times New Roman"/>
          <w:b/>
          <w:bCs/>
          <w:sz w:val="24"/>
          <w:szCs w:val="24"/>
        </w:rPr>
        <w:t xml:space="preserve">orāda </w:t>
      </w:r>
      <w:r w:rsidRPr="00F2781D" w:rsidR="006F293A">
        <w:rPr>
          <w:rFonts w:ascii="Times New Roman" w:hAnsi="Times New Roman" w:cs="Times New Roman"/>
          <w:b/>
          <w:bCs/>
          <w:sz w:val="24"/>
          <w:szCs w:val="24"/>
        </w:rPr>
        <w:t xml:space="preserve">projekta investīciju ieviešanas periodā </w:t>
      </w:r>
      <w:r w:rsidRPr="00F2781D" w:rsidR="006C7056">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rsidRPr="009504F0" w:rsidR="00A46785" w:rsidP="006761DB" w:rsidRDefault="00A46785" w14:paraId="0852CC20" w14:textId="7D7AA56D">
      <w:pPr>
        <w:pStyle w:val="ListParagraph"/>
        <w:numPr>
          <w:ilvl w:val="0"/>
          <w:numId w:val="35"/>
        </w:numPr>
        <w:jc w:val="both"/>
        <w:rPr>
          <w:rFonts w:ascii="Times New Roman" w:hAnsi="Times New Roman" w:cs="Times New Roman"/>
          <w:sz w:val="24"/>
          <w:szCs w:val="24"/>
        </w:rPr>
      </w:pPr>
      <w:r w:rsidRPr="35C532C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Pr="35C532CB" w:rsidR="001E0E3D">
        <w:rPr>
          <w:rFonts w:ascii="Times New Roman" w:hAnsi="Times New Roman" w:cs="Times New Roman"/>
          <w:sz w:val="24"/>
          <w:szCs w:val="24"/>
        </w:rPr>
        <w:t xml:space="preserve">(PVN) </w:t>
      </w:r>
      <w:r w:rsidRPr="35C532CB">
        <w:rPr>
          <w:rFonts w:ascii="Times New Roman" w:hAnsi="Times New Roman" w:cs="Times New Roman"/>
          <w:sz w:val="24"/>
          <w:szCs w:val="24"/>
        </w:rPr>
        <w:t>daļu</w:t>
      </w:r>
      <w:r w:rsidRPr="35C532CB" w:rsidR="001E0E3D">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w:t>
      </w:r>
      <w:r w:rsidRPr="35C532CB" w:rsidR="6B358482">
        <w:rPr>
          <w:rFonts w:ascii="Times New Roman" w:hAnsi="Times New Roman" w:cs="Times New Roman"/>
          <w:sz w:val="24"/>
          <w:szCs w:val="24"/>
        </w:rPr>
        <w:t>,</w:t>
      </w:r>
      <w:r w:rsidRPr="35C532CB" w:rsidR="001E0E3D">
        <w:rPr>
          <w:rFonts w:ascii="Times New Roman" w:hAnsi="Times New Roman" w:cs="Times New Roman"/>
          <w:sz w:val="24"/>
          <w:szCs w:val="24"/>
        </w:rPr>
        <w:t xml:space="preserve"> PVN nenorāda, jo par to jau investīciju izmaksas ir jau samazinātas</w:t>
      </w:r>
      <w:r w:rsidRPr="35C532CB" w:rsidR="52A7E539">
        <w:rPr>
          <w:rFonts w:ascii="Times New Roman" w:hAnsi="Times New Roman" w:cs="Times New Roman"/>
          <w:sz w:val="24"/>
          <w:szCs w:val="24"/>
        </w:rPr>
        <w:t>,</w:t>
      </w:r>
      <w:r w:rsidRPr="35C532CB" w:rsidR="001E0E3D">
        <w:rPr>
          <w:rFonts w:ascii="Times New Roman" w:hAnsi="Times New Roman" w:cs="Times New Roman"/>
          <w:sz w:val="24"/>
          <w:szCs w:val="24"/>
        </w:rPr>
        <w:t xml:space="preserve"> finanšu analīzē norādot neattiecināmo PVN izklājlapā 1.1.</w:t>
      </w:r>
      <w:r w:rsidRPr="35C532CB" w:rsidR="5746E498">
        <w:rPr>
          <w:rFonts w:ascii="Times New Roman" w:hAnsi="Times New Roman" w:cs="Times New Roman"/>
          <w:sz w:val="24"/>
          <w:szCs w:val="24"/>
        </w:rPr>
        <w:t>B</w:t>
      </w:r>
      <w:r w:rsidRPr="35C532CB" w:rsidR="001E0E3D">
        <w:rPr>
          <w:rFonts w:ascii="Times New Roman" w:hAnsi="Times New Roman" w:cs="Times New Roman"/>
          <w:sz w:val="24"/>
          <w:szCs w:val="24"/>
        </w:rPr>
        <w:t xml:space="preserve"> Iesniedzējs </w:t>
      </w:r>
      <w:r w:rsidRPr="35C532CB" w:rsidR="00031792">
        <w:rPr>
          <w:rFonts w:ascii="Times New Roman" w:hAnsi="Times New Roman" w:cs="Times New Roman"/>
          <w:sz w:val="24"/>
          <w:szCs w:val="24"/>
        </w:rPr>
        <w:t>25</w:t>
      </w:r>
      <w:r w:rsidRPr="35C532CB" w:rsidR="001E0E3D">
        <w:rPr>
          <w:rFonts w:ascii="Times New Roman" w:hAnsi="Times New Roman" w:cs="Times New Roman"/>
          <w:sz w:val="24"/>
          <w:szCs w:val="24"/>
        </w:rPr>
        <w:t>.rindā)</w:t>
      </w:r>
      <w:r w:rsidRPr="35C532CB" w:rsidR="006C7056">
        <w:rPr>
          <w:rFonts w:ascii="Times New Roman" w:hAnsi="Times New Roman" w:cs="Times New Roman"/>
          <w:sz w:val="24"/>
          <w:szCs w:val="24"/>
        </w:rPr>
        <w:t xml:space="preserve">. </w:t>
      </w:r>
      <w:r w:rsidRPr="35C532CB" w:rsidR="006C7056">
        <w:rPr>
          <w:rFonts w:ascii="Times New Roman" w:hAnsi="Times New Roman" w:cs="Times New Roman"/>
          <w:b/>
          <w:bCs/>
          <w:sz w:val="24"/>
          <w:szCs w:val="24"/>
        </w:rPr>
        <w:t xml:space="preserve">Norāda </w:t>
      </w:r>
      <w:bookmarkStart w:name="_Hlk95923640" w:id="23"/>
      <w:r w:rsidRPr="35C532CB" w:rsidR="006F293A">
        <w:rPr>
          <w:rFonts w:ascii="Times New Roman" w:hAnsi="Times New Roman" w:cs="Times New Roman"/>
          <w:b/>
          <w:bCs/>
          <w:sz w:val="24"/>
          <w:szCs w:val="24"/>
        </w:rPr>
        <w:t xml:space="preserve">projekta investīciju ieviešanas periodā </w:t>
      </w:r>
      <w:bookmarkEnd w:id="23"/>
      <w:r w:rsidRPr="35C532CB" w:rsidR="006C7056">
        <w:rPr>
          <w:rFonts w:ascii="Times New Roman" w:hAnsi="Times New Roman" w:cs="Times New Roman"/>
          <w:b/>
          <w:bCs/>
          <w:sz w:val="24"/>
          <w:szCs w:val="24"/>
        </w:rPr>
        <w:t>kā pozitīvas vērtības (piemēram, 2000,00).</w:t>
      </w:r>
    </w:p>
    <w:p w:rsidRPr="009504F0" w:rsidR="00863302" w:rsidP="009504F0" w:rsidRDefault="00863302" w14:paraId="2074A929" w14:textId="6C33C40E">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rsidR="008D7F27" w:rsidP="009504F0" w:rsidRDefault="008D7F27" w14:paraId="5DB54A9F" w14:textId="77777777">
      <w:pPr>
        <w:jc w:val="both"/>
        <w:rPr>
          <w:rFonts w:ascii="Times New Roman" w:hAnsi="Times New Roman" w:cs="Times New Roman"/>
          <w:b/>
          <w:bCs/>
          <w:sz w:val="24"/>
          <w:szCs w:val="24"/>
        </w:rPr>
      </w:pPr>
    </w:p>
    <w:p w:rsidRPr="00F2781D" w:rsidR="00863302" w:rsidP="009504F0" w:rsidRDefault="00863302" w14:paraId="18F53311" w14:textId="457968C6">
      <w:pPr>
        <w:jc w:val="both"/>
        <w:rPr>
          <w:rFonts w:ascii="Times New Roman" w:hAnsi="Times New Roman" w:cs="Times New Roman"/>
          <w:b/>
          <w:bCs/>
          <w:sz w:val="24"/>
          <w:szCs w:val="24"/>
        </w:rPr>
      </w:pPr>
      <w:r w:rsidRPr="00F2781D">
        <w:rPr>
          <w:rFonts w:ascii="Times New Roman" w:hAnsi="Times New Roman" w:cs="Times New Roman"/>
          <w:b/>
          <w:bCs/>
          <w:sz w:val="24"/>
          <w:szCs w:val="24"/>
        </w:rPr>
        <w:lastRenderedPageBreak/>
        <w:t>Lai sabiedrībai projekts būtu izdevīgs</w:t>
      </w:r>
      <w:r w:rsidRPr="00F2781D" w:rsidR="00591D84">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Pr="00F2781D" w:rsidR="0026260B">
        <w:rPr>
          <w:rFonts w:ascii="Times New Roman" w:hAnsi="Times New Roman" w:cs="Times New Roman"/>
          <w:b/>
          <w:bCs/>
          <w:sz w:val="24"/>
          <w:szCs w:val="24"/>
        </w:rPr>
        <w:t>sociālekonomiskiem rādītājiem:</w:t>
      </w:r>
    </w:p>
    <w:p w:rsidRPr="00F2781D" w:rsidR="0026260B" w:rsidP="009504F0" w:rsidRDefault="0026260B" w14:paraId="01AD6034" w14:textId="015355E3">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rsidRPr="00F2781D" w:rsidR="0026260B" w:rsidP="009504F0" w:rsidRDefault="0026260B" w14:paraId="73504C75" w14:textId="09979D36">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rsidRPr="00F2781D" w:rsidR="0026260B" w:rsidP="009504F0" w:rsidRDefault="0026260B" w14:paraId="6A920CBB" w14:textId="5BF5C951">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rsidR="006D0884" w:rsidP="0047138D" w:rsidRDefault="006D0884" w14:paraId="01756522" w14:textId="5661654F">
      <w:pPr>
        <w:jc w:val="both"/>
        <w:rPr>
          <w:rFonts w:ascii="Times New Roman" w:hAnsi="Times New Roman" w:cs="Times New Roman"/>
          <w:sz w:val="24"/>
          <w:szCs w:val="24"/>
        </w:rPr>
      </w:pPr>
      <w:bookmarkStart w:name="_Hlk96417935" w:id="24"/>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rsidRPr="009504F0" w:rsidR="00863302" w:rsidP="009504F0" w:rsidRDefault="00082C91" w14:paraId="151AA554" w14:textId="2EDD78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Pr="009504F0" w:rsidR="009557A6">
        <w:rPr>
          <w:rFonts w:ascii="Times New Roman" w:hAnsi="Times New Roman" w:cs="Times New Roman"/>
          <w:sz w:val="24"/>
          <w:szCs w:val="24"/>
        </w:rPr>
        <w:t xml:space="preserve">. Informācija par </w:t>
      </w:r>
      <w:r w:rsidRPr="009504F0" w:rsidR="001812D6">
        <w:rPr>
          <w:rFonts w:ascii="Times New Roman" w:hAnsi="Times New Roman" w:cs="Times New Roman"/>
          <w:sz w:val="24"/>
          <w:szCs w:val="24"/>
        </w:rPr>
        <w:t xml:space="preserve">reālo sociālo diskonta likmi un </w:t>
      </w:r>
      <w:r w:rsidRPr="009504F0" w:rsidR="009557A6">
        <w:rPr>
          <w:rFonts w:ascii="Times New Roman" w:hAnsi="Times New Roman" w:cs="Times New Roman"/>
          <w:sz w:val="24"/>
          <w:szCs w:val="24"/>
        </w:rPr>
        <w:t xml:space="preserve">aktuālajiem </w:t>
      </w:r>
      <w:bookmarkStart w:name="_Hlk96415656" w:id="25"/>
      <w:r w:rsidRPr="009504F0" w:rsidR="009557A6">
        <w:rPr>
          <w:rFonts w:ascii="Times New Roman" w:hAnsi="Times New Roman" w:cs="Times New Roman"/>
          <w:sz w:val="24"/>
          <w:szCs w:val="24"/>
        </w:rPr>
        <w:t xml:space="preserve">makroekonomiskajiem pieņēmumiem un prognozēm </w:t>
      </w:r>
      <w:bookmarkEnd w:id="25"/>
      <w:r w:rsidRPr="009504F0" w:rsidR="009557A6">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w:history="1" r:id="rId18">
        <w:r w:rsidRPr="009504F0" w:rsidR="00B4252C">
          <w:rPr>
            <w:rStyle w:val="Hyperlink"/>
            <w:rFonts w:ascii="Times New Roman" w:hAnsi="Times New Roman" w:cs="Times New Roman"/>
            <w:sz w:val="24"/>
            <w:szCs w:val="24"/>
          </w:rPr>
          <w:t>https://www.fm.gov.lv/lv/makroekonomiskie-pienemumi-un-prognozes</w:t>
        </w:r>
      </w:hyperlink>
      <w:r w:rsidRPr="009504F0" w:rsidR="009557A6">
        <w:rPr>
          <w:rFonts w:ascii="Times New Roman" w:hAnsi="Times New Roman" w:cs="Times New Roman"/>
          <w:sz w:val="24"/>
          <w:szCs w:val="24"/>
        </w:rPr>
        <w:t xml:space="preserve">. </w:t>
      </w:r>
      <w:r w:rsidRPr="009504F0" w:rsidR="00B326E7">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rsidRPr="002068C2" w:rsidR="002068C2" w:rsidP="002068C2" w:rsidRDefault="002068C2" w14:paraId="0DBA7CBE" w14:textId="77777777">
      <w:pPr>
        <w:outlineLvl w:val="1"/>
        <w:rPr>
          <w:rFonts w:ascii="Times New Roman" w:hAnsi="Times New Roman" w:cs="Times New Roman"/>
          <w:b/>
          <w:sz w:val="28"/>
          <w:szCs w:val="28"/>
        </w:rPr>
      </w:pPr>
    </w:p>
    <w:p w:rsidRPr="00596D47" w:rsidR="00432136" w:rsidP="00596D47" w:rsidRDefault="00432136" w14:paraId="3890ACDD" w14:textId="27283E9E">
      <w:pPr>
        <w:pStyle w:val="Heading1"/>
        <w:numPr>
          <w:ilvl w:val="2"/>
          <w:numId w:val="32"/>
        </w:numPr>
        <w:rPr>
          <w:rFonts w:ascii="Times New Roman" w:hAnsi="Times New Roman" w:cs="Times New Roman"/>
          <w:b/>
          <w:bCs/>
          <w:color w:val="auto"/>
          <w:sz w:val="28"/>
          <w:szCs w:val="28"/>
        </w:rPr>
      </w:pPr>
      <w:bookmarkStart w:name="_Toc177638299" w:id="26"/>
      <w:r w:rsidRPr="00596D47">
        <w:rPr>
          <w:rFonts w:ascii="Times New Roman" w:hAnsi="Times New Roman" w:cs="Times New Roman"/>
          <w:b/>
          <w:bCs/>
          <w:color w:val="auto"/>
          <w:sz w:val="28"/>
          <w:szCs w:val="28"/>
        </w:rPr>
        <w:t>Finanšu analīze</w:t>
      </w:r>
      <w:bookmarkEnd w:id="26"/>
    </w:p>
    <w:p w:rsidR="00F85701" w:rsidP="00F85701" w:rsidRDefault="00F85701" w14:paraId="6AB767E6" w14:textId="4C53AF64">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rsidR="00F85701" w:rsidP="00F85701" w:rsidRDefault="00A44EF6" w14:paraId="1919E4DC" w14:textId="2B0F5824">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rsidR="00F85701" w:rsidP="00F85701" w:rsidRDefault="00A44EF6" w14:paraId="5D79812E" w14:textId="36965B4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rsidR="00F85701" w:rsidP="00F85701" w:rsidRDefault="00A44EF6" w14:paraId="116D7A88" w14:textId="5809D96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rsidR="00F85701" w:rsidP="00F85701" w:rsidRDefault="00A44EF6" w14:paraId="30026622" w14:textId="3FBAF46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rsidR="00F85701" w:rsidP="00F85701" w:rsidRDefault="00F85701" w14:paraId="2B8A0B6A" w14:textId="3ECF35C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sid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name="_Hlk96423944" w:id="27"/>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rsidR="00DA3FAA" w:rsidP="00F85701" w:rsidRDefault="00DA3FAA" w14:paraId="2E4F6312" w14:textId="2F2F0A4F">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rsidR="004D78AE" w:rsidP="00561DFA" w:rsidRDefault="004D78AE" w14:paraId="4958BD38" w14:textId="562E8C05">
      <w:pPr>
        <w:jc w:val="both"/>
        <w:rPr>
          <w:rFonts w:ascii="Times New Roman" w:hAnsi="Times New Roman" w:cs="Times New Roman"/>
          <w:sz w:val="24"/>
          <w:szCs w:val="24"/>
        </w:rPr>
      </w:pPr>
      <w:r w:rsidRPr="004D78AE">
        <w:rPr>
          <w:rFonts w:ascii="Times New Roman" w:hAnsi="Times New Roman" w:cs="Times New Roman"/>
          <w:sz w:val="24"/>
          <w:szCs w:val="24"/>
        </w:rPr>
        <w:t>Aprēķinātie kapitāla naudas plūsmas rādītāji FNPV</w:t>
      </w:r>
      <w:r w:rsidR="00880D9D">
        <w:rPr>
          <w:rFonts w:ascii="Times New Roman" w:hAnsi="Times New Roman" w:cs="Times New Roman"/>
          <w:sz w:val="24"/>
          <w:szCs w:val="24"/>
        </w:rPr>
        <w:t>c</w:t>
      </w:r>
      <w:r w:rsidRPr="004D78AE">
        <w:rPr>
          <w:rFonts w:ascii="Times New Roman" w:hAnsi="Times New Roman" w:cs="Times New Roman"/>
          <w:sz w:val="24"/>
          <w:szCs w:val="24"/>
        </w:rPr>
        <w:t xml:space="preserve"> un FRR</w:t>
      </w:r>
      <w:r w:rsidR="00F40DF9">
        <w:rPr>
          <w:rFonts w:ascii="Times New Roman" w:hAnsi="Times New Roman" w:cs="Times New Roman"/>
          <w:sz w:val="24"/>
          <w:szCs w:val="24"/>
        </w:rPr>
        <w:t>c</w:t>
      </w:r>
      <w:r w:rsidRPr="004D78AE">
        <w:rPr>
          <w:rFonts w:ascii="Times New Roman" w:hAnsi="Times New Roman" w:cs="Times New Roman"/>
          <w:sz w:val="24"/>
          <w:szCs w:val="24"/>
        </w:rPr>
        <w:t xml:space="preserve"> norāda vai </w:t>
      </w:r>
      <w:r w:rsidR="0001337C">
        <w:rPr>
          <w:rFonts w:ascii="Times New Roman" w:hAnsi="Times New Roman" w:cs="Times New Roman"/>
          <w:sz w:val="24"/>
          <w:szCs w:val="24"/>
        </w:rPr>
        <w:t xml:space="preserve">projekta </w:t>
      </w:r>
      <w:r w:rsidR="00453174">
        <w:rPr>
          <w:rFonts w:ascii="Times New Roman" w:hAnsi="Times New Roman" w:cs="Times New Roman"/>
          <w:sz w:val="24"/>
          <w:szCs w:val="24"/>
        </w:rPr>
        <w:t>p</w:t>
      </w:r>
      <w:r w:rsidR="0001337C">
        <w:rPr>
          <w:rFonts w:ascii="Times New Roman" w:hAnsi="Times New Roman" w:cs="Times New Roman"/>
          <w:sz w:val="24"/>
          <w:szCs w:val="24"/>
        </w:rPr>
        <w:t xml:space="preserve">ārskata periodā </w:t>
      </w:r>
      <w:r w:rsidRPr="004D78AE">
        <w:rPr>
          <w:rFonts w:ascii="Times New Roman" w:hAnsi="Times New Roman" w:cs="Times New Roman"/>
          <w:sz w:val="24"/>
          <w:szCs w:val="24"/>
        </w:rPr>
        <w:t>projektā plānotie ieņēmumi nosedz projekta darbības izmaksas</w:t>
      </w:r>
      <w:r w:rsidR="00DC43AD">
        <w:rPr>
          <w:rFonts w:ascii="Times New Roman" w:hAnsi="Times New Roman" w:cs="Times New Roman"/>
          <w:sz w:val="24"/>
          <w:szCs w:val="24"/>
        </w:rPr>
        <w:t xml:space="preserve"> un investīciju izmaksas</w:t>
      </w:r>
      <w:r w:rsidRPr="004D78AE">
        <w:rPr>
          <w:rFonts w:ascii="Times New Roman" w:hAnsi="Times New Roman" w:cs="Times New Roman"/>
          <w:sz w:val="24"/>
          <w:szCs w:val="24"/>
        </w:rPr>
        <w:t>.</w:t>
      </w:r>
    </w:p>
    <w:p w:rsidRPr="00561DFA" w:rsidR="000E23A3" w:rsidP="00561DFA" w:rsidRDefault="009C5E1F" w14:paraId="5804F8AF" w14:textId="4B73621B">
      <w:pPr>
        <w:jc w:val="both"/>
        <w:rPr>
          <w:rFonts w:ascii="Times New Roman" w:hAnsi="Times New Roman" w:cs="Times New Roman"/>
          <w:sz w:val="24"/>
          <w:szCs w:val="24"/>
        </w:rPr>
      </w:pPr>
      <w:r w:rsidRPr="0B812883">
        <w:rPr>
          <w:rFonts w:ascii="Times New Roman" w:hAnsi="Times New Roman" w:cs="Times New Roman"/>
          <w:sz w:val="24"/>
          <w:szCs w:val="24"/>
        </w:rPr>
        <w:t xml:space="preserve">Aprēķinātie kapitāla naudas plūsmas rādītāji FNPVk un FRRk norāda vai </w:t>
      </w:r>
      <w:r w:rsidRPr="0B812883" w:rsidR="0001337C">
        <w:rPr>
          <w:rFonts w:ascii="Times New Roman" w:hAnsi="Times New Roman" w:cs="Times New Roman"/>
          <w:sz w:val="24"/>
          <w:szCs w:val="24"/>
        </w:rPr>
        <w:t xml:space="preserve">projekta pārskata periodā </w:t>
      </w:r>
      <w:r w:rsidRPr="0B812883">
        <w:rPr>
          <w:rFonts w:ascii="Times New Roman" w:hAnsi="Times New Roman" w:cs="Times New Roman"/>
          <w:sz w:val="24"/>
          <w:szCs w:val="24"/>
        </w:rPr>
        <w:t>projektā plānotie ieņēmumi nosedz projekta darbības izmaksas, kredīt</w:t>
      </w:r>
      <w:r w:rsidRPr="0B812883" w:rsidR="00591D84">
        <w:rPr>
          <w:rFonts w:ascii="Times New Roman" w:hAnsi="Times New Roman" w:cs="Times New Roman"/>
          <w:sz w:val="24"/>
          <w:szCs w:val="24"/>
        </w:rPr>
        <w:t xml:space="preserve">a </w:t>
      </w:r>
      <w:r w:rsidRPr="0B812883">
        <w:rPr>
          <w:rFonts w:ascii="Times New Roman" w:hAnsi="Times New Roman" w:cs="Times New Roman"/>
          <w:sz w:val="24"/>
          <w:szCs w:val="24"/>
        </w:rPr>
        <w:t>maksājumus un nacionālā finansējuma daļu.</w:t>
      </w:r>
    </w:p>
    <w:p w:rsidRPr="008D7F27" w:rsidR="27F23547" w:rsidP="00C20642" w:rsidRDefault="27F23547" w14:paraId="62582D1C" w14:textId="69D39B13">
      <w:pPr>
        <w:tabs>
          <w:tab w:val="left" w:pos="1545"/>
        </w:tabs>
        <w:spacing w:before="60" w:after="0"/>
        <w:jc w:val="both"/>
        <w:rPr>
          <w:rFonts w:ascii="Times New Roman" w:hAnsi="Times New Roman" w:eastAsia="Times New Roman" w:cs="Times New Roman"/>
          <w:sz w:val="24"/>
          <w:szCs w:val="24"/>
        </w:rPr>
      </w:pPr>
      <w:r w:rsidRPr="008D7F27">
        <w:rPr>
          <w:rFonts w:ascii="Times New Roman" w:hAnsi="Times New Roman" w:eastAsia="Times New Roman" w:cs="Times New Roman"/>
          <w:sz w:val="24"/>
          <w:szCs w:val="24"/>
        </w:rPr>
        <w:t>Finanšu analīzei jāpierāda, ka tad, ja atbalsts nebūtu piešķirts, ieguldījums (projekts) netiktu veikts (atbilstoši regulas Nr. 651/2014 47. panta 7. punkta trešajai daļai). Tas nozīmē, ka sadaļas “I. Finanšu analīze” 3.punktā neto pašreizējai vērtībai (FNPV (C)) ir jābūt negatīvai bez ES atbalsta, bet ar ES atbalstu neto pašreizējai vērtībai (FNPV (K)) ir jābūt pozitīvai (skat. 2. attēlu).</w:t>
      </w:r>
    </w:p>
    <w:p w:rsidR="0B812883" w:rsidP="0B812883" w:rsidRDefault="0B812883" w14:paraId="63E66048" w14:textId="677F1B54">
      <w:pPr>
        <w:jc w:val="both"/>
        <w:rPr>
          <w:rFonts w:ascii="Times New Roman" w:hAnsi="Times New Roman" w:cs="Times New Roman"/>
          <w:sz w:val="24"/>
          <w:szCs w:val="24"/>
        </w:rPr>
      </w:pPr>
    </w:p>
    <w:p w:rsidRPr="00561DFA" w:rsidR="003647A3" w:rsidP="00561DFA" w:rsidRDefault="003647A3" w14:paraId="0DB859C8" w14:textId="22E96776">
      <w:pPr>
        <w:jc w:val="both"/>
        <w:rPr>
          <w:rFonts w:ascii="Times New Roman" w:hAnsi="Times New Roman" w:cs="Times New Roman"/>
          <w:sz w:val="24"/>
          <w:szCs w:val="24"/>
        </w:rPr>
      </w:pPr>
      <w:r w:rsidRPr="00561DFA">
        <w:rPr>
          <w:rFonts w:ascii="Times New Roman" w:hAnsi="Times New Roman" w:cs="Times New Roman"/>
          <w:sz w:val="24"/>
          <w:szCs w:val="24"/>
        </w:rPr>
        <w:lastRenderedPageBreak/>
        <w:t xml:space="preserve">Izklājlapas šūnā “C3” norāda reālo finansiālo diskonta likmi. Informācija par reālo </w:t>
      </w:r>
      <w:r w:rsidRPr="00561DFA" w:rsidR="00361FAC">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19">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00C73ABA" w:rsidP="00432136" w:rsidRDefault="00C73ABA" w14:paraId="401A37EA" w14:textId="77777777">
      <w:pPr>
        <w:ind w:left="360"/>
        <w:outlineLvl w:val="1"/>
        <w:rPr>
          <w:rFonts w:ascii="Times New Roman" w:hAnsi="Times New Roman" w:cs="Times New Roman"/>
          <w:b/>
          <w:sz w:val="28"/>
          <w:szCs w:val="28"/>
        </w:rPr>
      </w:pPr>
    </w:p>
    <w:p w:rsidRPr="00596D47" w:rsidR="00432136" w:rsidP="00596D47" w:rsidRDefault="00432136" w14:paraId="6B48CD54" w14:textId="2F734DF5">
      <w:pPr>
        <w:pStyle w:val="Heading1"/>
        <w:numPr>
          <w:ilvl w:val="2"/>
          <w:numId w:val="32"/>
        </w:numPr>
        <w:rPr>
          <w:rFonts w:ascii="Times New Roman" w:hAnsi="Times New Roman" w:cs="Times New Roman"/>
          <w:b/>
          <w:bCs/>
          <w:color w:val="auto"/>
          <w:sz w:val="28"/>
          <w:szCs w:val="28"/>
        </w:rPr>
      </w:pPr>
      <w:bookmarkStart w:name="_Toc177638300" w:id="28"/>
      <w:r w:rsidRPr="00596D47">
        <w:rPr>
          <w:rFonts w:ascii="Times New Roman" w:hAnsi="Times New Roman" w:cs="Times New Roman"/>
          <w:b/>
          <w:bCs/>
          <w:color w:val="auto"/>
          <w:sz w:val="28"/>
          <w:szCs w:val="28"/>
        </w:rPr>
        <w:t xml:space="preserve">Projekta iesnieguma </w:t>
      </w:r>
      <w:r w:rsidRPr="00433B0E" w:rsidR="00433B0E">
        <w:rPr>
          <w:rFonts w:ascii="Times New Roman" w:hAnsi="Times New Roman" w:cs="Times New Roman"/>
          <w:b/>
          <w:bCs/>
          <w:color w:val="auto"/>
          <w:sz w:val="28"/>
          <w:szCs w:val="28"/>
        </w:rPr>
        <w:t>sadaļa “Finansējuma sadalījums pa avotiem”</w:t>
      </w:r>
      <w:bookmarkEnd w:id="28"/>
    </w:p>
    <w:p w:rsidR="00C73ABA" w:rsidP="00D84C82" w:rsidRDefault="00D84C82" w14:paraId="70C32497" w14:textId="6A48CD60">
      <w:pPr>
        <w:jc w:val="both"/>
        <w:rPr>
          <w:rFonts w:ascii="Times New Roman" w:hAnsi="Times New Roman" w:cs="Times New Roman"/>
          <w:sz w:val="24"/>
          <w:szCs w:val="24"/>
        </w:rPr>
      </w:pPr>
      <w:bookmarkStart w:name="_Hlk96430696" w:id="29"/>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Pr="00CC0F1F" w:rsidR="00CC0F1F">
        <w:rPr>
          <w:rFonts w:ascii="Times New Roman" w:hAnsi="Times New Roman" w:cs="Times New Roman"/>
          <w:sz w:val="24"/>
          <w:szCs w:val="24"/>
        </w:rPr>
        <w:t>sadaļai “Finansējuma sadalījums pa avotiem”</w:t>
      </w:r>
      <w:r>
        <w:rPr>
          <w:rFonts w:ascii="Times New Roman" w:hAnsi="Times New Roman" w:cs="Times New Roman"/>
          <w:sz w:val="24"/>
          <w:szCs w:val="24"/>
        </w:rPr>
        <w:t xml:space="preserve">, gan arī individuālie </w:t>
      </w:r>
      <w:r w:rsidR="00925AFC">
        <w:rPr>
          <w:rFonts w:ascii="Times New Roman" w:hAnsi="Times New Roman" w:cs="Times New Roman"/>
          <w:sz w:val="24"/>
          <w:szCs w:val="24"/>
        </w:rPr>
        <w:t xml:space="preserve">finansēšanas plāni sadalījumā pa projektā plānotajiem </w:t>
      </w:r>
      <w:r w:rsidR="00103A1B">
        <w:rPr>
          <w:rFonts w:ascii="Times New Roman" w:hAnsi="Times New Roman" w:cs="Times New Roman"/>
          <w:sz w:val="24"/>
          <w:szCs w:val="24"/>
        </w:rPr>
        <w:t>komercdarbības</w:t>
      </w:r>
      <w:r w:rsidR="00925AFC">
        <w:rPr>
          <w:rFonts w:ascii="Times New Roman" w:hAnsi="Times New Roman" w:cs="Times New Roman"/>
          <w:sz w:val="24"/>
          <w:szCs w:val="24"/>
        </w:rPr>
        <w:t xml:space="preserve"> atbalsta veidiem.</w:t>
      </w:r>
    </w:p>
    <w:bookmarkEnd w:id="29"/>
    <w:p w:rsidR="00925AFC" w:rsidP="00925AFC" w:rsidRDefault="00925AFC" w14:paraId="0931B699" w14:textId="68F6D744">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r w:rsidR="005E3534">
        <w:rPr>
          <w:rFonts w:ascii="Times New Roman" w:hAnsi="Times New Roman" w:cs="Times New Roman"/>
          <w:sz w:val="24"/>
          <w:szCs w:val="24"/>
        </w:rPr>
        <w:t xml:space="preserve"> – Kohēzijas fonds</w:t>
      </w:r>
      <w:r>
        <w:rPr>
          <w:rFonts w:ascii="Times New Roman" w:hAnsi="Times New Roman" w:cs="Times New Roman"/>
          <w:sz w:val="24"/>
          <w:szCs w:val="24"/>
        </w:rPr>
        <w:t>.</w:t>
      </w:r>
    </w:p>
    <w:p w:rsidR="0000106D" w:rsidP="00925AFC" w:rsidRDefault="0000106D" w14:paraId="136D7587" w14:textId="77777777">
      <w:pPr>
        <w:jc w:val="both"/>
        <w:rPr>
          <w:rFonts w:ascii="Times New Roman" w:hAnsi="Times New Roman" w:cs="Times New Roman"/>
          <w:sz w:val="24"/>
          <w:szCs w:val="24"/>
        </w:rPr>
      </w:pPr>
      <w:r w:rsidRPr="0000106D">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rsidRPr="00EF7BE3" w:rsidR="00EF7BE3" w:rsidP="00925AFC" w:rsidRDefault="00EF7BE3" w14:paraId="37A90880" w14:textId="530C65C3">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Pr="008A1959" w:rsid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rsidRPr="00D84C82" w:rsidR="00EF7BE3" w:rsidP="00925AFC" w:rsidRDefault="00EF7BE3" w14:paraId="75669982" w14:textId="77777777">
      <w:pPr>
        <w:jc w:val="both"/>
        <w:rPr>
          <w:rFonts w:ascii="Times New Roman" w:hAnsi="Times New Roman" w:cs="Times New Roman"/>
          <w:sz w:val="24"/>
          <w:szCs w:val="24"/>
        </w:rPr>
      </w:pPr>
    </w:p>
    <w:p w:rsidRPr="00596D47" w:rsidR="00432136" w:rsidP="00596D47" w:rsidRDefault="00432136" w14:paraId="3B62DAEE" w14:textId="1DA8C242">
      <w:pPr>
        <w:pStyle w:val="Heading1"/>
        <w:numPr>
          <w:ilvl w:val="2"/>
          <w:numId w:val="32"/>
        </w:numPr>
        <w:rPr>
          <w:rFonts w:ascii="Times New Roman" w:hAnsi="Times New Roman" w:cs="Times New Roman"/>
          <w:b/>
          <w:bCs/>
          <w:color w:val="auto"/>
          <w:sz w:val="28"/>
          <w:szCs w:val="28"/>
        </w:rPr>
      </w:pPr>
      <w:bookmarkStart w:name="_Toc177638301" w:id="30"/>
      <w:r w:rsidRPr="00596D47">
        <w:rPr>
          <w:rFonts w:ascii="Times New Roman" w:hAnsi="Times New Roman" w:cs="Times New Roman"/>
          <w:b/>
          <w:bCs/>
          <w:color w:val="auto"/>
          <w:sz w:val="28"/>
          <w:szCs w:val="28"/>
        </w:rPr>
        <w:t xml:space="preserve">Projekta iesnieguma </w:t>
      </w:r>
      <w:r w:rsidRPr="00A10BE3" w:rsidR="00A10BE3">
        <w:rPr>
          <w:rFonts w:ascii="Times New Roman" w:hAnsi="Times New Roman" w:cs="Times New Roman"/>
          <w:b/>
          <w:bCs/>
          <w:color w:val="auto"/>
          <w:sz w:val="28"/>
          <w:szCs w:val="28"/>
        </w:rPr>
        <w:t>sadaļa “Projekta budžeta kopsavilkums”</w:t>
      </w:r>
      <w:bookmarkEnd w:id="30"/>
    </w:p>
    <w:p w:rsidRPr="00DB1761" w:rsidR="00DB1761" w:rsidP="00DB1761" w:rsidRDefault="00DB1761" w14:paraId="41966CD3" w14:textId="75089D0B">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rsidR="00DB1761" w:rsidP="00DB1761" w:rsidRDefault="005F04B3" w14:paraId="01746C50" w14:textId="4290D7F8">
      <w:pPr>
        <w:jc w:val="both"/>
        <w:rPr>
          <w:rFonts w:ascii="Times New Roman" w:hAnsi="Times New Roman" w:cs="Times New Roman"/>
          <w:sz w:val="24"/>
          <w:szCs w:val="24"/>
        </w:rPr>
      </w:pPr>
      <w:r w:rsidRPr="0B812883">
        <w:rPr>
          <w:rFonts w:ascii="Times New Roman" w:hAnsi="Times New Roman" w:cs="Times New Roman"/>
          <w:sz w:val="24"/>
          <w:szCs w:val="24"/>
        </w:rPr>
        <w:t>Informāciju par</w:t>
      </w:r>
      <w:r w:rsidR="00DB1761">
        <w:t xml:space="preserve"> </w:t>
      </w:r>
      <w:r w:rsidRPr="00C20642">
        <w:rPr>
          <w:rFonts w:ascii="Times New Roman" w:hAnsi="Times New Roman"/>
          <w:sz w:val="24"/>
        </w:rPr>
        <w:t>projekta budžeta izmaksu pozīcijām un izmaksām</w:t>
      </w:r>
      <w:r w:rsidRPr="00C20642">
        <w:rPr>
          <w:rFonts w:ascii="Times New Roman" w:hAnsi="Times New Roman"/>
        </w:rPr>
        <w:t xml:space="preserve"> </w:t>
      </w:r>
      <w:r w:rsidRPr="0B812883" w:rsidR="00DB1761">
        <w:rPr>
          <w:rFonts w:ascii="Times New Roman" w:hAnsi="Times New Roman" w:cs="Times New Roman"/>
          <w:sz w:val="24"/>
          <w:szCs w:val="24"/>
        </w:rPr>
        <w:t xml:space="preserve">projekta iesniedzējs neaizpilda, jo </w:t>
      </w:r>
      <w:r w:rsidRPr="0B812883">
        <w:rPr>
          <w:rFonts w:ascii="Times New Roman" w:hAnsi="Times New Roman" w:cs="Times New Roman"/>
          <w:sz w:val="24"/>
          <w:szCs w:val="24"/>
        </w:rPr>
        <w:t>tajās</w:t>
      </w:r>
      <w:r w:rsidRPr="0B812883" w:rsidR="00DB1761">
        <w:rPr>
          <w:rFonts w:ascii="Times New Roman" w:hAnsi="Times New Roman" w:cs="Times New Roman"/>
          <w:sz w:val="24"/>
          <w:szCs w:val="24"/>
        </w:rPr>
        <w:t xml:space="preserve"> automātiski ģenerējas iznākums, ņemot vērā izklājlapās par projekta budžetu norādītās projekta investīciju izmaksas</w:t>
      </w:r>
      <w:r w:rsidRPr="0B812883">
        <w:rPr>
          <w:rFonts w:ascii="Times New Roman" w:hAnsi="Times New Roman" w:cs="Times New Roman"/>
          <w:sz w:val="24"/>
          <w:szCs w:val="24"/>
        </w:rPr>
        <w:t>.</w:t>
      </w:r>
    </w:p>
    <w:p w:rsidRPr="00DB1761" w:rsidR="005F04B3" w:rsidP="00DB1761" w:rsidRDefault="005F04B3" w14:paraId="49BA24A1" w14:textId="218A08F0">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rsidR="00DB1761" w:rsidP="00870FE0" w:rsidRDefault="00870FE0" w14:paraId="7EF9A2CE" w14:textId="57F25A1F">
      <w:pPr>
        <w:jc w:val="both"/>
        <w:rPr>
          <w:rFonts w:ascii="Times New Roman" w:hAnsi="Times New Roman" w:cs="Times New Roman"/>
          <w:b/>
          <w:bCs/>
          <w:sz w:val="24"/>
          <w:szCs w:val="24"/>
        </w:rPr>
      </w:pPr>
      <w:r w:rsidRPr="0B812883">
        <w:rPr>
          <w:rFonts w:ascii="Times New Roman" w:hAnsi="Times New Roman" w:cs="Times New Roman"/>
          <w:b/>
          <w:bCs/>
          <w:sz w:val="24"/>
          <w:szCs w:val="24"/>
        </w:rPr>
        <w:t>Jāpārliecinās</w:t>
      </w:r>
      <w:r w:rsidRPr="0B812883" w:rsidR="4086B8DF">
        <w:rPr>
          <w:rFonts w:ascii="Times New Roman" w:hAnsi="Times New Roman" w:cs="Times New Roman"/>
          <w:b/>
          <w:bCs/>
          <w:sz w:val="24"/>
          <w:szCs w:val="24"/>
        </w:rPr>
        <w:t>,</w:t>
      </w:r>
      <w:r w:rsidRPr="0B812883">
        <w:rPr>
          <w:rFonts w:ascii="Times New Roman" w:hAnsi="Times New Roman" w:cs="Times New Roman"/>
          <w:b/>
          <w:bCs/>
          <w:sz w:val="24"/>
          <w:szCs w:val="24"/>
        </w:rPr>
        <w:t xml:space="preserve"> lai izklājlapā “10. DL PI</w:t>
      </w:r>
      <w:r w:rsidRPr="0B812883" w:rsidR="00D348C5">
        <w:rPr>
          <w:rFonts w:ascii="Times New Roman" w:hAnsi="Times New Roman" w:cs="Times New Roman"/>
          <w:b/>
          <w:bCs/>
          <w:sz w:val="24"/>
          <w:szCs w:val="24"/>
        </w:rPr>
        <w:t xml:space="preserve"> Budz.kops.</w:t>
      </w:r>
      <w:r w:rsidRPr="0B812883">
        <w:rPr>
          <w:rFonts w:ascii="Times New Roman" w:hAnsi="Times New Roman" w:cs="Times New Roman"/>
          <w:b/>
          <w:bCs/>
          <w:sz w:val="24"/>
          <w:szCs w:val="24"/>
        </w:rPr>
        <w:t>” aprēķinātais projekta kopējais budžeta kopsavilkums  atbilst projekta iesnieguma</w:t>
      </w:r>
      <w:r w:rsidRPr="0B812883" w:rsidR="00D348C5">
        <w:rPr>
          <w:rFonts w:ascii="Times New Roman" w:hAnsi="Times New Roman" w:cs="Times New Roman"/>
          <w:b/>
          <w:bCs/>
          <w:sz w:val="24"/>
          <w:szCs w:val="24"/>
        </w:rPr>
        <w:t xml:space="preserve"> </w:t>
      </w:r>
      <w:r w:rsidRPr="0B812883" w:rsidR="00F9743D">
        <w:rPr>
          <w:rFonts w:ascii="Times New Roman" w:hAnsi="Times New Roman" w:cs="Times New Roman"/>
          <w:b/>
          <w:bCs/>
          <w:sz w:val="24"/>
          <w:szCs w:val="24"/>
        </w:rPr>
        <w:t>sadaļai “Projekta budžeta kopsavilkums”</w:t>
      </w:r>
      <w:r w:rsidRPr="0B812883">
        <w:rPr>
          <w:rFonts w:ascii="Times New Roman" w:hAnsi="Times New Roman" w:cs="Times New Roman"/>
          <w:b/>
          <w:bCs/>
          <w:sz w:val="24"/>
          <w:szCs w:val="24"/>
        </w:rPr>
        <w:t>.</w:t>
      </w:r>
    </w:p>
    <w:p w:rsidRPr="00DB1761" w:rsidR="00870FE0" w:rsidP="00870FE0" w:rsidRDefault="00870FE0" w14:paraId="1BDCB6C6" w14:textId="77777777">
      <w:pPr>
        <w:jc w:val="both"/>
        <w:rPr>
          <w:rFonts w:ascii="Times New Roman" w:hAnsi="Times New Roman" w:cs="Times New Roman"/>
          <w:b/>
          <w:sz w:val="28"/>
          <w:szCs w:val="28"/>
        </w:rPr>
      </w:pPr>
    </w:p>
    <w:p w:rsidRPr="00596D47" w:rsidR="0060686B" w:rsidP="00596D47" w:rsidRDefault="00D348C5" w14:paraId="5408E2BA" w14:textId="61CE5ABB">
      <w:pPr>
        <w:pStyle w:val="Heading1"/>
        <w:numPr>
          <w:ilvl w:val="2"/>
          <w:numId w:val="32"/>
        </w:numPr>
        <w:rPr>
          <w:rFonts w:ascii="Times New Roman" w:hAnsi="Times New Roman" w:cs="Times New Roman"/>
          <w:b/>
          <w:bCs/>
          <w:color w:val="auto"/>
          <w:sz w:val="28"/>
          <w:szCs w:val="28"/>
        </w:rPr>
      </w:pPr>
      <w:bookmarkStart w:name="_Toc177638302" w:id="31"/>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Pr="00596D47" w:rsidR="0060686B">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Pr="00596D47" w:rsidR="0060686B">
        <w:rPr>
          <w:rFonts w:ascii="Times New Roman" w:hAnsi="Times New Roman" w:cs="Times New Roman"/>
          <w:b/>
          <w:bCs/>
          <w:color w:val="auto"/>
          <w:sz w:val="28"/>
          <w:szCs w:val="28"/>
        </w:rPr>
        <w:t>pielikums “Projekta izmaksu efektivitātes novērtējums”</w:t>
      </w:r>
      <w:bookmarkEnd w:id="31"/>
    </w:p>
    <w:p w:rsidR="00B50372" w:rsidP="00B50372" w:rsidRDefault="00B50372" w14:paraId="155155FA" w14:textId="652931BE">
      <w:pPr>
        <w:jc w:val="both"/>
        <w:rPr>
          <w:rFonts w:ascii="Times New Roman" w:hAnsi="Times New Roman" w:cs="Times New Roman"/>
          <w:sz w:val="24"/>
          <w:szCs w:val="24"/>
        </w:rPr>
      </w:pPr>
      <w:bookmarkStart w:name="_Hlk96432576" w:id="32"/>
      <w:r w:rsidRPr="0B812883">
        <w:rPr>
          <w:rFonts w:ascii="Times New Roman" w:hAnsi="Times New Roman" w:cs="Times New Roman"/>
          <w:sz w:val="24"/>
          <w:szCs w:val="24"/>
        </w:rPr>
        <w:t>Izklājlapā “11. DL 4.pielikums” ir ietverta veidlapa “Projekta izmaksu efektivitātes novērtējums” atbilstoši MK noteikumu Nr.408 4.pielikumam, kurā tiek aprēķināti projekta finanšu un ekonomiskās analīzes dati.</w:t>
      </w:r>
      <w:bookmarkEnd w:id="32"/>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rsidTr="00BF0667" w14:paraId="16C09940" w14:textId="77777777">
        <w:tc>
          <w:tcPr>
            <w:tcW w:w="1134" w:type="dxa"/>
            <w:tcBorders>
              <w:top w:val="nil"/>
              <w:left w:val="nil"/>
              <w:bottom w:val="nil"/>
            </w:tcBorders>
          </w:tcPr>
          <w:p w:rsidR="00B50372" w:rsidP="00BF0667" w:rsidRDefault="00B50372" w14:paraId="6C5C1329" w14:textId="77777777">
            <w:pPr>
              <w:jc w:val="both"/>
              <w:rPr>
                <w:rFonts w:ascii="Times New Roman" w:hAnsi="Times New Roman" w:cs="Times New Roman"/>
                <w:sz w:val="24"/>
                <w:szCs w:val="24"/>
              </w:rPr>
            </w:pPr>
          </w:p>
        </w:tc>
        <w:tc>
          <w:tcPr>
            <w:tcW w:w="515" w:type="dxa"/>
            <w:shd w:val="clear" w:color="auto" w:fill="FFC000"/>
          </w:tcPr>
          <w:p w:rsidR="00B50372" w:rsidP="00BF0667" w:rsidRDefault="00B50372" w14:paraId="235806B4" w14:textId="77777777">
            <w:pPr>
              <w:jc w:val="both"/>
              <w:rPr>
                <w:rFonts w:ascii="Times New Roman" w:hAnsi="Times New Roman" w:cs="Times New Roman"/>
                <w:sz w:val="24"/>
                <w:szCs w:val="24"/>
              </w:rPr>
            </w:pPr>
          </w:p>
        </w:tc>
        <w:tc>
          <w:tcPr>
            <w:tcW w:w="276" w:type="dxa"/>
            <w:tcBorders>
              <w:top w:val="nil"/>
              <w:bottom w:val="nil"/>
              <w:right w:val="nil"/>
            </w:tcBorders>
          </w:tcPr>
          <w:p w:rsidR="00B50372" w:rsidP="00BF0667" w:rsidRDefault="00B50372" w14:paraId="0305F625" w14:textId="77777777">
            <w:pPr>
              <w:jc w:val="both"/>
              <w:rPr>
                <w:rFonts w:ascii="Times New Roman" w:hAnsi="Times New Roman" w:cs="Times New Roman"/>
                <w:sz w:val="24"/>
                <w:szCs w:val="24"/>
              </w:rPr>
            </w:pPr>
          </w:p>
        </w:tc>
      </w:tr>
    </w:tbl>
    <w:p w:rsidRPr="00A558CD" w:rsidR="00B50372" w:rsidP="00B50372" w:rsidRDefault="00B50372" w14:paraId="75C3DB61" w14:textId="77777777">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rsidR="00B50372" w:rsidP="00B50372" w:rsidRDefault="00B50372" w14:paraId="75C412BE" w14:textId="77777777">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rsidRPr="00EC08A5" w:rsidR="00B50372" w:rsidP="00B50372" w:rsidRDefault="00B50372" w14:paraId="7E10029F" w14:textId="5899364D">
      <w:pPr>
        <w:jc w:val="both"/>
        <w:rPr>
          <w:rFonts w:ascii="Times New Roman" w:hAnsi="Times New Roman" w:cs="Times New Roman"/>
          <w:sz w:val="24"/>
          <w:szCs w:val="24"/>
        </w:rPr>
      </w:pPr>
      <w:r w:rsidRPr="06580334">
        <w:rPr>
          <w:rFonts w:ascii="Times New Roman" w:hAnsi="Times New Roman" w:cs="Times New Roman"/>
          <w:sz w:val="24"/>
          <w:szCs w:val="24"/>
        </w:rPr>
        <w:lastRenderedPageBreak/>
        <w:t>Laukos, kuros nav oranžais tonējums, vērtības tiek aprēķinātas automātiski.</w:t>
      </w:r>
    </w:p>
    <w:p w:rsidRPr="003E5443" w:rsidR="00B50372" w:rsidP="00B50372" w:rsidRDefault="00B50372" w14:paraId="47419ADA"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 </w:t>
      </w:r>
      <w:r w:rsidRPr="003E5443">
        <w:rPr>
          <w:rFonts w:ascii="Times New Roman" w:hAnsi="Times New Roman" w:eastAsia="Calibri" w:cs="Times New Roman"/>
          <w:b/>
          <w:bCs/>
          <w:color w:val="0000FF"/>
          <w:sz w:val="24"/>
          <w:szCs w:val="24"/>
        </w:rPr>
        <w:t xml:space="preserve">Finanšu analīze” 1.punktā </w:t>
      </w:r>
      <w:r w:rsidRPr="003E5443">
        <w:rPr>
          <w:rFonts w:ascii="Times New Roman" w:hAnsi="Times New Roman" w:eastAsia="Calibri"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rsidRPr="003E5443" w:rsidR="00B50372" w:rsidP="00B50372" w:rsidRDefault="00B50372" w14:paraId="3ADE783C" w14:textId="77777777">
      <w:pPr>
        <w:tabs>
          <w:tab w:val="left" w:pos="1545"/>
        </w:tabs>
        <w:spacing w:before="60" w:after="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1.attēls</w:t>
      </w:r>
    </w:p>
    <w:p w:rsidR="00B50372" w:rsidP="00B50372" w:rsidRDefault="00B50372" w14:paraId="03B763E0" w14:textId="77777777">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rsidR="00267F69" w:rsidP="00267F69" w:rsidRDefault="00267F69" w14:paraId="50F11257" w14:textId="77777777">
      <w:pPr>
        <w:tabs>
          <w:tab w:val="left" w:pos="1545"/>
        </w:tabs>
        <w:spacing w:before="60" w:after="0" w:line="240" w:lineRule="auto"/>
        <w:ind w:left="720"/>
        <w:jc w:val="both"/>
        <w:rPr>
          <w:rFonts w:ascii="Times New Roman" w:hAnsi="Times New Roman" w:eastAsia="Calibri" w:cs="Times New Roman"/>
          <w:color w:val="0000FF"/>
          <w:sz w:val="24"/>
          <w:szCs w:val="24"/>
        </w:rPr>
      </w:pPr>
    </w:p>
    <w:p w:rsidRPr="003E5443" w:rsidR="00B50372" w:rsidP="00B50372" w:rsidRDefault="00B50372" w14:paraId="2D7F4631" w14:textId="3AE727DD">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Plānotā projekta raksturojums, projekta mērķi;</w:t>
      </w:r>
    </w:p>
    <w:p w:rsidRPr="003E5443" w:rsidR="00B50372" w:rsidP="00B50372" w:rsidRDefault="00B50372" w14:paraId="06B49A0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Esošās situācijas raksturojums;</w:t>
      </w:r>
    </w:p>
    <w:p w:rsidRPr="003E5443" w:rsidR="00B50372" w:rsidP="00B50372" w:rsidRDefault="00B50372" w14:paraId="598591F3" w14:textId="068AE35D">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B812883">
        <w:rPr>
          <w:rFonts w:ascii="Times New Roman" w:hAnsi="Times New Roman" w:eastAsia="Calibri" w:cs="Times New Roman"/>
          <w:color w:val="0000FF"/>
          <w:sz w:val="24"/>
          <w:szCs w:val="24"/>
        </w:rPr>
        <w:t>Informācija par alternatīvām, to izvēles procesu, detalizēta informācija par izvēlēto alternatīvu</w:t>
      </w:r>
      <w:r w:rsidRPr="0B812883" w:rsidR="0B091EAE">
        <w:rPr>
          <w:rFonts w:ascii="Times New Roman" w:hAnsi="Times New Roman" w:eastAsia="Calibri" w:cs="Times New Roman"/>
          <w:color w:val="0000FF"/>
          <w:sz w:val="24"/>
          <w:szCs w:val="24"/>
        </w:rPr>
        <w:t xml:space="preserve"> </w:t>
      </w:r>
      <w:r w:rsidRPr="0B812883">
        <w:rPr>
          <w:rFonts w:ascii="Times New Roman" w:hAnsi="Times New Roman" w:eastAsia="Calibri" w:cs="Times New Roman"/>
          <w:color w:val="0000FF"/>
          <w:sz w:val="24"/>
          <w:szCs w:val="24"/>
        </w:rPr>
        <w:t>(</w:t>
      </w:r>
      <w:r w:rsidRPr="0B812883">
        <w:rPr>
          <w:rFonts w:ascii="Times New Roman" w:hAnsi="Times New Roman" w:eastAsia="Calibri" w:cs="Times New Roman"/>
          <w:color w:val="0000FF"/>
          <w:sz w:val="24"/>
          <w:szCs w:val="24"/>
          <w:lang w:val="pl-PL"/>
        </w:rPr>
        <w:t>situācijas apraksts ar projektu / bez projekta</w:t>
      </w:r>
      <w:r w:rsidRPr="0B812883">
        <w:rPr>
          <w:rFonts w:ascii="Times New Roman" w:hAnsi="Times New Roman" w:eastAsia="Calibri" w:cs="Times New Roman"/>
          <w:color w:val="0000FF"/>
          <w:sz w:val="24"/>
          <w:szCs w:val="24"/>
        </w:rPr>
        <w:t xml:space="preserve">); </w:t>
      </w:r>
    </w:p>
    <w:p w:rsidRPr="003E5443" w:rsidR="00B50372" w:rsidP="00B50372" w:rsidRDefault="00B50372" w14:paraId="743CF2D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Ar projektu saistītās veiktās priekšizpētes (ja tādas ir veiktas);</w:t>
      </w:r>
    </w:p>
    <w:p w:rsidRPr="003E5443" w:rsidR="00B50372" w:rsidP="00B50372" w:rsidRDefault="00B50372" w14:paraId="613CFA98"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Kādi makroekonomiskie rādītāji ir izmantoti finanšu analīzē</w:t>
      </w:r>
      <w:r>
        <w:rPr>
          <w:rFonts w:ascii="Times New Roman" w:hAnsi="Times New Roman" w:eastAsia="Calibri" w:cs="Times New Roman"/>
          <w:color w:val="0000FF"/>
          <w:sz w:val="24"/>
          <w:szCs w:val="24"/>
        </w:rPr>
        <w:t>;</w:t>
      </w:r>
    </w:p>
    <w:p w:rsidRPr="003E5443" w:rsidR="00B50372" w:rsidP="00B50372" w:rsidRDefault="00B50372" w14:paraId="7B6686FC"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Aprēķinu periodu;</w:t>
      </w:r>
    </w:p>
    <w:p w:rsidRPr="003E5443" w:rsidR="00B50372" w:rsidP="00B50372" w:rsidRDefault="00B50372" w14:paraId="275575B9"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rsidRPr="003E5443" w:rsidR="00B50372" w:rsidP="00B50372" w:rsidRDefault="00B50372" w14:paraId="1491FD92"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Sadaļu var papildināt arī ar citu atbilstošu un ar projektu saistītu informāciju, pēc projekta iesniedzēja ieskatiem.</w:t>
      </w:r>
    </w:p>
    <w:p w:rsidR="00B50372" w:rsidP="00B50372" w:rsidRDefault="00B50372" w14:paraId="3FB988D4" w14:textId="77777777">
      <w:pPr>
        <w:jc w:val="both"/>
        <w:rPr>
          <w:rFonts w:ascii="Times New Roman" w:hAnsi="Times New Roman" w:cs="Times New Roman"/>
          <w:sz w:val="24"/>
          <w:szCs w:val="24"/>
        </w:rPr>
      </w:pPr>
    </w:p>
    <w:p w:rsidRPr="0092660F" w:rsidR="00B50372" w:rsidP="00B50372" w:rsidRDefault="00B50372" w14:paraId="1C4B8F15" w14:textId="77777777">
      <w:pPr>
        <w:jc w:val="both"/>
        <w:rPr>
          <w:rFonts w:ascii="Times New Roman" w:hAnsi="Times New Roman" w:cs="Times New Roman"/>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 </w:t>
      </w:r>
      <w:r w:rsidRPr="003E5443">
        <w:rPr>
          <w:rFonts w:ascii="Times New Roman" w:hAnsi="Times New Roman" w:eastAsia="Calibri" w:cs="Times New Roman"/>
          <w:b/>
          <w:bCs/>
          <w:color w:val="0000FF"/>
          <w:sz w:val="24"/>
          <w:szCs w:val="24"/>
        </w:rPr>
        <w:t>Finanšu analīze” 2.punktā</w:t>
      </w:r>
      <w:r w:rsidRPr="003E5443">
        <w:rPr>
          <w:rFonts w:ascii="Times New Roman" w:hAnsi="Times New Roman" w:eastAsia="Calibri" w:cs="Times New Roman"/>
          <w:color w:val="0000FF"/>
          <w:sz w:val="24"/>
          <w:szCs w:val="24"/>
        </w:rPr>
        <w:t xml:space="preserve"> (2.attēls) “Galvenie elementi un parametri, ko izmanto IIA finanšu analīzei” </w:t>
      </w:r>
      <w:r w:rsidRPr="003E5443">
        <w:rPr>
          <w:rFonts w:ascii="Times New Roman" w:hAnsi="Times New Roman" w:eastAsia="Calibri" w:cs="Times New Roman"/>
          <w:b/>
          <w:bCs/>
          <w:color w:val="0000FF"/>
          <w:sz w:val="24"/>
          <w:szCs w:val="24"/>
        </w:rPr>
        <w:t>un 3.punktā</w:t>
      </w:r>
      <w:r w:rsidRPr="003E5443">
        <w:rPr>
          <w:rFonts w:ascii="Times New Roman" w:hAnsi="Times New Roman" w:eastAsia="Calibri" w:cs="Times New Roman"/>
          <w:color w:val="0000FF"/>
          <w:sz w:val="24"/>
          <w:szCs w:val="24"/>
        </w:rPr>
        <w:t xml:space="preserve"> “Finanšu analīzes galvenie rādītāji saskaņā ar IIA dokumentu” aprēķini notiek automatizēti. Papildus informācijas ievade nav nepieciešama.</w:t>
      </w:r>
    </w:p>
    <w:p w:rsidR="00C71646" w:rsidP="00B50372" w:rsidRDefault="00C71646" w14:paraId="75C17E04"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446565B6"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5960A398"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65DDD4E6"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70A836D7"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1CAFBE81"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3F0C55B5"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6BB605EB"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4F32C631"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00C71646" w:rsidP="00B50372" w:rsidRDefault="00C71646" w14:paraId="54C15447" w14:textId="77777777">
      <w:pPr>
        <w:tabs>
          <w:tab w:val="left" w:pos="1545"/>
        </w:tabs>
        <w:spacing w:before="60" w:after="0" w:line="240" w:lineRule="auto"/>
        <w:jc w:val="right"/>
        <w:rPr>
          <w:rFonts w:ascii="Times New Roman" w:hAnsi="Times New Roman" w:eastAsia="Calibri" w:cs="Times New Roman"/>
          <w:color w:val="0000FF"/>
          <w:sz w:val="24"/>
          <w:szCs w:val="24"/>
        </w:rPr>
      </w:pPr>
    </w:p>
    <w:p w:rsidRPr="00E017B8" w:rsidR="00B50372" w:rsidP="00B50372" w:rsidRDefault="00B50372" w14:paraId="19BCE176" w14:textId="69EA18AB">
      <w:pPr>
        <w:tabs>
          <w:tab w:val="left" w:pos="1545"/>
        </w:tabs>
        <w:spacing w:before="60" w:after="0" w:line="240" w:lineRule="auto"/>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lastRenderedPageBreak/>
        <w:t>2.attēls</w:t>
      </w:r>
    </w:p>
    <w:p w:rsidRPr="0092660F" w:rsidR="00B50372" w:rsidP="00B50372" w:rsidRDefault="001154CA" w14:paraId="7E22349E" w14:textId="74499591">
      <w:pPr>
        <w:jc w:val="both"/>
        <w:rPr>
          <w:rFonts w:ascii="Times New Roman" w:hAnsi="Times New Roman" w:cs="Times New Roman"/>
          <w:sz w:val="24"/>
          <w:szCs w:val="24"/>
        </w:rPr>
      </w:pPr>
      <w:r w:rsidRPr="001154CA">
        <w:rPr>
          <w:rFonts w:ascii="Times New Roman" w:hAnsi="Times New Roman" w:cs="Times New Roman"/>
          <w:noProof/>
          <w:sz w:val="24"/>
          <w:szCs w:val="24"/>
        </w:rPr>
        <w:drawing>
          <wp:inline distT="0" distB="0" distL="0" distR="0" wp14:anchorId="45FBCFD1" wp14:editId="54B6FE3D">
            <wp:extent cx="6119495" cy="2758440"/>
            <wp:effectExtent l="0" t="0" r="0" b="3810"/>
            <wp:docPr id="202333139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31398" name="Picture 1" descr="A screenshot of a computer screen&#10;&#10;Description automatically generated"/>
                    <pic:cNvPicPr/>
                  </pic:nvPicPr>
                  <pic:blipFill>
                    <a:blip r:embed="rId21"/>
                    <a:stretch>
                      <a:fillRect/>
                    </a:stretch>
                  </pic:blipFill>
                  <pic:spPr>
                    <a:xfrm>
                      <a:off x="0" y="0"/>
                      <a:ext cx="6119495" cy="2758440"/>
                    </a:xfrm>
                    <a:prstGeom prst="rect">
                      <a:avLst/>
                    </a:prstGeom>
                  </pic:spPr>
                </pic:pic>
              </a:graphicData>
            </a:graphic>
          </wp:inline>
        </w:drawing>
      </w:r>
    </w:p>
    <w:p w:rsidR="00DF5219" w:rsidP="00B50372" w:rsidRDefault="00DF5219" w14:paraId="26082145" w14:textId="77777777">
      <w:pPr>
        <w:jc w:val="both"/>
        <w:rPr>
          <w:rFonts w:ascii="Times New Roman" w:hAnsi="Times New Roman" w:eastAsia="Calibri" w:cs="Times New Roman"/>
          <w:b/>
          <w:bCs/>
          <w:color w:val="0000FF"/>
          <w:sz w:val="24"/>
          <w:szCs w:val="24"/>
        </w:rPr>
      </w:pPr>
    </w:p>
    <w:p w:rsidRPr="003E5443" w:rsidR="00B50372" w:rsidP="00B50372" w:rsidRDefault="00B50372" w14:paraId="01499FEB" w14:textId="737BEAAE">
      <w:pPr>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t>Sadaļas “</w:t>
      </w:r>
      <w:r>
        <w:rPr>
          <w:rFonts w:ascii="Times New Roman" w:hAnsi="Times New Roman" w:eastAsia="Calibri" w:cs="Times New Roman"/>
          <w:b/>
          <w:bCs/>
          <w:color w:val="0000FF"/>
          <w:sz w:val="24"/>
          <w:szCs w:val="24"/>
        </w:rPr>
        <w:t xml:space="preserve">II. </w:t>
      </w:r>
      <w:r w:rsidRPr="003E5443">
        <w:rPr>
          <w:rFonts w:ascii="Times New Roman" w:hAnsi="Times New Roman" w:eastAsia="Calibri" w:cs="Times New Roman"/>
          <w:b/>
          <w:bCs/>
          <w:color w:val="0000FF"/>
          <w:sz w:val="24"/>
          <w:szCs w:val="24"/>
        </w:rPr>
        <w:t>Ekonomiskā analīze” 1.punktā</w:t>
      </w:r>
      <w:r w:rsidRPr="003E5443">
        <w:rPr>
          <w:rFonts w:ascii="Times New Roman" w:hAnsi="Times New Roman" w:eastAsia="Calibri"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rsidRPr="003E5443" w:rsidR="00B50372" w:rsidP="00B50372" w:rsidRDefault="00B50372" w14:paraId="00889A12" w14:textId="119EC4A0">
      <w:pPr>
        <w:jc w:val="right"/>
        <w:rPr>
          <w:rFonts w:ascii="Times New Roman" w:hAnsi="Times New Roman" w:eastAsia="Calibri" w:cs="Times New Roman"/>
          <w:color w:val="0000FF"/>
          <w:sz w:val="24"/>
          <w:szCs w:val="24"/>
        </w:rPr>
      </w:pPr>
      <w:r w:rsidRPr="003E5443">
        <w:rPr>
          <w:rFonts w:ascii="Times New Roman" w:hAnsi="Times New Roman" w:eastAsia="Calibri" w:cs="Times New Roman"/>
          <w:color w:val="0000FF"/>
          <w:sz w:val="24"/>
          <w:szCs w:val="24"/>
        </w:rPr>
        <w:t>3.attēls</w:t>
      </w:r>
    </w:p>
    <w:p w:rsidRPr="0092660F" w:rsidR="00B50372" w:rsidP="00B50372" w:rsidRDefault="00B50372" w14:paraId="138B51A6" w14:textId="77777777">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rsidRPr="002C253D" w:rsidR="00B50372" w:rsidP="00B50372" w:rsidRDefault="00B50372" w14:paraId="62C8199D"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Kāds ir ekonomiskās analīzes mērķis</w:t>
      </w:r>
      <w:r>
        <w:rPr>
          <w:rFonts w:ascii="Times New Roman" w:hAnsi="Times New Roman" w:eastAsia="Calibri" w:cs="Times New Roman"/>
          <w:color w:val="0000FF"/>
          <w:sz w:val="24"/>
          <w:szCs w:val="24"/>
        </w:rPr>
        <w:t>;</w:t>
      </w:r>
    </w:p>
    <w:p w:rsidRPr="002C253D" w:rsidR="00B50372" w:rsidP="00B50372" w:rsidRDefault="00B50372" w14:paraId="318B9874"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Kāda aprēķinu metode tika izmantota ekonomiskajā analīzē</w:t>
      </w:r>
      <w:r>
        <w:rPr>
          <w:rFonts w:ascii="Times New Roman" w:hAnsi="Times New Roman" w:eastAsia="Calibri" w:cs="Times New Roman"/>
          <w:color w:val="0000FF"/>
          <w:sz w:val="24"/>
          <w:szCs w:val="24"/>
        </w:rPr>
        <w:t>;</w:t>
      </w:r>
    </w:p>
    <w:p w:rsidRPr="002C253D" w:rsidR="00B50372" w:rsidP="00B50372" w:rsidRDefault="00B50372" w14:paraId="53647866"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Kādi makroekonomiskie rādītāji ir izmantoti ekonomiskajā analīzē</w:t>
      </w:r>
      <w:r>
        <w:rPr>
          <w:rFonts w:ascii="Times New Roman" w:hAnsi="Times New Roman" w:eastAsia="Calibri" w:cs="Times New Roman"/>
          <w:color w:val="0000FF"/>
          <w:sz w:val="24"/>
          <w:szCs w:val="24"/>
        </w:rPr>
        <w:t>;</w:t>
      </w:r>
    </w:p>
    <w:p w:rsidRPr="002C253D" w:rsidR="00B50372" w:rsidP="00B50372" w:rsidRDefault="00B50372" w14:paraId="506BCE39"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hAnsi="Times New Roman" w:eastAsia="Calibri" w:cs="Times New Roman"/>
          <w:color w:val="0000FF"/>
          <w:sz w:val="24"/>
          <w:szCs w:val="24"/>
        </w:rPr>
        <w:t>;</w:t>
      </w:r>
    </w:p>
    <w:p w:rsidRPr="002C253D" w:rsidR="00B50372" w:rsidP="00B50372" w:rsidRDefault="00B50372" w14:paraId="52D3537F"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Ekonomiskā analīzē izmantotos sociāli ekonomiskos ieguvumus un kā tie tika noteikti</w:t>
      </w:r>
      <w:r>
        <w:rPr>
          <w:rFonts w:ascii="Times New Roman" w:hAnsi="Times New Roman" w:eastAsia="Calibri" w:cs="Times New Roman"/>
          <w:color w:val="0000FF"/>
          <w:sz w:val="24"/>
          <w:szCs w:val="24"/>
        </w:rPr>
        <w:t>, norādot atsauci uz atbilstošu metodiku;</w:t>
      </w:r>
    </w:p>
    <w:p w:rsidRPr="002C253D" w:rsidR="00B50372" w:rsidP="00B50372" w:rsidRDefault="00B50372" w14:paraId="10371378"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Aprēķinu periodu</w:t>
      </w:r>
      <w:r>
        <w:rPr>
          <w:rFonts w:ascii="Times New Roman" w:hAnsi="Times New Roman" w:eastAsia="Calibri" w:cs="Times New Roman"/>
          <w:color w:val="0000FF"/>
          <w:sz w:val="24"/>
          <w:szCs w:val="24"/>
        </w:rPr>
        <w:t>;</w:t>
      </w:r>
    </w:p>
    <w:p w:rsidR="00B50372" w:rsidP="00B50372" w:rsidRDefault="00B50372" w14:paraId="2BF29E63" w14:textId="77777777">
      <w:pPr>
        <w:numPr>
          <w:ilvl w:val="0"/>
          <w:numId w:val="36"/>
        </w:numPr>
        <w:tabs>
          <w:tab w:val="left" w:pos="1545"/>
        </w:tabs>
        <w:spacing w:before="60" w:after="0" w:line="240" w:lineRule="auto"/>
        <w:jc w:val="both"/>
        <w:rPr>
          <w:rFonts w:ascii="Times New Roman" w:hAnsi="Times New Roman" w:eastAsia="Calibri" w:cs="Times New Roman"/>
          <w:color w:val="0000FF"/>
          <w:sz w:val="24"/>
          <w:szCs w:val="24"/>
        </w:rPr>
      </w:pPr>
      <w:r w:rsidRPr="002C253D">
        <w:rPr>
          <w:rFonts w:ascii="Times New Roman" w:hAnsi="Times New Roman" w:eastAsia="Calibri" w:cs="Times New Roman"/>
          <w:color w:val="0000FF"/>
          <w:sz w:val="24"/>
          <w:szCs w:val="24"/>
        </w:rPr>
        <w:t>Galvenos secinājumus:</w:t>
      </w:r>
      <w:r>
        <w:rPr>
          <w:rFonts w:ascii="Times New Roman" w:hAnsi="Times New Roman" w:eastAsia="Calibri" w:cs="Times New Roman"/>
          <w:color w:val="0000FF"/>
          <w:sz w:val="24"/>
          <w:szCs w:val="24"/>
        </w:rPr>
        <w:t xml:space="preserve"> </w:t>
      </w:r>
      <w:r w:rsidRPr="002C253D">
        <w:rPr>
          <w:rFonts w:ascii="Times New Roman" w:hAnsi="Times New Roman" w:eastAsia="Calibri" w:cs="Times New Roman"/>
          <w:color w:val="0000FF"/>
          <w:sz w:val="24"/>
          <w:szCs w:val="24"/>
        </w:rPr>
        <w:t>kāds ir aprēķinos noteiktais ENPV, ERR un kāda ir ieguvumu un izdevumu attiecība, kā arī to ko no šiem rezultātiem var secināt</w:t>
      </w:r>
      <w:r>
        <w:rPr>
          <w:rFonts w:ascii="Times New Roman" w:hAnsi="Times New Roman" w:eastAsia="Calibri" w:cs="Times New Roman"/>
          <w:color w:val="0000FF"/>
          <w:sz w:val="24"/>
          <w:szCs w:val="24"/>
        </w:rPr>
        <w:t>.</w:t>
      </w:r>
    </w:p>
    <w:p w:rsidR="00B50372" w:rsidP="00B50372" w:rsidRDefault="00B50372" w14:paraId="15B313DC" w14:textId="77777777">
      <w:pPr>
        <w:tabs>
          <w:tab w:val="left" w:pos="1545"/>
        </w:tabs>
        <w:spacing w:before="60" w:after="0" w:line="240" w:lineRule="auto"/>
        <w:jc w:val="both"/>
        <w:rPr>
          <w:rFonts w:ascii="Times New Roman" w:hAnsi="Times New Roman" w:eastAsia="Calibri" w:cs="Times New Roman"/>
          <w:color w:val="0000FF"/>
          <w:sz w:val="24"/>
          <w:szCs w:val="24"/>
        </w:rPr>
      </w:pPr>
    </w:p>
    <w:p w:rsidR="00B50372" w:rsidP="00B50372" w:rsidRDefault="00B50372" w14:paraId="120D94E0" w14:textId="77777777">
      <w:pPr>
        <w:tabs>
          <w:tab w:val="left" w:pos="1545"/>
        </w:tabs>
        <w:spacing w:before="60" w:after="0" w:line="240" w:lineRule="auto"/>
        <w:jc w:val="both"/>
        <w:rPr>
          <w:rFonts w:ascii="Times New Roman" w:hAnsi="Times New Roman" w:eastAsia="Calibri" w:cs="Times New Roman"/>
          <w:color w:val="0000FF"/>
          <w:sz w:val="24"/>
          <w:szCs w:val="24"/>
        </w:rPr>
      </w:pPr>
      <w:r w:rsidRPr="003E5443">
        <w:rPr>
          <w:rFonts w:ascii="Times New Roman" w:hAnsi="Times New Roman" w:eastAsia="Calibri" w:cs="Times New Roman"/>
          <w:b/>
          <w:bCs/>
          <w:color w:val="0000FF"/>
          <w:sz w:val="24"/>
          <w:szCs w:val="24"/>
        </w:rPr>
        <w:lastRenderedPageBreak/>
        <w:t>Sadaļas “</w:t>
      </w:r>
      <w:r>
        <w:rPr>
          <w:rFonts w:ascii="Times New Roman" w:hAnsi="Times New Roman" w:eastAsia="Calibri" w:cs="Times New Roman"/>
          <w:b/>
          <w:bCs/>
          <w:color w:val="0000FF"/>
          <w:sz w:val="24"/>
          <w:szCs w:val="24"/>
        </w:rPr>
        <w:t>II. Ekonomiskā</w:t>
      </w:r>
      <w:r w:rsidRPr="003E5443">
        <w:rPr>
          <w:rFonts w:ascii="Times New Roman" w:hAnsi="Times New Roman" w:eastAsia="Calibri" w:cs="Times New Roman"/>
          <w:b/>
          <w:bCs/>
          <w:color w:val="0000FF"/>
          <w:sz w:val="24"/>
          <w:szCs w:val="24"/>
        </w:rPr>
        <w:t xml:space="preserve"> analīze” 2.punktā</w:t>
      </w:r>
      <w:r w:rsidRPr="003E5443">
        <w:rPr>
          <w:rFonts w:ascii="Times New Roman" w:hAnsi="Times New Roman" w:eastAsia="Calibri" w:cs="Times New Roman"/>
          <w:color w:val="0000FF"/>
          <w:sz w:val="24"/>
          <w:szCs w:val="24"/>
        </w:rPr>
        <w:t xml:space="preserve"> (</w:t>
      </w: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.attēls) “</w:t>
      </w:r>
      <w:r w:rsidRPr="00D763D5">
        <w:rPr>
          <w:rFonts w:ascii="Times New Roman" w:hAnsi="Times New Roman" w:eastAsia="Calibri" w:cs="Times New Roman"/>
          <w:color w:val="0000FF"/>
          <w:sz w:val="24"/>
          <w:szCs w:val="24"/>
        </w:rPr>
        <w:t>Informācija par ekonomiskajiem ieguvumiem un izmaksām</w:t>
      </w:r>
      <w:r w:rsidRPr="003E5443">
        <w:rPr>
          <w:rFonts w:ascii="Times New Roman" w:hAnsi="Times New Roman" w:eastAsia="Calibri" w:cs="Times New Roman"/>
          <w:color w:val="0000FF"/>
          <w:sz w:val="24"/>
          <w:szCs w:val="24"/>
        </w:rPr>
        <w:t xml:space="preserve">” </w:t>
      </w:r>
      <w:r w:rsidRPr="003E5443">
        <w:rPr>
          <w:rFonts w:ascii="Times New Roman" w:hAnsi="Times New Roman" w:eastAsia="Calibri" w:cs="Times New Roman"/>
          <w:b/>
          <w:bCs/>
          <w:color w:val="0000FF"/>
          <w:sz w:val="24"/>
          <w:szCs w:val="24"/>
        </w:rPr>
        <w:t>un 3.punktā</w:t>
      </w:r>
      <w:r w:rsidRPr="003E5443">
        <w:rPr>
          <w:rFonts w:ascii="Times New Roman" w:hAnsi="Times New Roman" w:eastAsia="Calibri" w:cs="Times New Roman"/>
          <w:color w:val="0000FF"/>
          <w:sz w:val="24"/>
          <w:szCs w:val="24"/>
        </w:rPr>
        <w:t xml:space="preserve"> “</w:t>
      </w:r>
      <w:r w:rsidRPr="00D763D5">
        <w:rPr>
          <w:rFonts w:ascii="Times New Roman" w:hAnsi="Times New Roman" w:eastAsia="Calibri" w:cs="Times New Roman"/>
          <w:color w:val="0000FF"/>
          <w:sz w:val="24"/>
          <w:szCs w:val="24"/>
        </w:rPr>
        <w:t>Ekonomiskās analīzes galvenie rādītāji saskaņā ar IIA dokumentu</w:t>
      </w:r>
      <w:r w:rsidRPr="003E5443">
        <w:rPr>
          <w:rFonts w:ascii="Times New Roman" w:hAnsi="Times New Roman" w:eastAsia="Calibri" w:cs="Times New Roman"/>
          <w:color w:val="0000FF"/>
          <w:sz w:val="24"/>
          <w:szCs w:val="24"/>
        </w:rPr>
        <w:t>” aprēķini notiek automatizēti. Papildus informācijas ievade nav nepieciešama.</w:t>
      </w:r>
    </w:p>
    <w:p w:rsidR="00B50372" w:rsidP="00B50372" w:rsidRDefault="00B50372" w14:paraId="2E150076" w14:textId="77777777">
      <w:pPr>
        <w:tabs>
          <w:tab w:val="left" w:pos="1545"/>
        </w:tabs>
        <w:spacing w:before="60" w:after="0" w:line="240" w:lineRule="auto"/>
        <w:jc w:val="both"/>
        <w:rPr>
          <w:rFonts w:ascii="Times New Roman" w:hAnsi="Times New Roman" w:eastAsia="Calibri" w:cs="Times New Roman"/>
          <w:color w:val="0000FF"/>
          <w:sz w:val="24"/>
          <w:szCs w:val="24"/>
        </w:rPr>
      </w:pPr>
    </w:p>
    <w:p w:rsidRPr="003E5443" w:rsidR="00B50372" w:rsidP="00B50372" w:rsidRDefault="00B50372" w14:paraId="76BF7359" w14:textId="48A5133E">
      <w:pPr>
        <w:jc w:val="right"/>
        <w:rPr>
          <w:rFonts w:ascii="Times New Roman" w:hAnsi="Times New Roman" w:eastAsia="Calibri" w:cs="Times New Roman"/>
          <w:color w:val="0000FF"/>
          <w:sz w:val="24"/>
          <w:szCs w:val="24"/>
        </w:rPr>
      </w:pPr>
      <w:r>
        <w:rPr>
          <w:rFonts w:ascii="Times New Roman" w:hAnsi="Times New Roman" w:eastAsia="Calibri" w:cs="Times New Roman"/>
          <w:color w:val="0000FF"/>
          <w:sz w:val="24"/>
          <w:szCs w:val="24"/>
        </w:rPr>
        <w:t>4</w:t>
      </w:r>
      <w:r w:rsidRPr="003E5443">
        <w:rPr>
          <w:rFonts w:ascii="Times New Roman" w:hAnsi="Times New Roman" w:eastAsia="Calibri" w:cs="Times New Roman"/>
          <w:color w:val="0000FF"/>
          <w:sz w:val="24"/>
          <w:szCs w:val="24"/>
        </w:rPr>
        <w:t>.attēls</w:t>
      </w:r>
    </w:p>
    <w:p w:rsidR="00B50372" w:rsidP="00B50372" w:rsidRDefault="00B50372" w14:paraId="29B91E49" w14:textId="77777777">
      <w:pPr>
        <w:tabs>
          <w:tab w:val="left" w:pos="1545"/>
        </w:tabs>
        <w:spacing w:before="60" w:after="0" w:line="240" w:lineRule="auto"/>
        <w:jc w:val="both"/>
        <w:rPr>
          <w:rFonts w:ascii="Times New Roman" w:hAnsi="Times New Roman" w:eastAsia="Calibri"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rsidRPr="00596D47" w:rsidR="00E8243F" w:rsidP="00596D47" w:rsidRDefault="00E8243F" w14:paraId="39581C27" w14:textId="6C9612FF">
      <w:pPr>
        <w:pStyle w:val="Heading1"/>
        <w:numPr>
          <w:ilvl w:val="2"/>
          <w:numId w:val="32"/>
        </w:numPr>
        <w:rPr>
          <w:rFonts w:ascii="Times New Roman" w:hAnsi="Times New Roman" w:cs="Times New Roman"/>
          <w:b/>
          <w:bCs/>
          <w:color w:val="auto"/>
          <w:sz w:val="28"/>
          <w:szCs w:val="28"/>
        </w:rPr>
      </w:pPr>
      <w:bookmarkStart w:name="_Toc177638303" w:id="33"/>
      <w:r w:rsidRPr="00596D47">
        <w:rPr>
          <w:rFonts w:ascii="Times New Roman" w:hAnsi="Times New Roman" w:cs="Times New Roman"/>
          <w:b/>
          <w:bCs/>
          <w:color w:val="auto"/>
          <w:sz w:val="28"/>
          <w:szCs w:val="28"/>
        </w:rPr>
        <w:t>Kontroles lapa</w:t>
      </w:r>
      <w:bookmarkEnd w:id="33"/>
    </w:p>
    <w:p w:rsidRPr="00314781" w:rsidR="00E8243F" w:rsidP="00314781" w:rsidRDefault="00E8243F" w14:paraId="5463BB4B" w14:textId="582AAABE">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name="_Hlk96433301" w:id="34"/>
      <w:r w:rsidRPr="00314781">
        <w:rPr>
          <w:rFonts w:ascii="Times New Roman" w:hAnsi="Times New Roman" w:cs="Times New Roman"/>
          <w:sz w:val="24"/>
        </w:rPr>
        <w:t xml:space="preserve">“13. Kontroles lapa” </w:t>
      </w:r>
      <w:bookmarkEnd w:id="34"/>
      <w:r w:rsidRPr="00314781">
        <w:rPr>
          <w:rFonts w:ascii="Times New Roman" w:hAnsi="Times New Roman" w:cs="Times New Roman"/>
          <w:sz w:val="24"/>
        </w:rPr>
        <w:t>projekta iesniedzējs neaizpilda, jo tajā automātiski ģenerējas dati no iepriekš aizpildītajām izklājlapām kontroles vajadzībām.</w:t>
      </w:r>
    </w:p>
    <w:p w:rsidRPr="00890043" w:rsidR="004F384B" w:rsidP="004F384B" w:rsidRDefault="004F384B" w14:paraId="62184FAD" w14:textId="77777777">
      <w:pPr>
        <w:jc w:val="both"/>
        <w:rPr>
          <w:rFonts w:ascii="Times New Roman" w:hAnsi="Times New Roman" w:cs="Times New Roman"/>
          <w:sz w:val="24"/>
        </w:rPr>
      </w:pPr>
      <w:r w:rsidRPr="00890043">
        <w:rPr>
          <w:rFonts w:ascii="Times New Roman" w:hAnsi="Times New Roman" w:cs="Times New Roman"/>
          <w:sz w:val="24"/>
        </w:rPr>
        <w:t>Izklājlapai “13. Kontroles lapa” ir viena sadaļa: “Izmaksu un ieguvumu analīzes galvenie rezultāti”.</w:t>
      </w:r>
    </w:p>
    <w:p w:rsidRPr="00314781" w:rsidR="00E8243F" w:rsidP="00314781" w:rsidRDefault="00E8243F" w14:paraId="5F33EF0F" w14:textId="1DEB66EF">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rsidRPr="00E8243F" w:rsidR="00E8243F" w:rsidP="00E8243F" w:rsidRDefault="00E8243F" w14:paraId="167239D3" w14:textId="77777777">
      <w:pPr>
        <w:outlineLvl w:val="1"/>
        <w:rPr>
          <w:rFonts w:ascii="Times New Roman" w:hAnsi="Times New Roman" w:cs="Times New Roman"/>
          <w:b/>
          <w:sz w:val="28"/>
          <w:szCs w:val="28"/>
        </w:rPr>
      </w:pPr>
    </w:p>
    <w:p w:rsidRPr="00596D47" w:rsidR="0060686B" w:rsidP="00596D47" w:rsidRDefault="0060686B" w14:paraId="395E5787" w14:textId="0F653969">
      <w:pPr>
        <w:pStyle w:val="Heading1"/>
        <w:numPr>
          <w:ilvl w:val="2"/>
          <w:numId w:val="32"/>
        </w:numPr>
        <w:rPr>
          <w:rFonts w:ascii="Times New Roman" w:hAnsi="Times New Roman" w:cs="Times New Roman"/>
          <w:b/>
          <w:bCs/>
          <w:color w:val="auto"/>
          <w:sz w:val="28"/>
          <w:szCs w:val="28"/>
        </w:rPr>
      </w:pPr>
      <w:bookmarkStart w:name="_Toc177638304" w:id="35"/>
      <w:r w:rsidRPr="00596D47">
        <w:rPr>
          <w:rFonts w:ascii="Times New Roman" w:hAnsi="Times New Roman" w:cs="Times New Roman"/>
          <w:b/>
          <w:bCs/>
          <w:color w:val="auto"/>
          <w:sz w:val="28"/>
          <w:szCs w:val="28"/>
        </w:rPr>
        <w:t>Pieņēmumi</w:t>
      </w:r>
      <w:bookmarkEnd w:id="35"/>
    </w:p>
    <w:p w:rsidR="00E8243F" w:rsidP="00E60F3C" w:rsidRDefault="00E60F3C" w14:paraId="17DCDF0A" w14:textId="17736182">
      <w:pPr>
        <w:jc w:val="both"/>
        <w:rPr>
          <w:rFonts w:ascii="Times New Roman" w:hAnsi="Times New Roman" w:cs="Times New Roman"/>
          <w:sz w:val="24"/>
          <w:szCs w:val="24"/>
        </w:rPr>
      </w:pPr>
      <w:r w:rsidRPr="22B0354F" w:rsidR="00E60F3C">
        <w:rPr>
          <w:rFonts w:ascii="Times New Roman" w:hAnsi="Times New Roman" w:cs="Times New Roman"/>
          <w:sz w:val="24"/>
          <w:szCs w:val="24"/>
        </w:rPr>
        <w:t>Izklājlapā</w:t>
      </w:r>
      <w:r w:rsidRPr="22B0354F" w:rsidR="00E60F3C">
        <w:rPr>
          <w:rFonts w:ascii="Times New Roman" w:hAnsi="Times New Roman" w:cs="Times New Roman"/>
          <w:sz w:val="24"/>
          <w:szCs w:val="24"/>
        </w:rPr>
        <w:t xml:space="preserve"> “Pieņēmumi”</w:t>
      </w:r>
      <w:r w:rsidRPr="22B0354F" w:rsidR="00E60F3C">
        <w:rPr>
          <w:rFonts w:ascii="Times New Roman" w:hAnsi="Times New Roman" w:cs="Times New Roman"/>
          <w:sz w:val="24"/>
          <w:szCs w:val="24"/>
        </w:rPr>
        <w:t xml:space="preserve"> </w:t>
      </w:r>
      <w:r w:rsidRPr="22B0354F" w:rsidR="006F4B3D">
        <w:rPr>
          <w:rFonts w:ascii="Times New Roman" w:hAnsi="Times New Roman" w:cs="Times New Roman"/>
          <w:sz w:val="24"/>
          <w:szCs w:val="24"/>
        </w:rPr>
        <w:t>nav uzstādīta šūnu aizsardzība un šajā izklājlapā norāda</w:t>
      </w:r>
      <w:r w:rsidRPr="22B0354F" w:rsidR="00E60F3C">
        <w:rPr>
          <w:rFonts w:ascii="Times New Roman" w:hAnsi="Times New Roman" w:cs="Times New Roman"/>
          <w:sz w:val="24"/>
          <w:szCs w:val="24"/>
        </w:rPr>
        <w:t xml:space="preserve"> </w:t>
      </w:r>
      <w:r w:rsidRPr="22B0354F" w:rsidR="00E60F3C">
        <w:rPr>
          <w:rFonts w:ascii="Times New Roman" w:hAnsi="Times New Roman" w:cs="Times New Roman"/>
          <w:sz w:val="24"/>
          <w:szCs w:val="24"/>
        </w:rPr>
        <w:t>izmaksu un ieguvumu analīzes</w:t>
      </w:r>
      <w:r w:rsidRPr="22B0354F" w:rsid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Pr="22B0354F" w:rsidR="002A69FE">
        <w:rPr>
          <w:rFonts w:ascii="Times New Roman" w:hAnsi="Times New Roman" w:cs="Times New Roman"/>
          <w:sz w:val="24"/>
          <w:szCs w:val="24"/>
        </w:rPr>
        <w:t xml:space="preserve">sociālekonomisko </w:t>
      </w:r>
      <w:r w:rsidRPr="22B0354F" w:rsidR="00E60F3C">
        <w:rPr>
          <w:rFonts w:ascii="Times New Roman" w:hAnsi="Times New Roman" w:cs="Times New Roman"/>
          <w:sz w:val="24"/>
          <w:szCs w:val="24"/>
        </w:rPr>
        <w:t>ieguvumu, zaudējumu un fiskā</w:t>
      </w:r>
      <w:r w:rsidRPr="22B0354F" w:rsidR="00E60F3C">
        <w:rPr>
          <w:rFonts w:ascii="Times New Roman" w:hAnsi="Times New Roman" w:cs="Times New Roman"/>
          <w:sz w:val="24"/>
          <w:szCs w:val="24"/>
        </w:rPr>
        <w:t>l</w:t>
      </w:r>
      <w:r w:rsidRPr="22B0354F" w:rsidR="00E60F3C">
        <w:rPr>
          <w:rFonts w:ascii="Times New Roman" w:hAnsi="Times New Roman" w:cs="Times New Roman"/>
          <w:sz w:val="24"/>
          <w:szCs w:val="24"/>
        </w:rPr>
        <w:t>o korekciju aprēķinu</w:t>
      </w:r>
      <w:r w:rsidRPr="22B0354F" w:rsidR="002A69FE">
        <w:rPr>
          <w:rFonts w:ascii="Times New Roman" w:hAnsi="Times New Roman" w:cs="Times New Roman"/>
          <w:sz w:val="24"/>
          <w:szCs w:val="24"/>
        </w:rPr>
        <w:t>s un datu avotus</w:t>
      </w:r>
      <w:r w:rsidRPr="22B0354F" w:rsidR="00E60F3C">
        <w:rPr>
          <w:rFonts w:ascii="Times New Roman" w:hAnsi="Times New Roman" w:cs="Times New Roman"/>
          <w:sz w:val="24"/>
          <w:szCs w:val="24"/>
        </w:rPr>
        <w:t>)</w:t>
      </w:r>
      <w:r w:rsidRPr="22B0354F" w:rsidR="00E60F3C">
        <w:rPr>
          <w:rFonts w:ascii="Times New Roman" w:hAnsi="Times New Roman" w:cs="Times New Roman"/>
          <w:sz w:val="24"/>
          <w:szCs w:val="24"/>
        </w:rPr>
        <w:t>.</w:t>
      </w:r>
    </w:p>
    <w:p w:rsidR="0024051E" w:rsidRDefault="0024051E" w14:paraId="1CB6B215" w14:textId="27DA9623"/>
    <w:sectPr w:rsidR="0024051E" w:rsidSect="00A16B82">
      <w:headerReference w:type="default" r:id="rId24"/>
      <w:footerReference w:type="default" r:id="rId25"/>
      <w:pgSz w:w="11906" w:h="16838" w:orient="portrait"/>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A19B0" w:rsidP="00185ABD" w:rsidRDefault="009A19B0" w14:paraId="6D99DADF" w14:textId="77777777">
      <w:pPr>
        <w:spacing w:after="0" w:line="240" w:lineRule="auto"/>
      </w:pPr>
      <w:r>
        <w:separator/>
      </w:r>
    </w:p>
  </w:endnote>
  <w:endnote w:type="continuationSeparator" w:id="0">
    <w:p w:rsidR="009A19B0" w:rsidP="00185ABD" w:rsidRDefault="009A19B0" w14:paraId="24B54538" w14:textId="77777777">
      <w:pPr>
        <w:spacing w:after="0" w:line="240" w:lineRule="auto"/>
      </w:pPr>
      <w:r>
        <w:continuationSeparator/>
      </w:r>
    </w:p>
  </w:endnote>
  <w:endnote w:type="continuationNotice" w:id="1">
    <w:p w:rsidR="009A19B0" w:rsidRDefault="009A19B0" w14:paraId="3538E9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A19B0" w:rsidP="00185ABD" w:rsidRDefault="009A19B0" w14:paraId="294EAB0D" w14:textId="77777777">
      <w:pPr>
        <w:spacing w:after="0" w:line="240" w:lineRule="auto"/>
      </w:pPr>
      <w:r>
        <w:separator/>
      </w:r>
    </w:p>
  </w:footnote>
  <w:footnote w:type="continuationSeparator" w:id="0">
    <w:p w:rsidR="009A19B0" w:rsidP="00185ABD" w:rsidRDefault="009A19B0" w14:paraId="396089E6" w14:textId="77777777">
      <w:pPr>
        <w:spacing w:after="0" w:line="240" w:lineRule="auto"/>
      </w:pPr>
      <w:r>
        <w:continuationSeparator/>
      </w:r>
    </w:p>
  </w:footnote>
  <w:footnote w:type="continuationNotice" w:id="1">
    <w:p w:rsidR="009A19B0" w:rsidRDefault="009A19B0" w14:paraId="0AAA6D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851" w:rsidRDefault="00C90851" w14:paraId="0AAF8F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106D"/>
    <w:rsid w:val="000045F9"/>
    <w:rsid w:val="00011732"/>
    <w:rsid w:val="0001337C"/>
    <w:rsid w:val="000251DB"/>
    <w:rsid w:val="00031792"/>
    <w:rsid w:val="00037A55"/>
    <w:rsid w:val="00061ABE"/>
    <w:rsid w:val="000651D3"/>
    <w:rsid w:val="000656C3"/>
    <w:rsid w:val="00082C91"/>
    <w:rsid w:val="00084BF1"/>
    <w:rsid w:val="0009039F"/>
    <w:rsid w:val="00090F9F"/>
    <w:rsid w:val="00094834"/>
    <w:rsid w:val="000959AB"/>
    <w:rsid w:val="00096DAD"/>
    <w:rsid w:val="00096F87"/>
    <w:rsid w:val="000A13CA"/>
    <w:rsid w:val="000A19C4"/>
    <w:rsid w:val="000A26E3"/>
    <w:rsid w:val="000A36E7"/>
    <w:rsid w:val="000A6DD3"/>
    <w:rsid w:val="000B17A2"/>
    <w:rsid w:val="000B5492"/>
    <w:rsid w:val="000C4C22"/>
    <w:rsid w:val="000D7414"/>
    <w:rsid w:val="000E23A3"/>
    <w:rsid w:val="000E5C0C"/>
    <w:rsid w:val="000F0356"/>
    <w:rsid w:val="000F064A"/>
    <w:rsid w:val="000F5D15"/>
    <w:rsid w:val="00103A1B"/>
    <w:rsid w:val="00106EAC"/>
    <w:rsid w:val="001154CA"/>
    <w:rsid w:val="00115EE6"/>
    <w:rsid w:val="001178AF"/>
    <w:rsid w:val="001271C4"/>
    <w:rsid w:val="001302F4"/>
    <w:rsid w:val="00130607"/>
    <w:rsid w:val="001378AA"/>
    <w:rsid w:val="00144BF6"/>
    <w:rsid w:val="0014566A"/>
    <w:rsid w:val="00180DE9"/>
    <w:rsid w:val="00181293"/>
    <w:rsid w:val="001812D6"/>
    <w:rsid w:val="00183B8C"/>
    <w:rsid w:val="00185ABD"/>
    <w:rsid w:val="00187FF4"/>
    <w:rsid w:val="001B14D1"/>
    <w:rsid w:val="001B500B"/>
    <w:rsid w:val="001C589C"/>
    <w:rsid w:val="001D0E86"/>
    <w:rsid w:val="001D2493"/>
    <w:rsid w:val="001D7536"/>
    <w:rsid w:val="001E0E3D"/>
    <w:rsid w:val="001E5E78"/>
    <w:rsid w:val="001F0EF3"/>
    <w:rsid w:val="001F46DE"/>
    <w:rsid w:val="002068C2"/>
    <w:rsid w:val="00207237"/>
    <w:rsid w:val="00212E39"/>
    <w:rsid w:val="00213942"/>
    <w:rsid w:val="00221B5B"/>
    <w:rsid w:val="0022408E"/>
    <w:rsid w:val="00233B32"/>
    <w:rsid w:val="00233BB4"/>
    <w:rsid w:val="0024051E"/>
    <w:rsid w:val="00241D65"/>
    <w:rsid w:val="00245582"/>
    <w:rsid w:val="00255FEB"/>
    <w:rsid w:val="0026260B"/>
    <w:rsid w:val="00266FC1"/>
    <w:rsid w:val="00267F69"/>
    <w:rsid w:val="002727D7"/>
    <w:rsid w:val="00276FAB"/>
    <w:rsid w:val="00277472"/>
    <w:rsid w:val="002938DC"/>
    <w:rsid w:val="002A69FE"/>
    <w:rsid w:val="002A78FE"/>
    <w:rsid w:val="002B625D"/>
    <w:rsid w:val="002C1141"/>
    <w:rsid w:val="002C2E53"/>
    <w:rsid w:val="002C4446"/>
    <w:rsid w:val="002C5DBF"/>
    <w:rsid w:val="002D31BE"/>
    <w:rsid w:val="002D5207"/>
    <w:rsid w:val="002E3C8B"/>
    <w:rsid w:val="002F6607"/>
    <w:rsid w:val="00303155"/>
    <w:rsid w:val="00303C8A"/>
    <w:rsid w:val="00306D78"/>
    <w:rsid w:val="003110C3"/>
    <w:rsid w:val="00311966"/>
    <w:rsid w:val="00314781"/>
    <w:rsid w:val="003164D6"/>
    <w:rsid w:val="00330C1A"/>
    <w:rsid w:val="00334B31"/>
    <w:rsid w:val="00354092"/>
    <w:rsid w:val="00361FAC"/>
    <w:rsid w:val="003647A3"/>
    <w:rsid w:val="00372348"/>
    <w:rsid w:val="00374EA7"/>
    <w:rsid w:val="00384276"/>
    <w:rsid w:val="003851A4"/>
    <w:rsid w:val="00392874"/>
    <w:rsid w:val="003A1E5C"/>
    <w:rsid w:val="003D1F6A"/>
    <w:rsid w:val="003D7DA7"/>
    <w:rsid w:val="003E0E15"/>
    <w:rsid w:val="003F5191"/>
    <w:rsid w:val="003F65C4"/>
    <w:rsid w:val="003F7DE7"/>
    <w:rsid w:val="004077D7"/>
    <w:rsid w:val="00411470"/>
    <w:rsid w:val="00413C2E"/>
    <w:rsid w:val="004162C6"/>
    <w:rsid w:val="004201D0"/>
    <w:rsid w:val="00422CDD"/>
    <w:rsid w:val="00432136"/>
    <w:rsid w:val="00433B0E"/>
    <w:rsid w:val="00434A93"/>
    <w:rsid w:val="00436503"/>
    <w:rsid w:val="00441056"/>
    <w:rsid w:val="00442E44"/>
    <w:rsid w:val="00447B69"/>
    <w:rsid w:val="00453174"/>
    <w:rsid w:val="00457CD6"/>
    <w:rsid w:val="00471188"/>
    <w:rsid w:val="0047138D"/>
    <w:rsid w:val="00476670"/>
    <w:rsid w:val="00476A7A"/>
    <w:rsid w:val="00481219"/>
    <w:rsid w:val="004818C0"/>
    <w:rsid w:val="004914B1"/>
    <w:rsid w:val="004A3F66"/>
    <w:rsid w:val="004A6057"/>
    <w:rsid w:val="004A6E5F"/>
    <w:rsid w:val="004B00CB"/>
    <w:rsid w:val="004B3340"/>
    <w:rsid w:val="004B3472"/>
    <w:rsid w:val="004C4147"/>
    <w:rsid w:val="004D19CA"/>
    <w:rsid w:val="004D3A72"/>
    <w:rsid w:val="004D60EB"/>
    <w:rsid w:val="004D78AE"/>
    <w:rsid w:val="004F384B"/>
    <w:rsid w:val="004F6137"/>
    <w:rsid w:val="00513CEE"/>
    <w:rsid w:val="00514729"/>
    <w:rsid w:val="00530ADB"/>
    <w:rsid w:val="005417DC"/>
    <w:rsid w:val="005506AE"/>
    <w:rsid w:val="00561DFA"/>
    <w:rsid w:val="0057041A"/>
    <w:rsid w:val="00570B6A"/>
    <w:rsid w:val="00574CB4"/>
    <w:rsid w:val="00576FB0"/>
    <w:rsid w:val="00581AFC"/>
    <w:rsid w:val="00582CA9"/>
    <w:rsid w:val="00591D84"/>
    <w:rsid w:val="005945BE"/>
    <w:rsid w:val="00595D7F"/>
    <w:rsid w:val="00596D47"/>
    <w:rsid w:val="005A041E"/>
    <w:rsid w:val="005A0A9E"/>
    <w:rsid w:val="005C45CA"/>
    <w:rsid w:val="005C7D27"/>
    <w:rsid w:val="005D741B"/>
    <w:rsid w:val="005E2AE3"/>
    <w:rsid w:val="005E3534"/>
    <w:rsid w:val="005E3626"/>
    <w:rsid w:val="005F04B3"/>
    <w:rsid w:val="005F274F"/>
    <w:rsid w:val="0060686B"/>
    <w:rsid w:val="006128A5"/>
    <w:rsid w:val="006214EC"/>
    <w:rsid w:val="00633F94"/>
    <w:rsid w:val="00633FDF"/>
    <w:rsid w:val="00635E27"/>
    <w:rsid w:val="00640E74"/>
    <w:rsid w:val="0064187F"/>
    <w:rsid w:val="0064192E"/>
    <w:rsid w:val="0064361B"/>
    <w:rsid w:val="006572D1"/>
    <w:rsid w:val="006620F6"/>
    <w:rsid w:val="006761DB"/>
    <w:rsid w:val="006768F1"/>
    <w:rsid w:val="0067727E"/>
    <w:rsid w:val="00680C1F"/>
    <w:rsid w:val="00685C4A"/>
    <w:rsid w:val="00686F1A"/>
    <w:rsid w:val="0068792F"/>
    <w:rsid w:val="006908EA"/>
    <w:rsid w:val="006A169F"/>
    <w:rsid w:val="006A65B2"/>
    <w:rsid w:val="006B48B3"/>
    <w:rsid w:val="006B6F4B"/>
    <w:rsid w:val="006C35F5"/>
    <w:rsid w:val="006C7056"/>
    <w:rsid w:val="006D0884"/>
    <w:rsid w:val="006D147B"/>
    <w:rsid w:val="006D66BC"/>
    <w:rsid w:val="006E0988"/>
    <w:rsid w:val="006F293A"/>
    <w:rsid w:val="006F4B3D"/>
    <w:rsid w:val="006F4F65"/>
    <w:rsid w:val="00712756"/>
    <w:rsid w:val="00712A03"/>
    <w:rsid w:val="00724068"/>
    <w:rsid w:val="00735C02"/>
    <w:rsid w:val="00752151"/>
    <w:rsid w:val="007528B4"/>
    <w:rsid w:val="00760A33"/>
    <w:rsid w:val="00761D4F"/>
    <w:rsid w:val="00764C79"/>
    <w:rsid w:val="0076658E"/>
    <w:rsid w:val="007705DB"/>
    <w:rsid w:val="00783AC1"/>
    <w:rsid w:val="00784F14"/>
    <w:rsid w:val="00790623"/>
    <w:rsid w:val="007959A3"/>
    <w:rsid w:val="00796626"/>
    <w:rsid w:val="007A3C44"/>
    <w:rsid w:val="007C06C8"/>
    <w:rsid w:val="007D46B9"/>
    <w:rsid w:val="007D5496"/>
    <w:rsid w:val="007D7C96"/>
    <w:rsid w:val="007F3A4F"/>
    <w:rsid w:val="0080155B"/>
    <w:rsid w:val="00804143"/>
    <w:rsid w:val="008055C0"/>
    <w:rsid w:val="0082504C"/>
    <w:rsid w:val="008264B4"/>
    <w:rsid w:val="00830E5A"/>
    <w:rsid w:val="00832348"/>
    <w:rsid w:val="008417F8"/>
    <w:rsid w:val="00842B38"/>
    <w:rsid w:val="0084464F"/>
    <w:rsid w:val="0084491B"/>
    <w:rsid w:val="008456DE"/>
    <w:rsid w:val="00846997"/>
    <w:rsid w:val="00846F6F"/>
    <w:rsid w:val="008575D3"/>
    <w:rsid w:val="00862976"/>
    <w:rsid w:val="00863302"/>
    <w:rsid w:val="00870FE0"/>
    <w:rsid w:val="00880D9D"/>
    <w:rsid w:val="00883451"/>
    <w:rsid w:val="00887F58"/>
    <w:rsid w:val="00895676"/>
    <w:rsid w:val="008A1959"/>
    <w:rsid w:val="008A26AB"/>
    <w:rsid w:val="008A70E3"/>
    <w:rsid w:val="008A7FE7"/>
    <w:rsid w:val="008B1802"/>
    <w:rsid w:val="008B55BF"/>
    <w:rsid w:val="008B5DB3"/>
    <w:rsid w:val="008C3B1D"/>
    <w:rsid w:val="008C4545"/>
    <w:rsid w:val="008C5819"/>
    <w:rsid w:val="008D00A6"/>
    <w:rsid w:val="008D2E7D"/>
    <w:rsid w:val="008D7F27"/>
    <w:rsid w:val="008E0762"/>
    <w:rsid w:val="008E7ED8"/>
    <w:rsid w:val="00904558"/>
    <w:rsid w:val="00913EF7"/>
    <w:rsid w:val="00925AFC"/>
    <w:rsid w:val="0094491C"/>
    <w:rsid w:val="009504F0"/>
    <w:rsid w:val="0095198C"/>
    <w:rsid w:val="009557A6"/>
    <w:rsid w:val="00956326"/>
    <w:rsid w:val="00957348"/>
    <w:rsid w:val="009601A3"/>
    <w:rsid w:val="00961561"/>
    <w:rsid w:val="009650BA"/>
    <w:rsid w:val="00966C2B"/>
    <w:rsid w:val="00967ADA"/>
    <w:rsid w:val="009706A3"/>
    <w:rsid w:val="009736D3"/>
    <w:rsid w:val="00987670"/>
    <w:rsid w:val="009A19B0"/>
    <w:rsid w:val="009A5683"/>
    <w:rsid w:val="009B1BE7"/>
    <w:rsid w:val="009B297A"/>
    <w:rsid w:val="009B5465"/>
    <w:rsid w:val="009C11AB"/>
    <w:rsid w:val="009C5E1F"/>
    <w:rsid w:val="009D58AC"/>
    <w:rsid w:val="009E35DB"/>
    <w:rsid w:val="009E7D1D"/>
    <w:rsid w:val="009F72FB"/>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60D67"/>
    <w:rsid w:val="00A626DE"/>
    <w:rsid w:val="00A6384B"/>
    <w:rsid w:val="00A70758"/>
    <w:rsid w:val="00A75B00"/>
    <w:rsid w:val="00A90C57"/>
    <w:rsid w:val="00A92DB5"/>
    <w:rsid w:val="00AA0FE8"/>
    <w:rsid w:val="00AA1614"/>
    <w:rsid w:val="00AA6DCC"/>
    <w:rsid w:val="00AA6FFC"/>
    <w:rsid w:val="00AB2D4F"/>
    <w:rsid w:val="00AB7375"/>
    <w:rsid w:val="00AC42BB"/>
    <w:rsid w:val="00AD1B9D"/>
    <w:rsid w:val="00AD1BBB"/>
    <w:rsid w:val="00AE1450"/>
    <w:rsid w:val="00AE5549"/>
    <w:rsid w:val="00AF3989"/>
    <w:rsid w:val="00AF3B55"/>
    <w:rsid w:val="00AF4465"/>
    <w:rsid w:val="00AF5711"/>
    <w:rsid w:val="00B01771"/>
    <w:rsid w:val="00B02E44"/>
    <w:rsid w:val="00B25985"/>
    <w:rsid w:val="00B27FAB"/>
    <w:rsid w:val="00B326E7"/>
    <w:rsid w:val="00B3309C"/>
    <w:rsid w:val="00B400E0"/>
    <w:rsid w:val="00B4252C"/>
    <w:rsid w:val="00B4356F"/>
    <w:rsid w:val="00B50372"/>
    <w:rsid w:val="00B50C41"/>
    <w:rsid w:val="00B6736D"/>
    <w:rsid w:val="00B6764A"/>
    <w:rsid w:val="00B71C94"/>
    <w:rsid w:val="00B9486A"/>
    <w:rsid w:val="00B95F5A"/>
    <w:rsid w:val="00BA6FB9"/>
    <w:rsid w:val="00BB0872"/>
    <w:rsid w:val="00BB2E45"/>
    <w:rsid w:val="00BB319D"/>
    <w:rsid w:val="00BC7971"/>
    <w:rsid w:val="00BD03CD"/>
    <w:rsid w:val="00BE0EA2"/>
    <w:rsid w:val="00BE15D3"/>
    <w:rsid w:val="00BF02BD"/>
    <w:rsid w:val="00BF1140"/>
    <w:rsid w:val="00C1129F"/>
    <w:rsid w:val="00C16C58"/>
    <w:rsid w:val="00C20642"/>
    <w:rsid w:val="00C423E1"/>
    <w:rsid w:val="00C42903"/>
    <w:rsid w:val="00C44095"/>
    <w:rsid w:val="00C47CF8"/>
    <w:rsid w:val="00C47E05"/>
    <w:rsid w:val="00C5372D"/>
    <w:rsid w:val="00C63582"/>
    <w:rsid w:val="00C71646"/>
    <w:rsid w:val="00C73A3D"/>
    <w:rsid w:val="00C73ABA"/>
    <w:rsid w:val="00C742A4"/>
    <w:rsid w:val="00C90851"/>
    <w:rsid w:val="00C93AAC"/>
    <w:rsid w:val="00C95349"/>
    <w:rsid w:val="00C9745E"/>
    <w:rsid w:val="00CB0150"/>
    <w:rsid w:val="00CB25AA"/>
    <w:rsid w:val="00CC0143"/>
    <w:rsid w:val="00CC0C49"/>
    <w:rsid w:val="00CC0F1F"/>
    <w:rsid w:val="00CC75A4"/>
    <w:rsid w:val="00CE00D0"/>
    <w:rsid w:val="00CE153F"/>
    <w:rsid w:val="00CE6ABC"/>
    <w:rsid w:val="00CF06D8"/>
    <w:rsid w:val="00CF64F4"/>
    <w:rsid w:val="00D047A9"/>
    <w:rsid w:val="00D04C6F"/>
    <w:rsid w:val="00D07ED2"/>
    <w:rsid w:val="00D15786"/>
    <w:rsid w:val="00D16823"/>
    <w:rsid w:val="00D2613E"/>
    <w:rsid w:val="00D3263F"/>
    <w:rsid w:val="00D33F30"/>
    <w:rsid w:val="00D348C5"/>
    <w:rsid w:val="00D34C87"/>
    <w:rsid w:val="00D36D3D"/>
    <w:rsid w:val="00D46466"/>
    <w:rsid w:val="00D52E96"/>
    <w:rsid w:val="00D72A98"/>
    <w:rsid w:val="00D80145"/>
    <w:rsid w:val="00D84C82"/>
    <w:rsid w:val="00D90BE2"/>
    <w:rsid w:val="00D929FD"/>
    <w:rsid w:val="00DA3FAA"/>
    <w:rsid w:val="00DA6ED6"/>
    <w:rsid w:val="00DB1761"/>
    <w:rsid w:val="00DB3885"/>
    <w:rsid w:val="00DC3806"/>
    <w:rsid w:val="00DC43AD"/>
    <w:rsid w:val="00DD2BF0"/>
    <w:rsid w:val="00DD2CAB"/>
    <w:rsid w:val="00DE229A"/>
    <w:rsid w:val="00DE4327"/>
    <w:rsid w:val="00DF2E83"/>
    <w:rsid w:val="00DF5219"/>
    <w:rsid w:val="00E16E23"/>
    <w:rsid w:val="00E1777D"/>
    <w:rsid w:val="00E226BF"/>
    <w:rsid w:val="00E2476B"/>
    <w:rsid w:val="00E36D0F"/>
    <w:rsid w:val="00E40CB0"/>
    <w:rsid w:val="00E579CE"/>
    <w:rsid w:val="00E60F3C"/>
    <w:rsid w:val="00E6198C"/>
    <w:rsid w:val="00E62F5B"/>
    <w:rsid w:val="00E6581F"/>
    <w:rsid w:val="00E80235"/>
    <w:rsid w:val="00E8243F"/>
    <w:rsid w:val="00E8306E"/>
    <w:rsid w:val="00E8407D"/>
    <w:rsid w:val="00E918DA"/>
    <w:rsid w:val="00EB1C4F"/>
    <w:rsid w:val="00EC01EE"/>
    <w:rsid w:val="00EC5B49"/>
    <w:rsid w:val="00EC75D9"/>
    <w:rsid w:val="00ED00CC"/>
    <w:rsid w:val="00EF7BE3"/>
    <w:rsid w:val="00F00566"/>
    <w:rsid w:val="00F01F25"/>
    <w:rsid w:val="00F14849"/>
    <w:rsid w:val="00F2781D"/>
    <w:rsid w:val="00F351B6"/>
    <w:rsid w:val="00F36F51"/>
    <w:rsid w:val="00F404C1"/>
    <w:rsid w:val="00F40DF9"/>
    <w:rsid w:val="00F42274"/>
    <w:rsid w:val="00F574E1"/>
    <w:rsid w:val="00F742FE"/>
    <w:rsid w:val="00F75DC2"/>
    <w:rsid w:val="00F80A79"/>
    <w:rsid w:val="00F85701"/>
    <w:rsid w:val="00F9743D"/>
    <w:rsid w:val="00FB4F61"/>
    <w:rsid w:val="00FD32CC"/>
    <w:rsid w:val="00FD4015"/>
    <w:rsid w:val="00FE555F"/>
    <w:rsid w:val="00FE6031"/>
    <w:rsid w:val="00FF6700"/>
    <w:rsid w:val="05C93752"/>
    <w:rsid w:val="074252D3"/>
    <w:rsid w:val="086400B9"/>
    <w:rsid w:val="08718C55"/>
    <w:rsid w:val="09FE53B5"/>
    <w:rsid w:val="0B091EAE"/>
    <w:rsid w:val="0B812883"/>
    <w:rsid w:val="0D9B69E3"/>
    <w:rsid w:val="0E29D9B2"/>
    <w:rsid w:val="17B164D7"/>
    <w:rsid w:val="1CC31E8A"/>
    <w:rsid w:val="1CD620CA"/>
    <w:rsid w:val="22B0354F"/>
    <w:rsid w:val="2627E2DB"/>
    <w:rsid w:val="27F23547"/>
    <w:rsid w:val="2ACECCDF"/>
    <w:rsid w:val="2B8274A1"/>
    <w:rsid w:val="2E0B004F"/>
    <w:rsid w:val="311F4E8D"/>
    <w:rsid w:val="35C532CB"/>
    <w:rsid w:val="3E2501E6"/>
    <w:rsid w:val="3F08ED9B"/>
    <w:rsid w:val="3F753A78"/>
    <w:rsid w:val="4086B8DF"/>
    <w:rsid w:val="41303715"/>
    <w:rsid w:val="430E81DD"/>
    <w:rsid w:val="44363FA0"/>
    <w:rsid w:val="44B87D98"/>
    <w:rsid w:val="47C216CD"/>
    <w:rsid w:val="485C11D0"/>
    <w:rsid w:val="49BDAAC9"/>
    <w:rsid w:val="4BF2E9CB"/>
    <w:rsid w:val="4D6F0F74"/>
    <w:rsid w:val="52783A29"/>
    <w:rsid w:val="52A7E539"/>
    <w:rsid w:val="5725B26B"/>
    <w:rsid w:val="5746E498"/>
    <w:rsid w:val="5F61251E"/>
    <w:rsid w:val="6413588F"/>
    <w:rsid w:val="6578BA66"/>
    <w:rsid w:val="657C87DD"/>
    <w:rsid w:val="66A1B6C8"/>
    <w:rsid w:val="68BDA900"/>
    <w:rsid w:val="6B358482"/>
    <w:rsid w:val="7188A122"/>
    <w:rsid w:val="73507C5A"/>
    <w:rsid w:val="73847169"/>
    <w:rsid w:val="7534F5C4"/>
    <w:rsid w:val="7538429B"/>
    <w:rsid w:val="758A642C"/>
    <w:rsid w:val="795F53FF"/>
    <w:rsid w:val="7A37573A"/>
    <w:rsid w:val="7A9FAB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styleId="HeaderChar" w:customStyle="1">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styleId="FooterChar" w:customStyle="1">
    <w:name w:val="Footer Char"/>
    <w:basedOn w:val="DefaultParagraphFont"/>
    <w:link w:val="Footer"/>
    <w:uiPriority w:val="99"/>
    <w:rsid w:val="00185ABD"/>
  </w:style>
  <w:style w:type="paragraph" w:styleId="Default" w:customStyle="1">
    <w:name w:val="Default"/>
    <w:rsid w:val="000A6DD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E0EA2"/>
    <w:rPr>
      <w:sz w:val="16"/>
      <w:szCs w:val="16"/>
    </w:rPr>
  </w:style>
  <w:style w:type="paragraph" w:styleId="CommentText">
    <w:name w:val="annotation text"/>
    <w:basedOn w:val="Normal"/>
    <w:link w:val="CommentTextChar"/>
    <w:uiPriority w:val="99"/>
    <w:unhideWhenUsed/>
    <w:rsid w:val="00BE0EA2"/>
    <w:pPr>
      <w:spacing w:line="240" w:lineRule="auto"/>
    </w:pPr>
    <w:rPr>
      <w:sz w:val="20"/>
      <w:szCs w:val="20"/>
    </w:rPr>
  </w:style>
  <w:style w:type="character" w:styleId="CommentTextChar" w:customStyle="1">
    <w:name w:val="Comment Text Char"/>
    <w:basedOn w:val="DefaultParagraphFont"/>
    <w:link w:val="CommentText"/>
    <w:uiPriority w:val="99"/>
    <w:rsid w:val="00BE0EA2"/>
    <w:rPr>
      <w:sz w:val="20"/>
      <w:szCs w:val="20"/>
    </w:rPr>
  </w:style>
  <w:style w:type="paragraph" w:styleId="CommentSubject">
    <w:name w:val="annotation subject"/>
    <w:basedOn w:val="CommentText"/>
    <w:next w:val="CommentText"/>
    <w:link w:val="CommentSubjectChar"/>
    <w:uiPriority w:val="99"/>
    <w:semiHidden/>
    <w:unhideWhenUsed/>
    <w:rsid w:val="00BE0EA2"/>
    <w:rPr>
      <w:b/>
      <w:bCs/>
    </w:rPr>
  </w:style>
  <w:style w:type="character" w:styleId="CommentSubjectChar" w:customStyle="1">
    <w:name w:val="Comment Subject Char"/>
    <w:basedOn w:val="CommentTextChar"/>
    <w:link w:val="CommentSubject"/>
    <w:uiPriority w:val="99"/>
    <w:semiHidden/>
    <w:rsid w:val="00BE0EA2"/>
    <w:rPr>
      <w:b/>
      <w:bCs/>
      <w:sz w:val="20"/>
      <w:szCs w:val="20"/>
    </w:rPr>
  </w:style>
  <w:style w:type="paragraph" w:styleId="Revision">
    <w:name w:val="Revision"/>
    <w:hidden/>
    <w:uiPriority w:val="99"/>
    <w:semiHidden/>
    <w:rsid w:val="00F57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p.europa.eu/en/publication-detail/-/publication/120c6fcc-3841-4596-9256-4fd709c49ae4" TargetMode="External" Id="rId13" /><Relationship Type="http://schemas.openxmlformats.org/officeDocument/2006/relationships/hyperlink" Target="https://www.fm.gov.lv/lv/makroekonomiskie-pienemumi-un-prognozes"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image" Target="media/image3.png" Id="rId21" /><Relationship Type="http://schemas.openxmlformats.org/officeDocument/2006/relationships/settings" Target="settings.xml" Id="rId7" /><Relationship Type="http://schemas.openxmlformats.org/officeDocument/2006/relationships/hyperlink" Target="https://likumi.lv/ta/id/355002" TargetMode="External" Id="rId12" /><Relationship Type="http://schemas.openxmlformats.org/officeDocument/2006/relationships/hyperlink" Target="https://www.sciencedirect.com/science/article/pii/S0301479722022411"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media/image2.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 TargetMode="External" Id="rId11"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image" Target="media/image5.png" Id="rId23" /><Relationship Type="http://schemas.openxmlformats.org/officeDocument/2006/relationships/endnotes" Target="endnotes.xml" Id="rId10" /><Relationship Type="http://schemas.openxmlformats.org/officeDocument/2006/relationships/hyperlink" Target="https://www.fm.gov.lv/lv/makroekonomiskie-pienemumi-un-prognoz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image" Target="media/image4.png" Id="rId22" /><Relationship Type="http://schemas.openxmlformats.org/officeDocument/2006/relationships/theme" Target="theme/theme1.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FB8706C-77D7-4CEA-A504-24A286127A9F}"/>
</file>

<file path=customXml/itemProps2.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7</cp:revision>
  <dcterms:created xsi:type="dcterms:W3CDTF">2024-10-10T07:01:00Z</dcterms:created>
  <dcterms:modified xsi:type="dcterms:W3CDTF">2024-10-11T05:41:20Z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