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40E2" w14:textId="4AE32488" w:rsidR="00C168B2" w:rsidRPr="00E07CBD" w:rsidRDefault="00C168B2" w:rsidP="00C168B2">
      <w:pPr>
        <w:jc w:val="center"/>
        <w:rPr>
          <w:rFonts w:ascii="Times New Roman" w:hAnsi="Times New Roman" w:cs="Times New Roman"/>
          <w:b/>
          <w:bCs/>
          <w:sz w:val="28"/>
          <w:szCs w:val="28"/>
        </w:rPr>
      </w:pPr>
      <w:r w:rsidRPr="00E07CBD">
        <w:rPr>
          <w:rFonts w:ascii="Times New Roman" w:hAnsi="Times New Roman" w:cs="Times New Roman"/>
          <w:b/>
          <w:bCs/>
          <w:sz w:val="28"/>
          <w:szCs w:val="28"/>
        </w:rPr>
        <w:t>Atbildes uz jautājumiem par 4.3.6.4. pasākumu</w:t>
      </w:r>
    </w:p>
    <w:p w14:paraId="3BFCEFA0" w14:textId="4DF51B5B" w:rsidR="007D376A" w:rsidRPr="00E07CBD" w:rsidRDefault="00C168B2" w:rsidP="00C168B2">
      <w:pPr>
        <w:jc w:val="center"/>
        <w:rPr>
          <w:rFonts w:ascii="Times New Roman" w:hAnsi="Times New Roman" w:cs="Times New Roman"/>
          <w:b/>
          <w:bCs/>
          <w:sz w:val="28"/>
          <w:szCs w:val="28"/>
        </w:rPr>
      </w:pPr>
      <w:r w:rsidRPr="00E07CBD">
        <w:rPr>
          <w:rFonts w:ascii="Times New Roman" w:hAnsi="Times New Roman" w:cs="Times New Roman"/>
          <w:b/>
          <w:bCs/>
          <w:sz w:val="28"/>
          <w:szCs w:val="28"/>
        </w:rPr>
        <w:t xml:space="preserve"> </w:t>
      </w:r>
      <w:r w:rsidRPr="00E07CBD">
        <w:rPr>
          <w:rFonts w:ascii="Times New Roman" w:hAnsi="Times New Roman" w:cs="Times New Roman"/>
          <w:b/>
          <w:bCs/>
          <w:sz w:val="28"/>
          <w:szCs w:val="28"/>
          <w:lang w:val="en-US"/>
        </w:rPr>
        <w:t>“</w:t>
      </w:r>
      <w:proofErr w:type="spellStart"/>
      <w:r w:rsidRPr="00E07CBD">
        <w:rPr>
          <w:rFonts w:ascii="Times New Roman" w:hAnsi="Times New Roman" w:cs="Times New Roman"/>
          <w:b/>
          <w:bCs/>
          <w:sz w:val="28"/>
          <w:szCs w:val="28"/>
          <w:lang w:val="en-US"/>
        </w:rPr>
        <w:t>Atbalsta</w:t>
      </w:r>
      <w:proofErr w:type="spellEnd"/>
      <w:r w:rsidRPr="00E07CBD">
        <w:rPr>
          <w:rFonts w:ascii="Times New Roman" w:hAnsi="Times New Roman" w:cs="Times New Roman"/>
          <w:b/>
          <w:bCs/>
          <w:sz w:val="28"/>
          <w:szCs w:val="28"/>
          <w:lang w:val="en-US"/>
        </w:rPr>
        <w:t xml:space="preserve"> </w:t>
      </w:r>
      <w:proofErr w:type="spellStart"/>
      <w:r w:rsidRPr="00E07CBD">
        <w:rPr>
          <w:rFonts w:ascii="Times New Roman" w:hAnsi="Times New Roman" w:cs="Times New Roman"/>
          <w:b/>
          <w:bCs/>
          <w:sz w:val="28"/>
          <w:szCs w:val="28"/>
          <w:lang w:val="en-US"/>
        </w:rPr>
        <w:t>instrumentu</w:t>
      </w:r>
      <w:proofErr w:type="spellEnd"/>
      <w:r w:rsidRPr="00E07CBD">
        <w:rPr>
          <w:rFonts w:ascii="Times New Roman" w:hAnsi="Times New Roman" w:cs="Times New Roman"/>
          <w:b/>
          <w:bCs/>
          <w:sz w:val="28"/>
          <w:szCs w:val="28"/>
          <w:lang w:val="en-US"/>
        </w:rPr>
        <w:t xml:space="preserve"> </w:t>
      </w:r>
      <w:proofErr w:type="spellStart"/>
      <w:r w:rsidRPr="00E07CBD">
        <w:rPr>
          <w:rFonts w:ascii="Times New Roman" w:hAnsi="Times New Roman" w:cs="Times New Roman"/>
          <w:b/>
          <w:bCs/>
          <w:sz w:val="28"/>
          <w:szCs w:val="28"/>
          <w:lang w:val="en-US"/>
        </w:rPr>
        <w:t>izstrāde</w:t>
      </w:r>
      <w:proofErr w:type="spellEnd"/>
      <w:r w:rsidRPr="00E07CBD">
        <w:rPr>
          <w:rFonts w:ascii="Times New Roman" w:hAnsi="Times New Roman" w:cs="Times New Roman"/>
          <w:b/>
          <w:bCs/>
          <w:sz w:val="28"/>
          <w:szCs w:val="28"/>
          <w:lang w:val="en-US"/>
        </w:rPr>
        <w:t xml:space="preserve"> un </w:t>
      </w:r>
      <w:proofErr w:type="spellStart"/>
      <w:r w:rsidRPr="00E07CBD">
        <w:rPr>
          <w:rFonts w:ascii="Times New Roman" w:hAnsi="Times New Roman" w:cs="Times New Roman"/>
          <w:b/>
          <w:bCs/>
          <w:sz w:val="28"/>
          <w:szCs w:val="28"/>
          <w:lang w:val="en-US"/>
        </w:rPr>
        <w:t>ieviešana</w:t>
      </w:r>
      <w:proofErr w:type="spellEnd"/>
      <w:r w:rsidRPr="00E07CBD">
        <w:rPr>
          <w:rFonts w:ascii="Times New Roman" w:hAnsi="Times New Roman" w:cs="Times New Roman"/>
          <w:b/>
          <w:bCs/>
          <w:sz w:val="28"/>
          <w:szCs w:val="28"/>
          <w:lang w:val="en-US"/>
        </w:rPr>
        <w:t xml:space="preserve"> </w:t>
      </w:r>
      <w:proofErr w:type="spellStart"/>
      <w:r w:rsidRPr="00E07CBD">
        <w:rPr>
          <w:rFonts w:ascii="Times New Roman" w:hAnsi="Times New Roman" w:cs="Times New Roman"/>
          <w:b/>
          <w:bCs/>
          <w:sz w:val="28"/>
          <w:szCs w:val="28"/>
          <w:lang w:val="en-US"/>
        </w:rPr>
        <w:t>ģimenes</w:t>
      </w:r>
      <w:proofErr w:type="spellEnd"/>
      <w:r w:rsidRPr="00E07CBD">
        <w:rPr>
          <w:rFonts w:ascii="Times New Roman" w:hAnsi="Times New Roman" w:cs="Times New Roman"/>
          <w:b/>
          <w:bCs/>
          <w:sz w:val="28"/>
          <w:szCs w:val="28"/>
          <w:lang w:val="en-US"/>
        </w:rPr>
        <w:t xml:space="preserve"> </w:t>
      </w:r>
      <w:proofErr w:type="spellStart"/>
      <w:r w:rsidRPr="00E07CBD">
        <w:rPr>
          <w:rFonts w:ascii="Times New Roman" w:hAnsi="Times New Roman" w:cs="Times New Roman"/>
          <w:b/>
          <w:bCs/>
          <w:sz w:val="28"/>
          <w:szCs w:val="28"/>
          <w:lang w:val="en-US"/>
        </w:rPr>
        <w:t>funkcionalitātes</w:t>
      </w:r>
      <w:proofErr w:type="spellEnd"/>
      <w:r w:rsidRPr="00E07CBD">
        <w:rPr>
          <w:rFonts w:ascii="Times New Roman" w:hAnsi="Times New Roman" w:cs="Times New Roman"/>
          <w:b/>
          <w:bCs/>
          <w:sz w:val="28"/>
          <w:szCs w:val="28"/>
          <w:lang w:val="en-US"/>
        </w:rPr>
        <w:t xml:space="preserve"> </w:t>
      </w:r>
      <w:proofErr w:type="spellStart"/>
      <w:r w:rsidRPr="00E07CBD">
        <w:rPr>
          <w:rFonts w:ascii="Times New Roman" w:hAnsi="Times New Roman" w:cs="Times New Roman"/>
          <w:b/>
          <w:bCs/>
          <w:sz w:val="28"/>
          <w:szCs w:val="28"/>
          <w:lang w:val="en-US"/>
        </w:rPr>
        <w:t>stiprināšanai</w:t>
      </w:r>
      <w:proofErr w:type="spellEnd"/>
      <w:r w:rsidRPr="00E07CBD">
        <w:rPr>
          <w:rFonts w:ascii="Times New Roman" w:hAnsi="Times New Roman" w:cs="Times New Roman"/>
          <w:b/>
          <w:bCs/>
          <w:sz w:val="28"/>
          <w:szCs w:val="28"/>
          <w:lang w:val="en-US"/>
        </w:rPr>
        <w:t>”</w:t>
      </w:r>
      <w:r w:rsidRPr="00E07CBD">
        <w:rPr>
          <w:rFonts w:ascii="Times New Roman" w:hAnsi="Times New Roman" w:cs="Times New Roman"/>
          <w:b/>
          <w:bCs/>
          <w:sz w:val="28"/>
          <w:szCs w:val="28"/>
        </w:rPr>
        <w:t xml:space="preserve"> (</w:t>
      </w:r>
      <w:proofErr w:type="gramStart"/>
      <w:r w:rsidRPr="00E07CBD">
        <w:rPr>
          <w:rFonts w:ascii="Times New Roman" w:hAnsi="Times New Roman" w:cs="Times New Roman"/>
          <w:b/>
          <w:bCs/>
          <w:sz w:val="28"/>
          <w:szCs w:val="28"/>
        </w:rPr>
        <w:t>2.kārta</w:t>
      </w:r>
      <w:proofErr w:type="gramEnd"/>
      <w:r w:rsidRPr="00E07CBD">
        <w:rPr>
          <w:rFonts w:ascii="Times New Roman" w:hAnsi="Times New Roman" w:cs="Times New Roman"/>
          <w:b/>
          <w:bCs/>
          <w:sz w:val="28"/>
          <w:szCs w:val="28"/>
        </w:rPr>
        <w:t>)</w:t>
      </w:r>
    </w:p>
    <w:tbl>
      <w:tblPr>
        <w:tblStyle w:val="TableGrid"/>
        <w:tblW w:w="13036" w:type="dxa"/>
        <w:tblLook w:val="04A0" w:firstRow="1" w:lastRow="0" w:firstColumn="1" w:lastColumn="0" w:noHBand="0" w:noVBand="1"/>
      </w:tblPr>
      <w:tblGrid>
        <w:gridCol w:w="5807"/>
        <w:gridCol w:w="7229"/>
      </w:tblGrid>
      <w:tr w:rsidR="007D376A" w:rsidRPr="00E07CBD" w14:paraId="4175E5D4" w14:textId="77777777" w:rsidTr="00C168B2">
        <w:tc>
          <w:tcPr>
            <w:tcW w:w="5807" w:type="dxa"/>
          </w:tcPr>
          <w:p w14:paraId="4BFDBEA3" w14:textId="1B2C425F" w:rsidR="007D376A" w:rsidRPr="00E07CBD" w:rsidRDefault="00BC65EA" w:rsidP="00E07CBD">
            <w:pPr>
              <w:jc w:val="center"/>
              <w:rPr>
                <w:rFonts w:ascii="Times New Roman" w:hAnsi="Times New Roman" w:cs="Times New Roman"/>
                <w:b/>
                <w:bCs/>
                <w:sz w:val="24"/>
                <w:szCs w:val="24"/>
              </w:rPr>
            </w:pPr>
            <w:r w:rsidRPr="00E07CBD">
              <w:rPr>
                <w:rFonts w:ascii="Times New Roman" w:hAnsi="Times New Roman" w:cs="Times New Roman"/>
                <w:b/>
                <w:bCs/>
                <w:sz w:val="24"/>
                <w:szCs w:val="24"/>
              </w:rPr>
              <w:t>Jautājums</w:t>
            </w:r>
          </w:p>
        </w:tc>
        <w:tc>
          <w:tcPr>
            <w:tcW w:w="7229" w:type="dxa"/>
          </w:tcPr>
          <w:p w14:paraId="60874BDA" w14:textId="30B4D35E" w:rsidR="007D376A" w:rsidRPr="00E07CBD" w:rsidRDefault="00BC65EA" w:rsidP="00E07CBD">
            <w:pPr>
              <w:jc w:val="center"/>
              <w:rPr>
                <w:rFonts w:ascii="Times New Roman" w:hAnsi="Times New Roman" w:cs="Times New Roman"/>
                <w:b/>
                <w:bCs/>
                <w:sz w:val="24"/>
                <w:szCs w:val="24"/>
              </w:rPr>
            </w:pPr>
            <w:r w:rsidRPr="00E07CBD">
              <w:rPr>
                <w:rFonts w:ascii="Times New Roman" w:hAnsi="Times New Roman" w:cs="Times New Roman"/>
                <w:b/>
                <w:bCs/>
                <w:sz w:val="24"/>
                <w:szCs w:val="24"/>
              </w:rPr>
              <w:t>Atbilde</w:t>
            </w:r>
          </w:p>
        </w:tc>
      </w:tr>
      <w:tr w:rsidR="007D376A" w:rsidRPr="00C168B2" w14:paraId="6D7D6339" w14:textId="77777777" w:rsidTr="00C168B2">
        <w:tc>
          <w:tcPr>
            <w:tcW w:w="5807" w:type="dxa"/>
          </w:tcPr>
          <w:p w14:paraId="4723093E" w14:textId="77777777" w:rsidR="00BC65EA" w:rsidRPr="00C168B2" w:rsidRDefault="00BC65EA" w:rsidP="00BC65EA">
            <w:pPr>
              <w:jc w:val="both"/>
              <w:rPr>
                <w:rFonts w:ascii="Times New Roman" w:hAnsi="Times New Roman" w:cs="Times New Roman"/>
                <w:sz w:val="24"/>
                <w:szCs w:val="24"/>
              </w:rPr>
            </w:pPr>
            <w:r w:rsidRPr="00C168B2">
              <w:rPr>
                <w:rFonts w:ascii="Times New Roman" w:hAnsi="Times New Roman" w:cs="Times New Roman"/>
                <w:sz w:val="24"/>
                <w:szCs w:val="24"/>
              </w:rPr>
              <w:t>Maksimālais attiecināmais ESF plus finansējuma apmērs nepārsniedz 85 % no projekta kopējā attiecināmā finansējuma, bet valsts budžeta līdzfinansējums nav mazāks par 15 % no projekta kopējā attiecināmā finansējuma.</w:t>
            </w:r>
          </w:p>
          <w:p w14:paraId="26267D5F" w14:textId="11B12FA7" w:rsidR="00BC65EA" w:rsidRPr="00C168B2" w:rsidRDefault="00BC65EA" w:rsidP="00BC65EA">
            <w:pPr>
              <w:jc w:val="both"/>
              <w:rPr>
                <w:rFonts w:ascii="Times New Roman" w:hAnsi="Times New Roman" w:cs="Times New Roman"/>
                <w:sz w:val="24"/>
                <w:szCs w:val="24"/>
              </w:rPr>
            </w:pPr>
            <w:r w:rsidRPr="00C168B2">
              <w:rPr>
                <w:rFonts w:ascii="Times New Roman" w:hAnsi="Times New Roman" w:cs="Times New Roman"/>
                <w:sz w:val="24"/>
                <w:szCs w:val="24"/>
              </w:rPr>
              <w:t>Vai tas nozīmē, ka jābūt 15% jau uz projekta iesniegšanu garantētam no valsts budžeta vai arī valsts , ja projekts tiks apstiprināts, dos 15 % budžetu klāt.</w:t>
            </w:r>
          </w:p>
          <w:p w14:paraId="62FEC49D" w14:textId="77777777" w:rsidR="007D376A" w:rsidRPr="00C168B2" w:rsidRDefault="007D376A" w:rsidP="00BC65EA">
            <w:pPr>
              <w:jc w:val="both"/>
              <w:rPr>
                <w:rFonts w:ascii="Times New Roman" w:hAnsi="Times New Roman" w:cs="Times New Roman"/>
                <w:sz w:val="24"/>
                <w:szCs w:val="24"/>
              </w:rPr>
            </w:pPr>
          </w:p>
        </w:tc>
        <w:tc>
          <w:tcPr>
            <w:tcW w:w="7229" w:type="dxa"/>
          </w:tcPr>
          <w:p w14:paraId="62C9A9A1" w14:textId="0B8256EF" w:rsidR="007D376A" w:rsidRPr="00C168B2" w:rsidRDefault="00BC65EA" w:rsidP="00BC65EA">
            <w:pPr>
              <w:jc w:val="both"/>
              <w:rPr>
                <w:rFonts w:ascii="Times New Roman" w:hAnsi="Times New Roman" w:cs="Times New Roman"/>
                <w:sz w:val="24"/>
                <w:szCs w:val="24"/>
              </w:rPr>
            </w:pPr>
            <w:r w:rsidRPr="00C168B2">
              <w:rPr>
                <w:rFonts w:ascii="Times New Roman" w:hAnsi="Times New Roman" w:cs="Times New Roman"/>
                <w:sz w:val="24"/>
                <w:szCs w:val="24"/>
              </w:rPr>
              <w:t>Valsts budžets ir viens no finansējuma avotiem, un gadījumā, ja projekts tiks apstiprināts, valsts budžets nodrošinās 15% no projekta kopējā attiecināmā finansējuma. Tas nozīmē, ka 15% līdzfinansējums no valsts budžeta nav jābūt garantētam projekta iesniegšanas brīdī, bet tiks piešķirts pēc projekta apstiprināšanas.</w:t>
            </w:r>
          </w:p>
        </w:tc>
      </w:tr>
      <w:tr w:rsidR="007D376A" w:rsidRPr="00C168B2" w14:paraId="19DBC29B" w14:textId="77777777" w:rsidTr="00C168B2">
        <w:tc>
          <w:tcPr>
            <w:tcW w:w="5807" w:type="dxa"/>
          </w:tcPr>
          <w:p w14:paraId="7E546476" w14:textId="7D3E8B12" w:rsidR="007D376A" w:rsidRPr="00C168B2" w:rsidRDefault="00172F8D" w:rsidP="00D55A7E">
            <w:pPr>
              <w:jc w:val="both"/>
              <w:rPr>
                <w:rFonts w:ascii="Times New Roman" w:hAnsi="Times New Roman" w:cs="Times New Roman"/>
                <w:sz w:val="24"/>
                <w:szCs w:val="24"/>
              </w:rPr>
            </w:pPr>
            <w:r w:rsidRPr="00C168B2">
              <w:rPr>
                <w:rStyle w:val="ui-provider"/>
                <w:rFonts w:ascii="Times New Roman" w:hAnsi="Times New Roman" w:cs="Times New Roman"/>
                <w:sz w:val="24"/>
                <w:szCs w:val="24"/>
              </w:rPr>
              <w:t xml:space="preserve">Sakiet, ja ir atbalstāma telpu noma, vai ir atbalstāma arī mobilo kabinetu noma izbraukumu nodrošināšanai? Piemēram, izbraukuma </w:t>
            </w:r>
            <w:proofErr w:type="spellStart"/>
            <w:r w:rsidRPr="00C168B2">
              <w:rPr>
                <w:rStyle w:val="ui-provider"/>
                <w:rFonts w:ascii="Times New Roman" w:hAnsi="Times New Roman" w:cs="Times New Roman"/>
                <w:sz w:val="24"/>
                <w:szCs w:val="24"/>
              </w:rPr>
              <w:t>kemperi</w:t>
            </w:r>
            <w:proofErr w:type="spellEnd"/>
            <w:r w:rsidRPr="00C168B2">
              <w:rPr>
                <w:rStyle w:val="ui-provider"/>
                <w:rFonts w:ascii="Times New Roman" w:hAnsi="Times New Roman" w:cs="Times New Roman"/>
                <w:sz w:val="24"/>
                <w:szCs w:val="24"/>
              </w:rPr>
              <w:t xml:space="preserve"> / treileri / </w:t>
            </w:r>
            <w:proofErr w:type="spellStart"/>
            <w:r w:rsidRPr="00C168B2">
              <w:rPr>
                <w:rStyle w:val="ui-provider"/>
                <w:rFonts w:ascii="Times New Roman" w:hAnsi="Times New Roman" w:cs="Times New Roman"/>
                <w:sz w:val="24"/>
                <w:szCs w:val="24"/>
              </w:rPr>
              <w:t>parvietojamās</w:t>
            </w:r>
            <w:proofErr w:type="spellEnd"/>
            <w:r w:rsidRPr="00C168B2">
              <w:rPr>
                <w:rStyle w:val="ui-provider"/>
                <w:rFonts w:ascii="Times New Roman" w:hAnsi="Times New Roman" w:cs="Times New Roman"/>
                <w:sz w:val="24"/>
                <w:szCs w:val="24"/>
              </w:rPr>
              <w:t xml:space="preserve"> </w:t>
            </w:r>
            <w:proofErr w:type="spellStart"/>
            <w:r w:rsidRPr="00C168B2">
              <w:rPr>
                <w:rStyle w:val="ui-provider"/>
                <w:rFonts w:ascii="Times New Roman" w:hAnsi="Times New Roman" w:cs="Times New Roman"/>
                <w:sz w:val="24"/>
                <w:szCs w:val="24"/>
              </w:rPr>
              <w:t>moduļēkas</w:t>
            </w:r>
            <w:proofErr w:type="spellEnd"/>
            <w:r w:rsidRPr="00C168B2">
              <w:rPr>
                <w:rStyle w:val="ui-provider"/>
                <w:rFonts w:ascii="Times New Roman" w:hAnsi="Times New Roman" w:cs="Times New Roman"/>
                <w:sz w:val="24"/>
                <w:szCs w:val="24"/>
              </w:rPr>
              <w:t xml:space="preserve"> </w:t>
            </w:r>
            <w:proofErr w:type="spellStart"/>
            <w:r w:rsidRPr="00C168B2">
              <w:rPr>
                <w:rStyle w:val="ui-provider"/>
                <w:rFonts w:ascii="Times New Roman" w:hAnsi="Times New Roman" w:cs="Times New Roman"/>
                <w:sz w:val="24"/>
                <w:szCs w:val="24"/>
              </w:rPr>
              <w:t>uc</w:t>
            </w:r>
            <w:proofErr w:type="spellEnd"/>
            <w:r w:rsidRPr="00C168B2">
              <w:rPr>
                <w:rStyle w:val="ui-provider"/>
                <w:rFonts w:ascii="Times New Roman" w:hAnsi="Times New Roman" w:cs="Times New Roman"/>
                <w:sz w:val="24"/>
                <w:szCs w:val="24"/>
              </w:rPr>
              <w:t>? </w:t>
            </w:r>
          </w:p>
        </w:tc>
        <w:tc>
          <w:tcPr>
            <w:tcW w:w="7229" w:type="dxa"/>
          </w:tcPr>
          <w:p w14:paraId="36C6215F" w14:textId="65250066" w:rsidR="007D376A" w:rsidRPr="00C168B2" w:rsidRDefault="00185244" w:rsidP="00D55A7E">
            <w:pPr>
              <w:jc w:val="both"/>
              <w:rPr>
                <w:rFonts w:ascii="Times New Roman" w:hAnsi="Times New Roman" w:cs="Times New Roman"/>
                <w:sz w:val="24"/>
                <w:szCs w:val="24"/>
              </w:rPr>
            </w:pPr>
            <w:r w:rsidRPr="00C168B2">
              <w:rPr>
                <w:rFonts w:ascii="Times New Roman" w:hAnsi="Times New Roman" w:cs="Times New Roman"/>
                <w:sz w:val="24"/>
                <w:szCs w:val="24"/>
              </w:rPr>
              <w:t xml:space="preserve">Jā, ja mobilie kabineti, piemēram, izbraukuma </w:t>
            </w:r>
            <w:proofErr w:type="spellStart"/>
            <w:r w:rsidRPr="00C168B2">
              <w:rPr>
                <w:rFonts w:ascii="Times New Roman" w:hAnsi="Times New Roman" w:cs="Times New Roman"/>
                <w:sz w:val="24"/>
                <w:szCs w:val="24"/>
              </w:rPr>
              <w:t>kemperi</w:t>
            </w:r>
            <w:proofErr w:type="spellEnd"/>
            <w:r w:rsidRPr="00C168B2">
              <w:rPr>
                <w:rFonts w:ascii="Times New Roman" w:hAnsi="Times New Roman" w:cs="Times New Roman"/>
                <w:sz w:val="24"/>
                <w:szCs w:val="24"/>
              </w:rPr>
              <w:t xml:space="preserve">, treileri vai pārvietojamās </w:t>
            </w:r>
            <w:proofErr w:type="spellStart"/>
            <w:r w:rsidRPr="00C168B2">
              <w:rPr>
                <w:rFonts w:ascii="Times New Roman" w:hAnsi="Times New Roman" w:cs="Times New Roman"/>
                <w:sz w:val="24"/>
                <w:szCs w:val="24"/>
              </w:rPr>
              <w:t>moduļēkas</w:t>
            </w:r>
            <w:proofErr w:type="spellEnd"/>
            <w:r w:rsidRPr="00C168B2">
              <w:rPr>
                <w:rFonts w:ascii="Times New Roman" w:hAnsi="Times New Roman" w:cs="Times New Roman"/>
                <w:sz w:val="24"/>
                <w:szCs w:val="24"/>
              </w:rPr>
              <w:t xml:space="preserve">, ir iekļauti pakalpojuma aprakstā un sniegts atbilstošs pamatojums, ka tie ir nepieciešami pakalpojumu nodrošināšanai, tad šādas nomas izmaksas </w:t>
            </w:r>
            <w:r w:rsidR="00D907D0" w:rsidRPr="00C168B2">
              <w:rPr>
                <w:rFonts w:ascii="Times New Roman" w:hAnsi="Times New Roman" w:cs="Times New Roman"/>
                <w:sz w:val="24"/>
                <w:szCs w:val="24"/>
              </w:rPr>
              <w:t xml:space="preserve">ir </w:t>
            </w:r>
            <w:r w:rsidRPr="00C168B2">
              <w:rPr>
                <w:rFonts w:ascii="Times New Roman" w:hAnsi="Times New Roman" w:cs="Times New Roman"/>
                <w:sz w:val="24"/>
                <w:szCs w:val="24"/>
              </w:rPr>
              <w:t xml:space="preserve"> atbalstāmas. Galvenais ir pamatot šo izmaksu nepieciešamību, lai nodrošinātu projekta mērķu sasniegšanu un atbilstību projekta darbības specifikai.</w:t>
            </w:r>
          </w:p>
          <w:p w14:paraId="069EEC4C" w14:textId="67E330AC" w:rsidR="007D376A" w:rsidRPr="00C168B2" w:rsidRDefault="007D376A" w:rsidP="00D55A7E">
            <w:pPr>
              <w:jc w:val="both"/>
              <w:rPr>
                <w:rFonts w:ascii="Times New Roman" w:hAnsi="Times New Roman" w:cs="Times New Roman"/>
                <w:sz w:val="24"/>
                <w:szCs w:val="24"/>
              </w:rPr>
            </w:pPr>
          </w:p>
        </w:tc>
      </w:tr>
      <w:tr w:rsidR="007D376A" w:rsidRPr="00C168B2" w14:paraId="41EE9E6C" w14:textId="77777777" w:rsidTr="00C168B2">
        <w:tc>
          <w:tcPr>
            <w:tcW w:w="5807" w:type="dxa"/>
          </w:tcPr>
          <w:p w14:paraId="1EC5611E" w14:textId="4698725B" w:rsidR="007D376A" w:rsidRPr="00C168B2" w:rsidRDefault="3456C079">
            <w:pPr>
              <w:rPr>
                <w:rFonts w:ascii="Times New Roman" w:hAnsi="Times New Roman" w:cs="Times New Roman"/>
                <w:sz w:val="24"/>
                <w:szCs w:val="24"/>
              </w:rPr>
            </w:pPr>
            <w:r w:rsidRPr="00C168B2">
              <w:rPr>
                <w:rFonts w:ascii="Times New Roman" w:eastAsia="Aptos" w:hAnsi="Times New Roman" w:cs="Times New Roman"/>
                <w:sz w:val="24"/>
                <w:szCs w:val="24"/>
              </w:rPr>
              <w:t>Vai sievietes, kuras ir pakļautas vardarbībai ģimenē, tiktu vērtētas kā atbalstāma mērķa grupa šim projektam?</w:t>
            </w:r>
          </w:p>
        </w:tc>
        <w:tc>
          <w:tcPr>
            <w:tcW w:w="7229" w:type="dxa"/>
          </w:tcPr>
          <w:p w14:paraId="62C50C39" w14:textId="77777777" w:rsidR="007D376A" w:rsidRPr="00C168B2" w:rsidRDefault="00661CFF" w:rsidP="000E461A">
            <w:pPr>
              <w:jc w:val="both"/>
              <w:rPr>
                <w:rFonts w:ascii="Times New Roman" w:hAnsi="Times New Roman" w:cs="Times New Roman"/>
                <w:sz w:val="24"/>
                <w:szCs w:val="24"/>
              </w:rPr>
            </w:pPr>
            <w:r w:rsidRPr="00C168B2">
              <w:rPr>
                <w:rFonts w:ascii="Times New Roman" w:hAnsi="Times New Roman" w:cs="Times New Roman"/>
                <w:sz w:val="24"/>
                <w:szCs w:val="24"/>
              </w:rPr>
              <w:t>Lūdzam skatīt pielikumu</w:t>
            </w:r>
            <w:r w:rsidR="00B76BB4" w:rsidRPr="00C168B2">
              <w:rPr>
                <w:rFonts w:ascii="Times New Roman" w:hAnsi="Times New Roman" w:cs="Times New Roman"/>
                <w:sz w:val="24"/>
                <w:szCs w:val="24"/>
              </w:rPr>
              <w:t xml:space="preserve"> “</w:t>
            </w:r>
            <w:r w:rsidR="00185100" w:rsidRPr="00C168B2">
              <w:rPr>
                <w:rFonts w:ascii="Times New Roman" w:hAnsi="Times New Roman" w:cs="Times New Roman"/>
                <w:sz w:val="24"/>
                <w:szCs w:val="24"/>
              </w:rPr>
              <w:t>Skaidrojums par atbilstību mērķa grupai</w:t>
            </w:r>
            <w:r w:rsidR="00B76BB4" w:rsidRPr="00C168B2">
              <w:rPr>
                <w:rFonts w:ascii="Times New Roman" w:hAnsi="Times New Roman" w:cs="Times New Roman"/>
                <w:sz w:val="24"/>
                <w:szCs w:val="24"/>
              </w:rPr>
              <w:t>”</w:t>
            </w:r>
          </w:p>
          <w:p w14:paraId="152B8734" w14:textId="370CEEA5" w:rsidR="00185100" w:rsidRPr="00C168B2" w:rsidRDefault="00185100" w:rsidP="000E461A">
            <w:pPr>
              <w:jc w:val="both"/>
              <w:rPr>
                <w:rFonts w:ascii="Times New Roman" w:hAnsi="Times New Roman" w:cs="Times New Roman"/>
                <w:sz w:val="24"/>
                <w:szCs w:val="24"/>
              </w:rPr>
            </w:pPr>
          </w:p>
        </w:tc>
      </w:tr>
      <w:tr w:rsidR="00C168B2" w:rsidRPr="00C168B2" w14:paraId="24FDA118" w14:textId="77777777" w:rsidTr="009D34AD">
        <w:tc>
          <w:tcPr>
            <w:tcW w:w="13036" w:type="dxa"/>
            <w:gridSpan w:val="2"/>
            <w:shd w:val="clear" w:color="auto" w:fill="E8E8E8" w:themeFill="background2"/>
          </w:tcPr>
          <w:p w14:paraId="0774C030" w14:textId="4674FBA0" w:rsidR="00C168B2" w:rsidRPr="00C168B2" w:rsidRDefault="00C168B2" w:rsidP="00C168B2">
            <w:pPr>
              <w:jc w:val="center"/>
              <w:rPr>
                <w:rFonts w:ascii="Times New Roman" w:hAnsi="Times New Roman" w:cs="Times New Roman"/>
                <w:b/>
                <w:bCs/>
                <w:i/>
                <w:iCs/>
                <w:sz w:val="24"/>
                <w:szCs w:val="24"/>
              </w:rPr>
            </w:pPr>
            <w:r w:rsidRPr="00C168B2">
              <w:rPr>
                <w:rFonts w:ascii="Times New Roman" w:hAnsi="Times New Roman" w:cs="Times New Roman"/>
                <w:b/>
                <w:bCs/>
                <w:i/>
                <w:iCs/>
                <w:sz w:val="24"/>
                <w:szCs w:val="24"/>
              </w:rPr>
              <w:t>Sagatavots un ievietots uz 1</w:t>
            </w:r>
            <w:r w:rsidR="003A7871">
              <w:rPr>
                <w:rFonts w:ascii="Times New Roman" w:hAnsi="Times New Roman" w:cs="Times New Roman"/>
                <w:b/>
                <w:bCs/>
                <w:i/>
                <w:iCs/>
                <w:sz w:val="24"/>
                <w:szCs w:val="24"/>
              </w:rPr>
              <w:t>4</w:t>
            </w:r>
            <w:r w:rsidRPr="00C168B2">
              <w:rPr>
                <w:rFonts w:ascii="Times New Roman" w:hAnsi="Times New Roman" w:cs="Times New Roman"/>
                <w:b/>
                <w:bCs/>
                <w:i/>
                <w:iCs/>
                <w:sz w:val="24"/>
                <w:szCs w:val="24"/>
              </w:rPr>
              <w:t>.10.2024.</w:t>
            </w:r>
          </w:p>
        </w:tc>
      </w:tr>
      <w:tr w:rsidR="00C168B2" w:rsidRPr="00E07CBD" w14:paraId="032FE066" w14:textId="77777777" w:rsidTr="00C168B2">
        <w:tc>
          <w:tcPr>
            <w:tcW w:w="5807" w:type="dxa"/>
          </w:tcPr>
          <w:p w14:paraId="7404109A" w14:textId="16A1FE1B" w:rsidR="00E07CBD" w:rsidRPr="00E07CBD" w:rsidRDefault="00E07CBD" w:rsidP="00E07CBD">
            <w:pPr>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MK noteikumu </w:t>
            </w:r>
            <w:r w:rsidRPr="00E07CBD">
              <w:rPr>
                <w:rFonts w:ascii="Times New Roman" w:eastAsia="Aptos" w:hAnsi="Times New Roman" w:cs="Times New Roman"/>
                <w:sz w:val="24"/>
                <w:szCs w:val="24"/>
              </w:rPr>
              <w:t>19.</w:t>
            </w:r>
            <w:r>
              <w:rPr>
                <w:rFonts w:ascii="Times New Roman" w:eastAsia="Aptos" w:hAnsi="Times New Roman" w:cs="Times New Roman"/>
                <w:sz w:val="24"/>
                <w:szCs w:val="24"/>
              </w:rPr>
              <w:t>punktā teikts</w:t>
            </w:r>
            <w:r w:rsidRPr="00E07CBD">
              <w:rPr>
                <w:rFonts w:ascii="Times New Roman" w:eastAsia="Aptos" w:hAnsi="Times New Roman" w:cs="Times New Roman"/>
                <w:sz w:val="24"/>
                <w:szCs w:val="24"/>
              </w:rPr>
              <w:t xml:space="preserve"> </w:t>
            </w:r>
            <w:r>
              <w:rPr>
                <w:rFonts w:ascii="Times New Roman" w:eastAsia="Aptos" w:hAnsi="Times New Roman" w:cs="Times New Roman"/>
                <w:sz w:val="24"/>
                <w:szCs w:val="24"/>
              </w:rPr>
              <w:t>š</w:t>
            </w:r>
            <w:r w:rsidRPr="00E07CBD">
              <w:rPr>
                <w:rFonts w:ascii="Times New Roman" w:eastAsia="Aptos" w:hAnsi="Times New Roman" w:cs="Times New Roman"/>
                <w:sz w:val="24"/>
                <w:szCs w:val="24"/>
              </w:rPr>
              <w:t xml:space="preserve">o noteikumu 18.1. apakšpunktā minētās tiešās attiecināmās personāla izmaksas ietver finansējuma saņēmēja projekta vadības un īstenošanas personāla izmaksas, izņemot virsstundas. Ja personāla iesaiste projektā ir nodrošināta saskaņā ar </w:t>
            </w:r>
            <w:proofErr w:type="spellStart"/>
            <w:r w:rsidRPr="00E07CBD">
              <w:rPr>
                <w:rFonts w:ascii="Times New Roman" w:eastAsia="Aptos" w:hAnsi="Times New Roman" w:cs="Times New Roman"/>
                <w:sz w:val="24"/>
                <w:szCs w:val="24"/>
              </w:rPr>
              <w:t>daļlaika</w:t>
            </w:r>
            <w:proofErr w:type="spellEnd"/>
            <w:r w:rsidRPr="00E07CBD">
              <w:rPr>
                <w:rFonts w:ascii="Times New Roman" w:eastAsia="Aptos" w:hAnsi="Times New Roman" w:cs="Times New Roman"/>
                <w:sz w:val="24"/>
                <w:szCs w:val="24"/>
              </w:rPr>
              <w:t xml:space="preserve"> izmaksu </w:t>
            </w:r>
            <w:proofErr w:type="spellStart"/>
            <w:r w:rsidRPr="00E07CBD">
              <w:rPr>
                <w:rFonts w:ascii="Times New Roman" w:eastAsia="Aptos" w:hAnsi="Times New Roman" w:cs="Times New Roman"/>
                <w:sz w:val="24"/>
                <w:szCs w:val="24"/>
              </w:rPr>
              <w:t>attiecināmības</w:t>
            </w:r>
            <w:proofErr w:type="spellEnd"/>
            <w:r w:rsidRPr="00E07CBD">
              <w:rPr>
                <w:rFonts w:ascii="Times New Roman" w:eastAsia="Aptos" w:hAnsi="Times New Roman" w:cs="Times New Roman"/>
                <w:sz w:val="24"/>
                <w:szCs w:val="24"/>
              </w:rPr>
              <w:t xml:space="preserve"> principu, attiecināma ir ne mazāka kā 30 procentu noslodze. Ja personāls ir nodarbināts nepilnu darba laiku, atlīdzības izmaksas nosakāmas atbilstoši nepilnā darba laika noslodzei. </w:t>
            </w:r>
          </w:p>
          <w:p w14:paraId="55830174" w14:textId="77777777" w:rsidR="00E07CBD" w:rsidRPr="00E07CBD" w:rsidRDefault="00E07CBD" w:rsidP="00E07CBD">
            <w:pPr>
              <w:jc w:val="both"/>
              <w:rPr>
                <w:rFonts w:ascii="Times New Roman" w:eastAsia="Aptos" w:hAnsi="Times New Roman" w:cs="Times New Roman"/>
                <w:sz w:val="24"/>
                <w:szCs w:val="24"/>
              </w:rPr>
            </w:pPr>
            <w:r w:rsidRPr="00E07CBD">
              <w:rPr>
                <w:rFonts w:ascii="Times New Roman" w:eastAsia="Aptos" w:hAnsi="Times New Roman" w:cs="Times New Roman"/>
                <w:sz w:val="24"/>
                <w:szCs w:val="24"/>
              </w:rPr>
              <w:lastRenderedPageBreak/>
              <w:t>Vai šis punkts paredz, ka projektā iesaistītajam personālam jānostrādā mēnesī 0,3 slodze vai tomēr 0,3 slodze gadā?</w:t>
            </w:r>
          </w:p>
          <w:p w14:paraId="1DDB9802" w14:textId="77777777" w:rsidR="00E07CBD" w:rsidRPr="00E07CBD" w:rsidRDefault="00E07CBD" w:rsidP="00E07CBD">
            <w:pPr>
              <w:jc w:val="both"/>
              <w:rPr>
                <w:rFonts w:ascii="Times New Roman" w:eastAsia="Aptos" w:hAnsi="Times New Roman" w:cs="Times New Roman"/>
                <w:sz w:val="24"/>
                <w:szCs w:val="24"/>
              </w:rPr>
            </w:pPr>
            <w:r w:rsidRPr="00E07CBD">
              <w:rPr>
                <w:rFonts w:ascii="Times New Roman" w:eastAsia="Aptos" w:hAnsi="Times New Roman" w:cs="Times New Roman"/>
                <w:sz w:val="24"/>
                <w:szCs w:val="24"/>
              </w:rPr>
              <w:t>Kā šādā gadījumā rīkoties, ja speciālisti, kas piesaistīti projektā un konkrētām nodarbībām, pakalpojumiem - nesasniedz 0.3 slodzi mēnesī? </w:t>
            </w:r>
          </w:p>
          <w:p w14:paraId="25002234" w14:textId="77777777" w:rsidR="00C168B2" w:rsidRPr="00E07CBD" w:rsidRDefault="00C168B2" w:rsidP="00E07CBD">
            <w:pPr>
              <w:jc w:val="both"/>
              <w:rPr>
                <w:rFonts w:ascii="Times New Roman" w:eastAsia="Aptos" w:hAnsi="Times New Roman" w:cs="Times New Roman"/>
                <w:sz w:val="24"/>
                <w:szCs w:val="24"/>
              </w:rPr>
            </w:pPr>
          </w:p>
        </w:tc>
        <w:tc>
          <w:tcPr>
            <w:tcW w:w="7229" w:type="dxa"/>
          </w:tcPr>
          <w:p w14:paraId="4606DCD7" w14:textId="3906E981" w:rsidR="00E07CBD" w:rsidRPr="00E07CBD" w:rsidRDefault="00E07CBD" w:rsidP="00E07CBD">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t>V</w:t>
            </w:r>
            <w:r w:rsidRPr="00E07CBD">
              <w:rPr>
                <w:rFonts w:ascii="Times New Roman" w:hAnsi="Times New Roman" w:cs="Times New Roman"/>
                <w:i/>
                <w:iCs/>
                <w:sz w:val="24"/>
                <w:szCs w:val="24"/>
                <w:u w:val="single"/>
              </w:rPr>
              <w:t>ēršam uzmanību, ka:</w:t>
            </w:r>
          </w:p>
          <w:p w14:paraId="10530345" w14:textId="77777777" w:rsidR="00E07CBD" w:rsidRPr="00E07CBD" w:rsidRDefault="00E07CBD" w:rsidP="00E07CBD">
            <w:pPr>
              <w:numPr>
                <w:ilvl w:val="0"/>
                <w:numId w:val="3"/>
              </w:numPr>
              <w:jc w:val="both"/>
              <w:rPr>
                <w:rFonts w:ascii="Times New Roman" w:hAnsi="Times New Roman" w:cs="Times New Roman"/>
                <w:sz w:val="24"/>
                <w:szCs w:val="24"/>
              </w:rPr>
            </w:pPr>
            <w:r w:rsidRPr="00E07CBD">
              <w:rPr>
                <w:rFonts w:ascii="Times New Roman" w:hAnsi="Times New Roman" w:cs="Times New Roman"/>
                <w:sz w:val="24"/>
                <w:szCs w:val="24"/>
              </w:rPr>
              <w:t xml:space="preserve">finansējuma saņēmējs projekta īstenošanas personālu </w:t>
            </w:r>
            <w:r w:rsidRPr="00E07CBD">
              <w:rPr>
                <w:rFonts w:ascii="Times New Roman" w:hAnsi="Times New Roman" w:cs="Times New Roman"/>
                <w:i/>
                <w:iCs/>
                <w:sz w:val="24"/>
                <w:szCs w:val="24"/>
                <w:u w:val="single"/>
              </w:rPr>
              <w:t>var piesaistīt gan uz darba līguma</w:t>
            </w:r>
            <w:r w:rsidRPr="00E07CBD">
              <w:rPr>
                <w:rFonts w:ascii="Times New Roman" w:hAnsi="Times New Roman" w:cs="Times New Roman"/>
                <w:sz w:val="24"/>
                <w:szCs w:val="24"/>
              </w:rPr>
              <w:t xml:space="preserve"> (t.sk. nepilnā slodzē tikai uz projektu, kas ir mazāka par 30% no normālā darba laika un būs uzskatāma kā 100 % noslodze projektā) vai arī kā </w:t>
            </w:r>
            <w:r w:rsidRPr="00E07CBD">
              <w:rPr>
                <w:rFonts w:ascii="Times New Roman" w:hAnsi="Times New Roman" w:cs="Times New Roman"/>
                <w:i/>
                <w:iCs/>
                <w:sz w:val="24"/>
                <w:szCs w:val="24"/>
                <w:u w:val="single"/>
              </w:rPr>
              <w:t>ārpakalpojumu uz uzņēmuma līguma pamata</w:t>
            </w:r>
            <w:r w:rsidRPr="00E07CBD">
              <w:rPr>
                <w:rFonts w:ascii="Times New Roman" w:hAnsi="Times New Roman" w:cs="Times New Roman"/>
                <w:sz w:val="24"/>
                <w:szCs w:val="24"/>
                <w:u w:val="single"/>
              </w:rPr>
              <w:t>;</w:t>
            </w:r>
          </w:p>
          <w:p w14:paraId="5BB11567" w14:textId="77777777" w:rsidR="00E07CBD" w:rsidRPr="00E07CBD" w:rsidRDefault="00E07CBD" w:rsidP="00E07CBD">
            <w:pPr>
              <w:numPr>
                <w:ilvl w:val="0"/>
                <w:numId w:val="3"/>
              </w:numPr>
              <w:jc w:val="both"/>
              <w:rPr>
                <w:rFonts w:ascii="Times New Roman" w:hAnsi="Times New Roman" w:cs="Times New Roman"/>
                <w:sz w:val="24"/>
                <w:szCs w:val="24"/>
              </w:rPr>
            </w:pPr>
            <w:r w:rsidRPr="00E07CBD">
              <w:rPr>
                <w:rFonts w:ascii="Times New Roman" w:hAnsi="Times New Roman" w:cs="Times New Roman"/>
                <w:sz w:val="24"/>
                <w:szCs w:val="24"/>
              </w:rPr>
              <w:t xml:space="preserve">savukārt, ja projekta īstenošanā plānots iesaistīt esošo personālu, tad slēdz vienošanos pie esošā darba līguma par papildu darba veikšanu un nosaka uz projektu attiecināmo slodzes daļu (vismaz </w:t>
            </w:r>
            <w:r w:rsidRPr="00E07CBD">
              <w:rPr>
                <w:rFonts w:ascii="Times New Roman" w:hAnsi="Times New Roman" w:cs="Times New Roman"/>
                <w:sz w:val="24"/>
                <w:szCs w:val="24"/>
              </w:rPr>
              <w:lastRenderedPageBreak/>
              <w:t>30% no normālā darba laika, ja slodze mazāka, tad atlīdzības izmaksas jāsedz no 40% vienotās likmes). Bet nav korekti slēgt uzņēmuma līgumu ar esošo darbinieku, jo, veicot vienus un tos pašus darba pienākumus (pamatdarbā un projektā), viņš nevar būt vienlaikus gan darbinieks (darba ņēmējs), gan pakalpojuma sniedzējs, tās ir divas dažādas lomas.</w:t>
            </w:r>
          </w:p>
          <w:p w14:paraId="338EF81F" w14:textId="5BE9237B" w:rsidR="00E07CBD" w:rsidRPr="00E07CBD" w:rsidRDefault="00E07CBD" w:rsidP="00E07CBD">
            <w:pPr>
              <w:jc w:val="both"/>
              <w:rPr>
                <w:rFonts w:ascii="Times New Roman" w:hAnsi="Times New Roman" w:cs="Times New Roman"/>
                <w:i/>
                <w:iCs/>
                <w:sz w:val="24"/>
                <w:szCs w:val="24"/>
              </w:rPr>
            </w:pPr>
            <w:r w:rsidRPr="00E07CBD">
              <w:rPr>
                <w:rFonts w:ascii="Times New Roman" w:hAnsi="Times New Roman" w:cs="Times New Roman"/>
                <w:i/>
                <w:iCs/>
                <w:sz w:val="24"/>
                <w:szCs w:val="24"/>
              </w:rPr>
              <w:t>Ja projekta atbalsta pasākumu īstenošanas personāls tiek piesaistīts uz ārpakalpojuma līguma pamata, lai noskaidrotu pieejamos risinājumus, iespējamās izmaksas un potenciālo piegādātāju/pakalpojumu sniedzēju loku, nepieciešams veikt tirgus izpēti. Iepirkumu uzraudzības biroja mājas lapā ir sagatavots palīgs iepirkumu veicējam “Iepirkuma ceļvedis” (pieejams:</w:t>
            </w:r>
            <w:r>
              <w:rPr>
                <w:rFonts w:ascii="Times New Roman" w:hAnsi="Times New Roman" w:cs="Times New Roman"/>
                <w:i/>
                <w:iCs/>
                <w:sz w:val="24"/>
                <w:szCs w:val="24"/>
              </w:rPr>
              <w:t xml:space="preserve"> </w:t>
            </w:r>
            <w:hyperlink r:id="rId8" w:history="1">
              <w:r w:rsidRPr="00E07CBD">
                <w:rPr>
                  <w:rStyle w:val="Hyperlink"/>
                  <w:rFonts w:ascii="Times New Roman" w:hAnsi="Times New Roman" w:cs="Times New Roman"/>
                  <w:i/>
                  <w:iCs/>
                  <w:sz w:val="24"/>
                  <w:szCs w:val="24"/>
                </w:rPr>
                <w:t>https://www.iub.gov.lv/lv/iepirkumacelvedis</w:t>
              </w:r>
            </w:hyperlink>
            <w:r w:rsidRPr="00E07CBD">
              <w:rPr>
                <w:rFonts w:ascii="Times New Roman" w:hAnsi="Times New Roman" w:cs="Times New Roman"/>
                <w:i/>
                <w:iCs/>
                <w:sz w:val="24"/>
                <w:szCs w:val="24"/>
              </w:rPr>
              <w:t>), kur detalizēti skaidrots iepirkuma process – soli pa solim, tai skaitā plaša informācija par tirgus izpētes organizēšanu (Pieejams:</w:t>
            </w:r>
            <w:r>
              <w:rPr>
                <w:rFonts w:ascii="Times New Roman" w:hAnsi="Times New Roman" w:cs="Times New Roman"/>
                <w:i/>
                <w:iCs/>
                <w:sz w:val="24"/>
                <w:szCs w:val="24"/>
              </w:rPr>
              <w:t xml:space="preserve"> </w:t>
            </w:r>
            <w:hyperlink r:id="rId9" w:history="1">
              <w:r w:rsidRPr="00E07CBD">
                <w:rPr>
                  <w:rStyle w:val="Hyperlink"/>
                  <w:rFonts w:ascii="Times New Roman" w:hAnsi="Times New Roman" w:cs="Times New Roman"/>
                  <w:i/>
                  <w:iCs/>
                  <w:sz w:val="24"/>
                  <w:szCs w:val="24"/>
                </w:rPr>
                <w:t>https://www.iub.gov.lv/lv/1-vajadziba-tirgus-izpeteligumcena</w:t>
              </w:r>
            </w:hyperlink>
            <w:r>
              <w:rPr>
                <w:rFonts w:ascii="Times New Roman" w:hAnsi="Times New Roman" w:cs="Times New Roman"/>
                <w:sz w:val="24"/>
                <w:szCs w:val="24"/>
              </w:rPr>
              <w:t xml:space="preserve"> </w:t>
            </w:r>
            <w:r w:rsidRPr="00E07CBD">
              <w:rPr>
                <w:rFonts w:ascii="Times New Roman" w:hAnsi="Times New Roman" w:cs="Times New Roman"/>
                <w:i/>
                <w:iCs/>
                <w:sz w:val="24"/>
                <w:szCs w:val="24"/>
              </w:rPr>
              <w:t>).</w:t>
            </w:r>
          </w:p>
          <w:p w14:paraId="0ED17FBA" w14:textId="77777777" w:rsidR="00E07CBD" w:rsidRPr="00E07CBD" w:rsidRDefault="00E07CBD" w:rsidP="00E07CBD">
            <w:pPr>
              <w:jc w:val="both"/>
              <w:rPr>
                <w:rFonts w:ascii="Times New Roman" w:hAnsi="Times New Roman" w:cs="Times New Roman"/>
                <w:sz w:val="24"/>
                <w:szCs w:val="24"/>
              </w:rPr>
            </w:pPr>
            <w:r w:rsidRPr="00E07CBD">
              <w:rPr>
                <w:rFonts w:ascii="Times New Roman" w:hAnsi="Times New Roman" w:cs="Times New Roman"/>
                <w:sz w:val="24"/>
                <w:szCs w:val="24"/>
              </w:rPr>
              <w:t>Tostarp saskaņā ar 2023.gada 25.septembra vadlīniju Nr.1.2. “Vadlīnijas attiecināmo izmaksu noteikšanai Eiropas Savienības kohēzijas politikas programmas 2021.-2027.gada plānošanas periodā” 7.6. apakšpunktā minēto un MK noteikumu 19.punktā noteikto personāla atlīdzības izmaksām jābūt atbilstošām finansējuma saņēmēja iestādes atlīdzības sistēmā noteiktajai samaksai par līdzvērtīga darba veikšanu vai atbilstošām vidējai darba samaksai saskaņā ar Latvijas Republikas Centrālās statistikas pārvaldes datiem par līdzvērtīgu darbu attiecīgajā nozarē. </w:t>
            </w:r>
          </w:p>
          <w:p w14:paraId="112CEA94" w14:textId="77777777" w:rsidR="00C168B2" w:rsidRPr="00E07CBD" w:rsidRDefault="00C168B2" w:rsidP="00E07CBD">
            <w:pPr>
              <w:jc w:val="both"/>
              <w:rPr>
                <w:rFonts w:ascii="Times New Roman" w:hAnsi="Times New Roman" w:cs="Times New Roman"/>
                <w:sz w:val="24"/>
                <w:szCs w:val="24"/>
              </w:rPr>
            </w:pPr>
          </w:p>
        </w:tc>
      </w:tr>
      <w:tr w:rsidR="00E07CBD" w:rsidRPr="00E07CBD" w14:paraId="332EDA85" w14:textId="77777777" w:rsidTr="00C168B2">
        <w:tc>
          <w:tcPr>
            <w:tcW w:w="5807" w:type="dxa"/>
          </w:tcPr>
          <w:p w14:paraId="61C65D7A" w14:textId="691C01DC" w:rsidR="00E07CBD" w:rsidRDefault="00614173" w:rsidP="00E07CBD">
            <w:pPr>
              <w:jc w:val="both"/>
              <w:rPr>
                <w:rFonts w:ascii="Times New Roman" w:eastAsia="Aptos" w:hAnsi="Times New Roman" w:cs="Times New Roman"/>
                <w:sz w:val="24"/>
                <w:szCs w:val="24"/>
              </w:rPr>
            </w:pPr>
            <w:r w:rsidRPr="00614173">
              <w:rPr>
                <w:rFonts w:ascii="Times New Roman" w:eastAsia="Aptos" w:hAnsi="Times New Roman" w:cs="Times New Roman"/>
                <w:sz w:val="24"/>
                <w:szCs w:val="24"/>
              </w:rPr>
              <w:lastRenderedPageBreak/>
              <w:t>Vai projekta ietvaros mērķa grupa vienlaikus var atbilst, gan MK noteikumu 3.1.-3.5. apakšpunktos definētajai, gan 3.6.-3.7. apakšpunktos definētajai, ja ir paredzēts sniegt vienu atbalsta pakalpojumu?</w:t>
            </w:r>
          </w:p>
        </w:tc>
        <w:tc>
          <w:tcPr>
            <w:tcW w:w="7229" w:type="dxa"/>
          </w:tcPr>
          <w:p w14:paraId="312A4052" w14:textId="09AA745B" w:rsidR="00E07CBD" w:rsidRPr="00E07CBD" w:rsidRDefault="00E07CBD" w:rsidP="00E07CBD">
            <w:pPr>
              <w:jc w:val="both"/>
              <w:rPr>
                <w:rFonts w:ascii="Times New Roman" w:hAnsi="Times New Roman" w:cs="Times New Roman"/>
                <w:sz w:val="24"/>
                <w:szCs w:val="24"/>
              </w:rPr>
            </w:pPr>
            <w:r w:rsidRPr="00E07CBD">
              <w:rPr>
                <w:rFonts w:ascii="Times New Roman" w:hAnsi="Times New Roman" w:cs="Times New Roman"/>
                <w:sz w:val="24"/>
                <w:szCs w:val="24"/>
                <w:u w:val="single"/>
              </w:rPr>
              <w:t>Attiecībā uz</w:t>
            </w:r>
            <w:r w:rsidR="00E46C12">
              <w:rPr>
                <w:rFonts w:ascii="Times New Roman" w:hAnsi="Times New Roman" w:cs="Times New Roman"/>
                <w:sz w:val="24"/>
                <w:szCs w:val="24"/>
                <w:u w:val="single"/>
              </w:rPr>
              <w:t xml:space="preserve"> </w:t>
            </w:r>
            <w:r w:rsidRPr="00E07CBD">
              <w:rPr>
                <w:rFonts w:ascii="Times New Roman" w:hAnsi="Times New Roman" w:cs="Times New Roman"/>
                <w:sz w:val="24"/>
                <w:szCs w:val="24"/>
                <w:u w:val="single"/>
              </w:rPr>
              <w:t xml:space="preserve">atbilstību </w:t>
            </w:r>
            <w:r w:rsidRPr="006F1FE9">
              <w:rPr>
                <w:rFonts w:ascii="Times New Roman" w:hAnsi="Times New Roman" w:cs="Times New Roman"/>
                <w:sz w:val="24"/>
                <w:szCs w:val="24"/>
              </w:rPr>
              <w:t>mērķa</w:t>
            </w:r>
            <w:r w:rsidR="006F1FE9">
              <w:rPr>
                <w:rFonts w:ascii="Times New Roman" w:hAnsi="Times New Roman" w:cs="Times New Roman"/>
                <w:sz w:val="24"/>
                <w:szCs w:val="24"/>
              </w:rPr>
              <w:t xml:space="preserve"> </w:t>
            </w:r>
            <w:r w:rsidR="00271665">
              <w:rPr>
                <w:rFonts w:ascii="Times New Roman" w:hAnsi="Times New Roman" w:cs="Times New Roman"/>
                <w:sz w:val="24"/>
                <w:szCs w:val="24"/>
              </w:rPr>
              <w:t xml:space="preserve">grupai </w:t>
            </w:r>
            <w:r w:rsidRPr="006F1FE9">
              <w:rPr>
                <w:rFonts w:ascii="Times New Roman" w:hAnsi="Times New Roman" w:cs="Times New Roman"/>
                <w:sz w:val="24"/>
                <w:szCs w:val="24"/>
              </w:rPr>
              <w:t>aicin</w:t>
            </w:r>
            <w:r w:rsidR="00397B54" w:rsidRPr="006F1FE9">
              <w:rPr>
                <w:rFonts w:ascii="Times New Roman" w:hAnsi="Times New Roman" w:cs="Times New Roman"/>
                <w:sz w:val="24"/>
                <w:szCs w:val="24"/>
              </w:rPr>
              <w:t>ām</w:t>
            </w:r>
            <w:r w:rsidRPr="00E07CBD">
              <w:rPr>
                <w:rFonts w:ascii="Times New Roman" w:hAnsi="Times New Roman" w:cs="Times New Roman"/>
                <w:sz w:val="24"/>
                <w:szCs w:val="24"/>
              </w:rPr>
              <w:t xml:space="preserve"> izvērtēt LM sagatavoto skaidrojošo materiālu par </w:t>
            </w:r>
            <w:r w:rsidR="00397B54" w:rsidRPr="00E07CBD">
              <w:rPr>
                <w:rFonts w:ascii="Times New Roman" w:hAnsi="Times New Roman" w:cs="Times New Roman"/>
                <w:sz w:val="24"/>
                <w:szCs w:val="24"/>
              </w:rPr>
              <w:t>mērķa</w:t>
            </w:r>
            <w:r w:rsidRPr="00E07CBD">
              <w:rPr>
                <w:rFonts w:ascii="Times New Roman" w:hAnsi="Times New Roman" w:cs="Times New Roman"/>
                <w:sz w:val="24"/>
                <w:szCs w:val="24"/>
              </w:rPr>
              <w:t xml:space="preserve"> grupu, </w:t>
            </w:r>
            <w:r w:rsidR="00397B54">
              <w:rPr>
                <w:rFonts w:ascii="Times New Roman" w:hAnsi="Times New Roman" w:cs="Times New Roman"/>
                <w:sz w:val="24"/>
                <w:szCs w:val="24"/>
              </w:rPr>
              <w:t>“Mērķa grupas skaidrojums”</w:t>
            </w:r>
            <w:r w:rsidRPr="00E07CBD">
              <w:rPr>
                <w:rFonts w:ascii="Times New Roman" w:hAnsi="Times New Roman" w:cs="Times New Roman"/>
                <w:sz w:val="24"/>
                <w:szCs w:val="24"/>
              </w:rPr>
              <w:t xml:space="preserve"> </w:t>
            </w:r>
            <w:hyperlink r:id="rId10" w:history="1">
              <w:r w:rsidR="00397B54" w:rsidRPr="00397B54">
                <w:rPr>
                  <w:rStyle w:val="Hyperlink"/>
                  <w:rFonts w:ascii="Times New Roman" w:hAnsi="Times New Roman" w:cs="Times New Roman"/>
                  <w:sz w:val="24"/>
                  <w:szCs w:val="24"/>
                </w:rPr>
                <w:t>4.3.6.4. Atbalsta instrumentu izstrāde un ieviešana ģimenes funkcionalitātes stiprināšanai, 2.kārta | Centrālā finanšu un līgumu aģentūra (cfla.gov.lv)</w:t>
              </w:r>
            </w:hyperlink>
            <w:r w:rsidR="00397B54">
              <w:rPr>
                <w:rFonts w:ascii="Times New Roman" w:hAnsi="Times New Roman" w:cs="Times New Roman"/>
                <w:sz w:val="24"/>
                <w:szCs w:val="24"/>
              </w:rPr>
              <w:t xml:space="preserve">. </w:t>
            </w:r>
          </w:p>
          <w:p w14:paraId="5117818C" w14:textId="787EB351" w:rsidR="00E07CBD" w:rsidRPr="00E07CBD" w:rsidRDefault="00E07CBD" w:rsidP="00E07CBD">
            <w:pPr>
              <w:jc w:val="both"/>
              <w:rPr>
                <w:rFonts w:ascii="Times New Roman" w:hAnsi="Times New Roman" w:cs="Times New Roman"/>
                <w:sz w:val="24"/>
                <w:szCs w:val="24"/>
                <w:u w:val="single"/>
              </w:rPr>
            </w:pPr>
            <w:r w:rsidRPr="00633C55">
              <w:rPr>
                <w:rFonts w:ascii="Times New Roman" w:hAnsi="Times New Roman" w:cs="Times New Roman"/>
                <w:i/>
                <w:iCs/>
                <w:sz w:val="24"/>
                <w:szCs w:val="24"/>
                <w:u w:val="single"/>
              </w:rPr>
              <w:t>Vērš</w:t>
            </w:r>
            <w:r w:rsidR="00397B54" w:rsidRPr="00633C55">
              <w:rPr>
                <w:rFonts w:ascii="Times New Roman" w:hAnsi="Times New Roman" w:cs="Times New Roman"/>
                <w:i/>
                <w:iCs/>
                <w:sz w:val="24"/>
                <w:szCs w:val="24"/>
                <w:u w:val="single"/>
              </w:rPr>
              <w:t>am</w:t>
            </w:r>
            <w:r w:rsidRPr="00633C55">
              <w:rPr>
                <w:rFonts w:ascii="Times New Roman" w:hAnsi="Times New Roman" w:cs="Times New Roman"/>
                <w:i/>
                <w:iCs/>
                <w:sz w:val="24"/>
                <w:szCs w:val="24"/>
                <w:u w:val="single"/>
              </w:rPr>
              <w:t xml:space="preserve"> uzmanību, ka</w:t>
            </w:r>
            <w:r w:rsidRPr="00E07CBD">
              <w:rPr>
                <w:rFonts w:ascii="Times New Roman" w:hAnsi="Times New Roman" w:cs="Times New Roman"/>
                <w:sz w:val="24"/>
                <w:szCs w:val="24"/>
              </w:rPr>
              <w:t xml:space="preserve"> projekta iesniegumā </w:t>
            </w:r>
            <w:r w:rsidRPr="00E07CBD">
              <w:rPr>
                <w:rFonts w:ascii="Times New Roman" w:hAnsi="Times New Roman" w:cs="Times New Roman"/>
                <w:i/>
                <w:iCs/>
                <w:sz w:val="24"/>
                <w:szCs w:val="24"/>
              </w:rPr>
              <w:t>var plānot atbalstu tikai vienai no mērķa grupām</w:t>
            </w:r>
            <w:r w:rsidRPr="00E07CBD">
              <w:rPr>
                <w:rFonts w:ascii="Times New Roman" w:hAnsi="Times New Roman" w:cs="Times New Roman"/>
                <w:sz w:val="24"/>
                <w:szCs w:val="24"/>
              </w:rPr>
              <w:t xml:space="preserve">, </w:t>
            </w:r>
            <w:r w:rsidRPr="00E07CBD">
              <w:rPr>
                <w:rFonts w:ascii="Times New Roman" w:hAnsi="Times New Roman" w:cs="Times New Roman"/>
                <w:i/>
                <w:iCs/>
                <w:sz w:val="24"/>
                <w:szCs w:val="24"/>
              </w:rPr>
              <w:t>nav obligāta prasība nodrošināt atbalstu vienlaikus vairākām mērķa grupām</w:t>
            </w:r>
            <w:r w:rsidRPr="00E07CBD">
              <w:rPr>
                <w:rFonts w:ascii="Times New Roman" w:hAnsi="Times New Roman" w:cs="Times New Roman"/>
                <w:sz w:val="24"/>
                <w:szCs w:val="24"/>
              </w:rPr>
              <w:t xml:space="preserve"> un tā kā pieejamā finansējuma grozs tiek sadalīts </w:t>
            </w:r>
            <w:r w:rsidRPr="00E07CBD">
              <w:rPr>
                <w:rFonts w:ascii="Times New Roman" w:hAnsi="Times New Roman" w:cs="Times New Roman"/>
                <w:sz w:val="24"/>
                <w:szCs w:val="24"/>
              </w:rPr>
              <w:lastRenderedPageBreak/>
              <w:t xml:space="preserve">divās grupās – MK noteikumu 3.1.-3.5. punktos minētā mērķa grupa un MK noteikumu 3.6.-3.7. punktos minētā mērķa grupa, </w:t>
            </w:r>
            <w:r w:rsidRPr="00E07CBD">
              <w:rPr>
                <w:rFonts w:ascii="Times New Roman" w:hAnsi="Times New Roman" w:cs="Times New Roman"/>
                <w:sz w:val="24"/>
                <w:szCs w:val="24"/>
                <w:u w:val="single"/>
              </w:rPr>
              <w:t>ir būtiski nodefinēt mērķa grupas atbilstību vienai no šīm grupām.</w:t>
            </w:r>
          </w:p>
          <w:p w14:paraId="11FD0829" w14:textId="77777777" w:rsidR="00E07CBD" w:rsidRDefault="00E07CBD" w:rsidP="00E07CBD">
            <w:pPr>
              <w:jc w:val="both"/>
              <w:rPr>
                <w:rFonts w:ascii="Times New Roman" w:hAnsi="Times New Roman" w:cs="Times New Roman"/>
                <w:i/>
                <w:iCs/>
                <w:sz w:val="24"/>
                <w:szCs w:val="24"/>
                <w:u w:val="single"/>
              </w:rPr>
            </w:pPr>
          </w:p>
        </w:tc>
      </w:tr>
    </w:tbl>
    <w:p w14:paraId="513B50D7" w14:textId="77777777" w:rsidR="007D376A" w:rsidRPr="00BC65EA" w:rsidRDefault="007D376A" w:rsidP="007D376A"/>
    <w:sectPr w:rsidR="007D376A" w:rsidRPr="00BC65EA" w:rsidSect="00C168B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D4EC2"/>
    <w:multiLevelType w:val="hybridMultilevel"/>
    <w:tmpl w:val="5F0A95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F9419A6"/>
    <w:multiLevelType w:val="hybridMultilevel"/>
    <w:tmpl w:val="E29AB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E4965"/>
    <w:multiLevelType w:val="hybridMultilevel"/>
    <w:tmpl w:val="45D6A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06180">
    <w:abstractNumId w:val="2"/>
  </w:num>
  <w:num w:numId="2" w16cid:durableId="898175596">
    <w:abstractNumId w:val="1"/>
  </w:num>
  <w:num w:numId="3" w16cid:durableId="158441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6A"/>
    <w:rsid w:val="0000058B"/>
    <w:rsid w:val="00062056"/>
    <w:rsid w:val="0006574F"/>
    <w:rsid w:val="000B5B98"/>
    <w:rsid w:val="000E461A"/>
    <w:rsid w:val="001170CD"/>
    <w:rsid w:val="00172F8D"/>
    <w:rsid w:val="00185100"/>
    <w:rsid w:val="00185244"/>
    <w:rsid w:val="002651AD"/>
    <w:rsid w:val="00271665"/>
    <w:rsid w:val="00274075"/>
    <w:rsid w:val="002A2C1A"/>
    <w:rsid w:val="002D6B71"/>
    <w:rsid w:val="00397B54"/>
    <w:rsid w:val="003A1742"/>
    <w:rsid w:val="003A7871"/>
    <w:rsid w:val="003E209E"/>
    <w:rsid w:val="003F5540"/>
    <w:rsid w:val="00433901"/>
    <w:rsid w:val="0047012D"/>
    <w:rsid w:val="004B74A6"/>
    <w:rsid w:val="005117D8"/>
    <w:rsid w:val="00550121"/>
    <w:rsid w:val="00596E96"/>
    <w:rsid w:val="00614173"/>
    <w:rsid w:val="00617672"/>
    <w:rsid w:val="00633C55"/>
    <w:rsid w:val="00661CFF"/>
    <w:rsid w:val="0066642E"/>
    <w:rsid w:val="006F1FE9"/>
    <w:rsid w:val="00713160"/>
    <w:rsid w:val="007415E4"/>
    <w:rsid w:val="0077387A"/>
    <w:rsid w:val="007818AB"/>
    <w:rsid w:val="007D2C95"/>
    <w:rsid w:val="007D30FF"/>
    <w:rsid w:val="007D376A"/>
    <w:rsid w:val="0084204D"/>
    <w:rsid w:val="0089039E"/>
    <w:rsid w:val="009923BA"/>
    <w:rsid w:val="009D34AD"/>
    <w:rsid w:val="009F5367"/>
    <w:rsid w:val="00A35090"/>
    <w:rsid w:val="00A8359C"/>
    <w:rsid w:val="00A8680B"/>
    <w:rsid w:val="00B76BB4"/>
    <w:rsid w:val="00B81D7A"/>
    <w:rsid w:val="00BC5BAD"/>
    <w:rsid w:val="00BC65EA"/>
    <w:rsid w:val="00C168B2"/>
    <w:rsid w:val="00C5684C"/>
    <w:rsid w:val="00C8651B"/>
    <w:rsid w:val="00C946BE"/>
    <w:rsid w:val="00CA526B"/>
    <w:rsid w:val="00D55A7E"/>
    <w:rsid w:val="00D62D6A"/>
    <w:rsid w:val="00D907D0"/>
    <w:rsid w:val="00DA36BC"/>
    <w:rsid w:val="00DB5A65"/>
    <w:rsid w:val="00DE2BCB"/>
    <w:rsid w:val="00E07CBD"/>
    <w:rsid w:val="00E454E9"/>
    <w:rsid w:val="00E46C12"/>
    <w:rsid w:val="00E4790F"/>
    <w:rsid w:val="00E640E6"/>
    <w:rsid w:val="00E8652E"/>
    <w:rsid w:val="00E86BD9"/>
    <w:rsid w:val="00ED6587"/>
    <w:rsid w:val="00EE29D6"/>
    <w:rsid w:val="00EE687E"/>
    <w:rsid w:val="00F96D21"/>
    <w:rsid w:val="00FA1AF7"/>
    <w:rsid w:val="00FC08B6"/>
    <w:rsid w:val="00FD097C"/>
    <w:rsid w:val="00FF009E"/>
    <w:rsid w:val="162FFE42"/>
    <w:rsid w:val="2927308F"/>
    <w:rsid w:val="2D19AAAF"/>
    <w:rsid w:val="3456C079"/>
    <w:rsid w:val="3ED25425"/>
    <w:rsid w:val="534D588E"/>
    <w:rsid w:val="68700D70"/>
    <w:rsid w:val="79A22AD2"/>
    <w:rsid w:val="7FC4C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EA25"/>
  <w15:chartTrackingRefBased/>
  <w15:docId w15:val="{B192DBBA-22D3-4258-B7D5-55CD9703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D62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D6A"/>
    <w:rPr>
      <w:rFonts w:eastAsiaTheme="majorEastAsia" w:cstheme="majorBidi"/>
      <w:color w:val="272727" w:themeColor="text1" w:themeTint="D8"/>
    </w:rPr>
  </w:style>
  <w:style w:type="paragraph" w:styleId="Title">
    <w:name w:val="Title"/>
    <w:basedOn w:val="Normal"/>
    <w:next w:val="Normal"/>
    <w:link w:val="TitleChar"/>
    <w:uiPriority w:val="10"/>
    <w:qFormat/>
    <w:rsid w:val="00D62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D6A"/>
    <w:pPr>
      <w:spacing w:before="160"/>
      <w:jc w:val="center"/>
    </w:pPr>
    <w:rPr>
      <w:i/>
      <w:iCs/>
      <w:color w:val="404040" w:themeColor="text1" w:themeTint="BF"/>
    </w:rPr>
  </w:style>
  <w:style w:type="character" w:customStyle="1" w:styleId="QuoteChar">
    <w:name w:val="Quote Char"/>
    <w:basedOn w:val="DefaultParagraphFont"/>
    <w:link w:val="Quote"/>
    <w:uiPriority w:val="29"/>
    <w:rsid w:val="00D62D6A"/>
    <w:rPr>
      <w:i/>
      <w:iCs/>
      <w:color w:val="404040" w:themeColor="text1" w:themeTint="BF"/>
    </w:rPr>
  </w:style>
  <w:style w:type="paragraph" w:styleId="ListParagraph">
    <w:name w:val="List Paragraph"/>
    <w:basedOn w:val="Normal"/>
    <w:uiPriority w:val="34"/>
    <w:qFormat/>
    <w:rsid w:val="00D62D6A"/>
    <w:pPr>
      <w:ind w:left="720"/>
      <w:contextualSpacing/>
    </w:pPr>
  </w:style>
  <w:style w:type="character" w:styleId="IntenseEmphasis">
    <w:name w:val="Intense Emphasis"/>
    <w:basedOn w:val="DefaultParagraphFont"/>
    <w:uiPriority w:val="21"/>
    <w:qFormat/>
    <w:rsid w:val="00D62D6A"/>
    <w:rPr>
      <w:i/>
      <w:iCs/>
      <w:color w:val="0F4761" w:themeColor="accent1" w:themeShade="BF"/>
    </w:rPr>
  </w:style>
  <w:style w:type="paragraph" w:styleId="IntenseQuote">
    <w:name w:val="Intense Quote"/>
    <w:basedOn w:val="Normal"/>
    <w:next w:val="Normal"/>
    <w:link w:val="IntenseQuoteChar"/>
    <w:uiPriority w:val="30"/>
    <w:qFormat/>
    <w:rsid w:val="00D62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D6A"/>
    <w:rPr>
      <w:i/>
      <w:iCs/>
      <w:color w:val="0F4761" w:themeColor="accent1" w:themeShade="BF"/>
    </w:rPr>
  </w:style>
  <w:style w:type="character" w:styleId="IntenseReference">
    <w:name w:val="Intense Reference"/>
    <w:basedOn w:val="DefaultParagraphFont"/>
    <w:uiPriority w:val="32"/>
    <w:qFormat/>
    <w:rsid w:val="00D62D6A"/>
    <w:rPr>
      <w:b/>
      <w:bCs/>
      <w:smallCaps/>
      <w:color w:val="0F4761" w:themeColor="accent1" w:themeShade="BF"/>
      <w:spacing w:val="5"/>
    </w:rPr>
  </w:style>
  <w:style w:type="table" w:styleId="TableGrid">
    <w:name w:val="Table Grid"/>
    <w:basedOn w:val="TableNormal"/>
    <w:uiPriority w:val="39"/>
    <w:rsid w:val="007D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72F8D"/>
  </w:style>
  <w:style w:type="character" w:styleId="Hyperlink">
    <w:name w:val="Hyperlink"/>
    <w:basedOn w:val="DefaultParagraphFont"/>
    <w:uiPriority w:val="99"/>
    <w:unhideWhenUsed/>
    <w:rsid w:val="00BC5BAD"/>
    <w:rPr>
      <w:color w:val="467886" w:themeColor="hyperlink"/>
      <w:u w:val="single"/>
    </w:rPr>
  </w:style>
  <w:style w:type="character" w:styleId="UnresolvedMention">
    <w:name w:val="Unresolved Mention"/>
    <w:basedOn w:val="DefaultParagraphFont"/>
    <w:uiPriority w:val="99"/>
    <w:semiHidden/>
    <w:unhideWhenUsed/>
    <w:rsid w:val="00BC5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67581">
      <w:bodyDiv w:val="1"/>
      <w:marLeft w:val="0"/>
      <w:marRight w:val="0"/>
      <w:marTop w:val="0"/>
      <w:marBottom w:val="0"/>
      <w:divBdr>
        <w:top w:val="none" w:sz="0" w:space="0" w:color="auto"/>
        <w:left w:val="none" w:sz="0" w:space="0" w:color="auto"/>
        <w:bottom w:val="none" w:sz="0" w:space="0" w:color="auto"/>
        <w:right w:val="none" w:sz="0" w:space="0" w:color="auto"/>
      </w:divBdr>
    </w:div>
    <w:div w:id="684131726">
      <w:bodyDiv w:val="1"/>
      <w:marLeft w:val="0"/>
      <w:marRight w:val="0"/>
      <w:marTop w:val="0"/>
      <w:marBottom w:val="0"/>
      <w:divBdr>
        <w:top w:val="none" w:sz="0" w:space="0" w:color="auto"/>
        <w:left w:val="none" w:sz="0" w:space="0" w:color="auto"/>
        <w:bottom w:val="none" w:sz="0" w:space="0" w:color="auto"/>
        <w:right w:val="none" w:sz="0" w:space="0" w:color="auto"/>
      </w:divBdr>
    </w:div>
    <w:div w:id="1572234635">
      <w:bodyDiv w:val="1"/>
      <w:marLeft w:val="0"/>
      <w:marRight w:val="0"/>
      <w:marTop w:val="0"/>
      <w:marBottom w:val="0"/>
      <w:divBdr>
        <w:top w:val="none" w:sz="0" w:space="0" w:color="auto"/>
        <w:left w:val="none" w:sz="0" w:space="0" w:color="auto"/>
        <w:bottom w:val="none" w:sz="0" w:space="0" w:color="auto"/>
        <w:right w:val="none" w:sz="0" w:space="0" w:color="auto"/>
      </w:divBdr>
    </w:div>
    <w:div w:id="1788425173">
      <w:bodyDiv w:val="1"/>
      <w:marLeft w:val="0"/>
      <w:marRight w:val="0"/>
      <w:marTop w:val="0"/>
      <w:marBottom w:val="0"/>
      <w:divBdr>
        <w:top w:val="none" w:sz="0" w:space="0" w:color="auto"/>
        <w:left w:val="none" w:sz="0" w:space="0" w:color="auto"/>
        <w:bottom w:val="none" w:sz="0" w:space="0" w:color="auto"/>
        <w:right w:val="none" w:sz="0" w:space="0" w:color="auto"/>
      </w:divBdr>
    </w:div>
    <w:div w:id="1944342759">
      <w:bodyDiv w:val="1"/>
      <w:marLeft w:val="0"/>
      <w:marRight w:val="0"/>
      <w:marTop w:val="0"/>
      <w:marBottom w:val="0"/>
      <w:divBdr>
        <w:top w:val="none" w:sz="0" w:space="0" w:color="auto"/>
        <w:left w:val="none" w:sz="0" w:space="0" w:color="auto"/>
        <w:bottom w:val="none" w:sz="0" w:space="0" w:color="auto"/>
        <w:right w:val="none" w:sz="0" w:space="0" w:color="auto"/>
      </w:divBdr>
    </w:div>
    <w:div w:id="19621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iepirkumacelved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cf-andza\Downloads\&#353;eit" TargetMode="External"/><Relationship Id="rId4" Type="http://schemas.openxmlformats.org/officeDocument/2006/relationships/numbering" Target="numbering.xml"/><Relationship Id="rId9" Type="http://schemas.openxmlformats.org/officeDocument/2006/relationships/hyperlink" Target="https://www.iub.gov.lv/lv/1-vajadziba-tirgus-izpeteligum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0CD37-C253-4E1E-B40A-D00FA545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E53F7-53DB-4DEE-9741-0EFF5B4231E5}">
  <ds:schemaRefs>
    <ds:schemaRef ds:uri="http://purl.org/dc/elements/1.1/"/>
    <ds:schemaRef ds:uri="http://schemas.microsoft.com/office/2006/metadata/properties"/>
    <ds:schemaRef ds:uri="http://schemas.openxmlformats.org/package/2006/metadata/core-properties"/>
    <ds:schemaRef ds:uri="42144e59-5907-413f-b624-803f3a022d9b"/>
    <ds:schemaRef ds:uri="25a75a1d-8b78-49a6-8e4b-dbe94589a28d"/>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1C3CC615-040D-448E-95C3-A3E8FD4D0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3470</Words>
  <Characters>1978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Boboviča</dc:creator>
  <cp:keywords/>
  <dc:description/>
  <cp:lastModifiedBy>Solvita Šurma</cp:lastModifiedBy>
  <cp:revision>2</cp:revision>
  <dcterms:created xsi:type="dcterms:W3CDTF">2024-10-14T09:49:00Z</dcterms:created>
  <dcterms:modified xsi:type="dcterms:W3CDTF">2024-10-14T09:49:00Z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