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3AAAD223" w:rsidR="008E3A62" w:rsidRDefault="00D407E4" w:rsidP="09584CB2">
      <w:pPr>
        <w:jc w:val="center"/>
        <w:rPr>
          <w:rFonts w:ascii="Times New Roman" w:hAnsi="Times New Roman" w:cs="Times New Roman"/>
          <w:b/>
          <w:bCs/>
          <w:sz w:val="40"/>
          <w:szCs w:val="40"/>
        </w:rPr>
      </w:pPr>
      <w:r w:rsidRPr="00D407E4">
        <w:rPr>
          <w:rFonts w:ascii="Times New Roman" w:hAnsi="Times New Roman" w:cs="Times New Roman"/>
          <w:b/>
          <w:bCs/>
          <w:sz w:val="40"/>
          <w:szCs w:val="40"/>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p>
    <w:p w14:paraId="6A92A98E" w14:textId="12201BCF" w:rsidR="0024051E" w:rsidRDefault="008E3A62" w:rsidP="0024051E">
      <w:pPr>
        <w:jc w:val="center"/>
        <w:rPr>
          <w:rFonts w:ascii="Times New Roman" w:hAnsi="Times New Roman" w:cs="Times New Roman"/>
          <w:b/>
          <w:bCs/>
          <w:sz w:val="40"/>
          <w:szCs w:val="40"/>
        </w:rPr>
      </w:pPr>
      <w:r w:rsidRPr="518E43D3">
        <w:rPr>
          <w:rFonts w:ascii="Times New Roman" w:hAnsi="Times New Roman" w:cs="Times New Roman"/>
          <w:b/>
          <w:bCs/>
          <w:sz w:val="40"/>
          <w:szCs w:val="40"/>
        </w:rPr>
        <w:t>i</w:t>
      </w:r>
      <w:r w:rsidR="0024051E" w:rsidRPr="518E43D3">
        <w:rPr>
          <w:rFonts w:ascii="Times New Roman" w:hAnsi="Times New Roman" w:cs="Times New Roman"/>
          <w:b/>
          <w:bCs/>
          <w:sz w:val="40"/>
          <w:szCs w:val="40"/>
        </w:rPr>
        <w:t>zmaksu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C9F0539" w14:textId="77777777" w:rsidR="005032D4" w:rsidRDefault="005032D4"/>
    <w:p w14:paraId="10F59835" w14:textId="38DCF17C" w:rsidR="0024051E" w:rsidRDefault="0024051E"/>
    <w:p w14:paraId="0C5FDDE6" w14:textId="54D071A2" w:rsidR="0024051E" w:rsidRDefault="0024051E"/>
    <w:p w14:paraId="5BA42CB7" w14:textId="445452A7" w:rsidR="0024051E" w:rsidRDefault="0024051E"/>
    <w:p w14:paraId="570FBD86" w14:textId="4107B8A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155011">
        <w:rPr>
          <w:rFonts w:ascii="Times New Roman" w:hAnsi="Times New Roman" w:cs="Times New Roman"/>
          <w:b/>
          <w:sz w:val="28"/>
          <w:szCs w:val="28"/>
        </w:rPr>
        <w:t>02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155011">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7D2B311" w14:textId="47704DBD" w:rsidR="00D410DD"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2266395" w:history="1">
            <w:r w:rsidR="00D410DD" w:rsidRPr="006D7B54">
              <w:rPr>
                <w:rStyle w:val="Hyperlink"/>
                <w:rFonts w:ascii="Times New Roman" w:hAnsi="Times New Roman" w:cs="Times New Roman"/>
                <w:b/>
                <w:bCs/>
                <w:noProof/>
              </w:rPr>
              <w:t>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_Toc152266395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192C7E1A" w14:textId="6EFF2884" w:rsidR="00D410DD" w:rsidRDefault="00FD155C">
          <w:pPr>
            <w:pStyle w:val="TOC1"/>
            <w:rPr>
              <w:rFonts w:eastAsiaTheme="minorEastAsia"/>
              <w:noProof/>
              <w:kern w:val="2"/>
              <w:lang w:eastAsia="lv-LV"/>
              <w14:ligatures w14:val="standardContextual"/>
            </w:rPr>
          </w:pPr>
          <w:hyperlink w:anchor="_Toc152266396" w:history="1">
            <w:r w:rsidR="00D410DD" w:rsidRPr="006D7B54">
              <w:rPr>
                <w:rStyle w:val="Hyperlink"/>
                <w:rFonts w:ascii="Times New Roman" w:hAnsi="Times New Roman" w:cs="Times New Roman"/>
                <w:b/>
                <w:bCs/>
                <w:noProof/>
              </w:rPr>
              <w:t>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Normatīvo aktu bāze izmaksu un ieguvumu analīzes izstrādei</w:t>
            </w:r>
            <w:r w:rsidR="00D410DD">
              <w:rPr>
                <w:noProof/>
                <w:webHidden/>
              </w:rPr>
              <w:tab/>
            </w:r>
            <w:r w:rsidR="00D410DD">
              <w:rPr>
                <w:noProof/>
                <w:webHidden/>
              </w:rPr>
              <w:fldChar w:fldCharType="begin"/>
            </w:r>
            <w:r w:rsidR="00D410DD">
              <w:rPr>
                <w:noProof/>
                <w:webHidden/>
              </w:rPr>
              <w:instrText xml:space="preserve"> PAGEREF _Toc152266396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5AEE66A3" w14:textId="669F4F26" w:rsidR="00D410DD" w:rsidRDefault="00FD155C">
          <w:pPr>
            <w:pStyle w:val="TOC1"/>
            <w:rPr>
              <w:rFonts w:eastAsiaTheme="minorEastAsia"/>
              <w:noProof/>
              <w:kern w:val="2"/>
              <w:lang w:eastAsia="lv-LV"/>
              <w14:ligatures w14:val="standardContextual"/>
            </w:rPr>
          </w:pPr>
          <w:hyperlink w:anchor="_Toc152266397" w:history="1">
            <w:r w:rsidR="00D410DD" w:rsidRPr="006D7B54">
              <w:rPr>
                <w:rStyle w:val="Hyperlink"/>
                <w:rFonts w:ascii="Times New Roman" w:hAnsi="Times New Roman" w:cs="Times New Roman"/>
                <w:b/>
                <w:bCs/>
                <w:noProof/>
              </w:rPr>
              <w:t>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būtība, mērķi un pamatprincipi</w:t>
            </w:r>
            <w:r w:rsidR="00D410DD">
              <w:rPr>
                <w:noProof/>
                <w:webHidden/>
              </w:rPr>
              <w:tab/>
            </w:r>
            <w:r w:rsidR="00D410DD">
              <w:rPr>
                <w:noProof/>
                <w:webHidden/>
              </w:rPr>
              <w:fldChar w:fldCharType="begin"/>
            </w:r>
            <w:r w:rsidR="00D410DD">
              <w:rPr>
                <w:noProof/>
                <w:webHidden/>
              </w:rPr>
              <w:instrText xml:space="preserve"> PAGEREF _Toc152266397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06E46817" w14:textId="2C783862" w:rsidR="00D410DD" w:rsidRDefault="00FD155C">
          <w:pPr>
            <w:pStyle w:val="TOC1"/>
            <w:rPr>
              <w:rFonts w:eastAsiaTheme="minorEastAsia"/>
              <w:noProof/>
              <w:kern w:val="2"/>
              <w:lang w:eastAsia="lv-LV"/>
              <w14:ligatures w14:val="standardContextual"/>
            </w:rPr>
          </w:pPr>
          <w:hyperlink w:anchor="_Toc152266398" w:history="1">
            <w:r w:rsidR="00D410DD" w:rsidRPr="006D7B54">
              <w:rPr>
                <w:rStyle w:val="Hyperlink"/>
                <w:rFonts w:ascii="Times New Roman" w:hAnsi="Times New Roman" w:cs="Times New Roman"/>
                <w:b/>
                <w:bCs/>
                <w:noProof/>
              </w:rPr>
              <w:t>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izstrāde un saturs</w:t>
            </w:r>
            <w:r w:rsidR="00D410DD">
              <w:rPr>
                <w:noProof/>
                <w:webHidden/>
              </w:rPr>
              <w:tab/>
            </w:r>
            <w:r w:rsidR="00D410DD">
              <w:rPr>
                <w:noProof/>
                <w:webHidden/>
              </w:rPr>
              <w:fldChar w:fldCharType="begin"/>
            </w:r>
            <w:r w:rsidR="00D410DD">
              <w:rPr>
                <w:noProof/>
                <w:webHidden/>
              </w:rPr>
              <w:instrText xml:space="preserve"> PAGEREF _Toc152266398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0379EAEA" w14:textId="2D63BCB6" w:rsidR="00D410DD" w:rsidRDefault="00FD155C">
          <w:pPr>
            <w:pStyle w:val="TOC1"/>
            <w:rPr>
              <w:rFonts w:eastAsiaTheme="minorEastAsia"/>
              <w:noProof/>
              <w:kern w:val="2"/>
              <w:lang w:eastAsia="lv-LV"/>
              <w14:ligatures w14:val="standardContextual"/>
            </w:rPr>
          </w:pPr>
          <w:hyperlink w:anchor="_Toc152266399" w:history="1">
            <w:r w:rsidR="00D410DD" w:rsidRPr="006D7B54">
              <w:rPr>
                <w:rStyle w:val="Hyperlink"/>
                <w:rFonts w:ascii="Times New Roman" w:hAnsi="Times New Roman" w:cs="Times New Roman"/>
                <w:b/>
                <w:bCs/>
                <w:noProof/>
              </w:rPr>
              <w:t>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_Toc152266399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7735BB17" w14:textId="4C6CDA05" w:rsidR="00D410DD" w:rsidRDefault="00FD155C">
          <w:pPr>
            <w:pStyle w:val="TOC1"/>
            <w:rPr>
              <w:rFonts w:eastAsiaTheme="minorEastAsia"/>
              <w:noProof/>
              <w:kern w:val="2"/>
              <w:lang w:eastAsia="lv-LV"/>
              <w14:ligatures w14:val="standardContextual"/>
            </w:rPr>
          </w:pPr>
          <w:hyperlink w:anchor="_Toc152266400" w:history="1">
            <w:r w:rsidR="00D410DD" w:rsidRPr="006D7B54">
              <w:rPr>
                <w:rStyle w:val="Hyperlink"/>
                <w:rFonts w:ascii="Times New Roman" w:hAnsi="Times New Roman" w:cs="Times New Roman"/>
                <w:b/>
                <w:bCs/>
                <w:noProof/>
              </w:rPr>
              <w:t>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aprēķinu izklājlapās norādāmā informācija</w:t>
            </w:r>
            <w:r w:rsidR="00D410DD">
              <w:rPr>
                <w:noProof/>
                <w:webHidden/>
              </w:rPr>
              <w:tab/>
            </w:r>
            <w:r w:rsidR="00D410DD">
              <w:rPr>
                <w:noProof/>
                <w:webHidden/>
              </w:rPr>
              <w:fldChar w:fldCharType="begin"/>
            </w:r>
            <w:r w:rsidR="00D410DD">
              <w:rPr>
                <w:noProof/>
                <w:webHidden/>
              </w:rPr>
              <w:instrText xml:space="preserve"> PAGEREF _Toc152266400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63576860" w14:textId="4B2942E0" w:rsidR="00D410DD" w:rsidRDefault="00FD155C">
          <w:pPr>
            <w:pStyle w:val="TOC1"/>
            <w:tabs>
              <w:tab w:val="left" w:pos="880"/>
            </w:tabs>
            <w:rPr>
              <w:rFonts w:eastAsiaTheme="minorEastAsia"/>
              <w:noProof/>
              <w:kern w:val="2"/>
              <w:lang w:eastAsia="lv-LV"/>
              <w14:ligatures w14:val="standardContextual"/>
            </w:rPr>
          </w:pPr>
          <w:hyperlink w:anchor="_Toc152266401" w:history="1">
            <w:r w:rsidR="00D410DD" w:rsidRPr="006D7B54">
              <w:rPr>
                <w:rStyle w:val="Hyperlink"/>
                <w:rFonts w:ascii="Times New Roman" w:hAnsi="Times New Roman" w:cs="Times New Roman"/>
                <w:b/>
                <w:bCs/>
                <w:noProof/>
              </w:rPr>
              <w:t>2.2.1.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Dati par projektu</w:t>
            </w:r>
            <w:r w:rsidR="00D410DD">
              <w:rPr>
                <w:noProof/>
                <w:webHidden/>
              </w:rPr>
              <w:tab/>
            </w:r>
            <w:r w:rsidR="00D410DD">
              <w:rPr>
                <w:noProof/>
                <w:webHidden/>
              </w:rPr>
              <w:fldChar w:fldCharType="begin"/>
            </w:r>
            <w:r w:rsidR="00D410DD">
              <w:rPr>
                <w:noProof/>
                <w:webHidden/>
              </w:rPr>
              <w:instrText xml:space="preserve"> PAGEREF _Toc152266401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2B4C1101" w14:textId="209F5231" w:rsidR="00D410DD" w:rsidRDefault="00FD155C">
          <w:pPr>
            <w:pStyle w:val="TOC1"/>
            <w:tabs>
              <w:tab w:val="left" w:pos="880"/>
            </w:tabs>
            <w:rPr>
              <w:rFonts w:eastAsiaTheme="minorEastAsia"/>
              <w:noProof/>
              <w:kern w:val="2"/>
              <w:lang w:eastAsia="lv-LV"/>
              <w14:ligatures w14:val="standardContextual"/>
            </w:rPr>
          </w:pPr>
          <w:hyperlink w:anchor="_Toc152266402" w:history="1">
            <w:r w:rsidR="00D410DD" w:rsidRPr="006D7B54">
              <w:rPr>
                <w:rStyle w:val="Hyperlink"/>
                <w:rFonts w:ascii="Times New Roman" w:hAnsi="Times New Roman" w:cs="Times New Roman"/>
                <w:b/>
                <w:bCs/>
                <w:noProof/>
              </w:rPr>
              <w:t>2.2.2.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investīciju izmaksas</w:t>
            </w:r>
            <w:r w:rsidR="00D410DD">
              <w:rPr>
                <w:noProof/>
                <w:webHidden/>
              </w:rPr>
              <w:tab/>
            </w:r>
            <w:r w:rsidR="00D410DD">
              <w:rPr>
                <w:noProof/>
                <w:webHidden/>
              </w:rPr>
              <w:fldChar w:fldCharType="begin"/>
            </w:r>
            <w:r w:rsidR="00D410DD">
              <w:rPr>
                <w:noProof/>
                <w:webHidden/>
              </w:rPr>
              <w:instrText xml:space="preserve"> PAGEREF _Toc152266402 \h </w:instrText>
            </w:r>
            <w:r w:rsidR="00D410DD">
              <w:rPr>
                <w:noProof/>
                <w:webHidden/>
              </w:rPr>
            </w:r>
            <w:r w:rsidR="00D410DD">
              <w:rPr>
                <w:noProof/>
                <w:webHidden/>
              </w:rPr>
              <w:fldChar w:fldCharType="separate"/>
            </w:r>
            <w:r w:rsidR="0098023C">
              <w:rPr>
                <w:noProof/>
                <w:webHidden/>
              </w:rPr>
              <w:t>7</w:t>
            </w:r>
            <w:r w:rsidR="00D410DD">
              <w:rPr>
                <w:noProof/>
                <w:webHidden/>
              </w:rPr>
              <w:fldChar w:fldCharType="end"/>
            </w:r>
          </w:hyperlink>
        </w:p>
        <w:p w14:paraId="20351CF2" w14:textId="49D36700" w:rsidR="00D410DD" w:rsidRDefault="00FD155C">
          <w:pPr>
            <w:pStyle w:val="TOC1"/>
            <w:tabs>
              <w:tab w:val="left" w:pos="880"/>
            </w:tabs>
            <w:rPr>
              <w:rFonts w:eastAsiaTheme="minorEastAsia"/>
              <w:noProof/>
              <w:kern w:val="2"/>
              <w:lang w:eastAsia="lv-LV"/>
              <w14:ligatures w14:val="standardContextual"/>
            </w:rPr>
          </w:pPr>
          <w:hyperlink w:anchor="_Toc152266403" w:history="1">
            <w:r w:rsidR="00D410DD" w:rsidRPr="006D7B54">
              <w:rPr>
                <w:rStyle w:val="Hyperlink"/>
                <w:rFonts w:ascii="Times New Roman" w:hAnsi="Times New Roman" w:cs="Times New Roman"/>
                <w:b/>
                <w:bCs/>
                <w:noProof/>
              </w:rPr>
              <w:t>2.2.3.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bez projekta</w:t>
            </w:r>
            <w:r w:rsidR="00D410DD">
              <w:rPr>
                <w:noProof/>
                <w:webHidden/>
              </w:rPr>
              <w:tab/>
            </w:r>
            <w:r w:rsidR="00D410DD">
              <w:rPr>
                <w:noProof/>
                <w:webHidden/>
              </w:rPr>
              <w:fldChar w:fldCharType="begin"/>
            </w:r>
            <w:r w:rsidR="00D410DD">
              <w:rPr>
                <w:noProof/>
                <w:webHidden/>
              </w:rPr>
              <w:instrText xml:space="preserve"> PAGEREF _Toc152266403 \h </w:instrText>
            </w:r>
            <w:r w:rsidR="00D410DD">
              <w:rPr>
                <w:noProof/>
                <w:webHidden/>
              </w:rPr>
            </w:r>
            <w:r w:rsidR="00D410DD">
              <w:rPr>
                <w:noProof/>
                <w:webHidden/>
              </w:rPr>
              <w:fldChar w:fldCharType="separate"/>
            </w:r>
            <w:r w:rsidR="0098023C">
              <w:rPr>
                <w:noProof/>
                <w:webHidden/>
              </w:rPr>
              <w:t>9</w:t>
            </w:r>
            <w:r w:rsidR="00D410DD">
              <w:rPr>
                <w:noProof/>
                <w:webHidden/>
              </w:rPr>
              <w:fldChar w:fldCharType="end"/>
            </w:r>
          </w:hyperlink>
        </w:p>
        <w:p w14:paraId="30A431A1" w14:textId="73206EAC" w:rsidR="00D410DD" w:rsidRDefault="00FD155C">
          <w:pPr>
            <w:pStyle w:val="TOC1"/>
            <w:tabs>
              <w:tab w:val="left" w:pos="880"/>
            </w:tabs>
            <w:rPr>
              <w:rFonts w:eastAsiaTheme="minorEastAsia"/>
              <w:noProof/>
              <w:kern w:val="2"/>
              <w:lang w:eastAsia="lv-LV"/>
              <w14:ligatures w14:val="standardContextual"/>
            </w:rPr>
          </w:pPr>
          <w:hyperlink w:anchor="_Toc152266404" w:history="1">
            <w:r w:rsidR="00D410DD" w:rsidRPr="006D7B54">
              <w:rPr>
                <w:rStyle w:val="Hyperlink"/>
                <w:rFonts w:ascii="Times New Roman" w:hAnsi="Times New Roman" w:cs="Times New Roman"/>
                <w:b/>
                <w:bCs/>
                <w:noProof/>
              </w:rPr>
              <w:t>2.2.4.</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ar projektu</w:t>
            </w:r>
            <w:r w:rsidR="00D410DD">
              <w:rPr>
                <w:noProof/>
                <w:webHidden/>
              </w:rPr>
              <w:tab/>
            </w:r>
            <w:r w:rsidR="00D410DD">
              <w:rPr>
                <w:noProof/>
                <w:webHidden/>
              </w:rPr>
              <w:fldChar w:fldCharType="begin"/>
            </w:r>
            <w:r w:rsidR="00D410DD">
              <w:rPr>
                <w:noProof/>
                <w:webHidden/>
              </w:rPr>
              <w:instrText xml:space="preserve"> PAGEREF _Toc152266404 \h </w:instrText>
            </w:r>
            <w:r w:rsidR="00D410DD">
              <w:rPr>
                <w:noProof/>
                <w:webHidden/>
              </w:rPr>
            </w:r>
            <w:r w:rsidR="00D410DD">
              <w:rPr>
                <w:noProof/>
                <w:webHidden/>
              </w:rPr>
              <w:fldChar w:fldCharType="separate"/>
            </w:r>
            <w:r w:rsidR="0098023C">
              <w:rPr>
                <w:noProof/>
                <w:webHidden/>
              </w:rPr>
              <w:t>10</w:t>
            </w:r>
            <w:r w:rsidR="00D410DD">
              <w:rPr>
                <w:noProof/>
                <w:webHidden/>
              </w:rPr>
              <w:fldChar w:fldCharType="end"/>
            </w:r>
          </w:hyperlink>
        </w:p>
        <w:p w14:paraId="2610AC6E" w14:textId="5C61C4B5" w:rsidR="00D410DD" w:rsidRDefault="00FD155C">
          <w:pPr>
            <w:pStyle w:val="TOC1"/>
            <w:tabs>
              <w:tab w:val="left" w:pos="880"/>
            </w:tabs>
            <w:rPr>
              <w:rFonts w:eastAsiaTheme="minorEastAsia"/>
              <w:noProof/>
              <w:kern w:val="2"/>
              <w:lang w:eastAsia="lv-LV"/>
              <w14:ligatures w14:val="standardContextual"/>
            </w:rPr>
          </w:pPr>
          <w:hyperlink w:anchor="_Toc152266405" w:history="1">
            <w:r w:rsidR="00D410DD" w:rsidRPr="006D7B54">
              <w:rPr>
                <w:rStyle w:val="Hyperlink"/>
                <w:rFonts w:ascii="Times New Roman" w:hAnsi="Times New Roman" w:cs="Times New Roman"/>
                <w:b/>
                <w:bCs/>
                <w:noProof/>
              </w:rPr>
              <w:t>2.2.5.</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Finansiālā ilgtspēja</w:t>
            </w:r>
            <w:r w:rsidR="00D410DD">
              <w:rPr>
                <w:noProof/>
                <w:webHidden/>
              </w:rPr>
              <w:tab/>
            </w:r>
            <w:r w:rsidR="00D410DD">
              <w:rPr>
                <w:noProof/>
                <w:webHidden/>
              </w:rPr>
              <w:fldChar w:fldCharType="begin"/>
            </w:r>
            <w:r w:rsidR="00D410DD">
              <w:rPr>
                <w:noProof/>
                <w:webHidden/>
              </w:rPr>
              <w:instrText xml:space="preserve"> PAGEREF _Toc152266405 \h </w:instrText>
            </w:r>
            <w:r w:rsidR="00D410DD">
              <w:rPr>
                <w:noProof/>
                <w:webHidden/>
              </w:rPr>
            </w:r>
            <w:r w:rsidR="00D410DD">
              <w:rPr>
                <w:noProof/>
                <w:webHidden/>
              </w:rPr>
              <w:fldChar w:fldCharType="separate"/>
            </w:r>
            <w:r w:rsidR="0098023C">
              <w:rPr>
                <w:noProof/>
                <w:webHidden/>
              </w:rPr>
              <w:t>11</w:t>
            </w:r>
            <w:r w:rsidR="00D410DD">
              <w:rPr>
                <w:noProof/>
                <w:webHidden/>
              </w:rPr>
              <w:fldChar w:fldCharType="end"/>
            </w:r>
          </w:hyperlink>
        </w:p>
        <w:p w14:paraId="68B3C19D" w14:textId="1BD2AE27" w:rsidR="00D410DD" w:rsidRDefault="00FD155C">
          <w:pPr>
            <w:pStyle w:val="TOC1"/>
            <w:tabs>
              <w:tab w:val="left" w:pos="880"/>
            </w:tabs>
            <w:rPr>
              <w:rFonts w:eastAsiaTheme="minorEastAsia"/>
              <w:noProof/>
              <w:kern w:val="2"/>
              <w:lang w:eastAsia="lv-LV"/>
              <w14:ligatures w14:val="standardContextual"/>
            </w:rPr>
          </w:pPr>
          <w:hyperlink w:anchor="_Toc152266406" w:history="1">
            <w:r w:rsidR="00D410DD" w:rsidRPr="006D7B54">
              <w:rPr>
                <w:rStyle w:val="Hyperlink"/>
                <w:rFonts w:ascii="Times New Roman" w:hAnsi="Times New Roman" w:cs="Times New Roman"/>
                <w:b/>
                <w:bCs/>
                <w:noProof/>
              </w:rPr>
              <w:t>2.2.6.</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 analīze</w:t>
            </w:r>
            <w:r w:rsidR="00D410DD">
              <w:rPr>
                <w:noProof/>
                <w:webHidden/>
              </w:rPr>
              <w:tab/>
            </w:r>
            <w:r w:rsidR="00D410DD">
              <w:rPr>
                <w:noProof/>
                <w:webHidden/>
              </w:rPr>
              <w:fldChar w:fldCharType="begin"/>
            </w:r>
            <w:r w:rsidR="00D410DD">
              <w:rPr>
                <w:noProof/>
                <w:webHidden/>
              </w:rPr>
              <w:instrText xml:space="preserve"> PAGEREF _Toc152266406 \h </w:instrText>
            </w:r>
            <w:r w:rsidR="00D410DD">
              <w:rPr>
                <w:noProof/>
                <w:webHidden/>
              </w:rPr>
            </w:r>
            <w:r w:rsidR="00D410DD">
              <w:rPr>
                <w:noProof/>
                <w:webHidden/>
              </w:rPr>
              <w:fldChar w:fldCharType="separate"/>
            </w:r>
            <w:r w:rsidR="0098023C">
              <w:rPr>
                <w:noProof/>
                <w:webHidden/>
              </w:rPr>
              <w:t>12</w:t>
            </w:r>
            <w:r w:rsidR="00D410DD">
              <w:rPr>
                <w:noProof/>
                <w:webHidden/>
              </w:rPr>
              <w:fldChar w:fldCharType="end"/>
            </w:r>
          </w:hyperlink>
        </w:p>
        <w:p w14:paraId="53179314" w14:textId="3BAEF849" w:rsidR="00D410DD" w:rsidRDefault="00FD155C">
          <w:pPr>
            <w:pStyle w:val="TOC1"/>
            <w:tabs>
              <w:tab w:val="left" w:pos="880"/>
            </w:tabs>
            <w:rPr>
              <w:rFonts w:eastAsiaTheme="minorEastAsia"/>
              <w:noProof/>
              <w:kern w:val="2"/>
              <w:lang w:eastAsia="lv-LV"/>
              <w14:ligatures w14:val="standardContextual"/>
            </w:rPr>
          </w:pPr>
          <w:hyperlink w:anchor="_Toc152266407" w:history="1">
            <w:r w:rsidR="00D410DD" w:rsidRPr="006D7B54">
              <w:rPr>
                <w:rStyle w:val="Hyperlink"/>
                <w:rFonts w:ascii="Times New Roman" w:hAnsi="Times New Roman" w:cs="Times New Roman"/>
                <w:b/>
                <w:bCs/>
                <w:noProof/>
              </w:rPr>
              <w:t>2.2.7.</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Finanšu analīze</w:t>
            </w:r>
            <w:r w:rsidR="00D410DD">
              <w:rPr>
                <w:noProof/>
                <w:webHidden/>
              </w:rPr>
              <w:tab/>
            </w:r>
            <w:r w:rsidR="00D410DD">
              <w:rPr>
                <w:noProof/>
                <w:webHidden/>
              </w:rPr>
              <w:fldChar w:fldCharType="begin"/>
            </w:r>
            <w:r w:rsidR="00D410DD">
              <w:rPr>
                <w:noProof/>
                <w:webHidden/>
              </w:rPr>
              <w:instrText xml:space="preserve"> PAGEREF _Toc152266407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4A724773" w14:textId="71FE1C68" w:rsidR="00D410DD" w:rsidRDefault="00FD155C">
          <w:pPr>
            <w:pStyle w:val="TOC1"/>
            <w:tabs>
              <w:tab w:val="left" w:pos="880"/>
            </w:tabs>
            <w:rPr>
              <w:rFonts w:eastAsiaTheme="minorEastAsia"/>
              <w:noProof/>
              <w:kern w:val="2"/>
              <w:lang w:eastAsia="lv-LV"/>
              <w14:ligatures w14:val="standardContextual"/>
            </w:rPr>
          </w:pPr>
          <w:hyperlink w:anchor="_Toc152266408" w:history="1">
            <w:r w:rsidR="00D410DD" w:rsidRPr="006D7B54">
              <w:rPr>
                <w:rStyle w:val="Hyperlink"/>
                <w:rFonts w:ascii="Times New Roman" w:hAnsi="Times New Roman" w:cs="Times New Roman"/>
                <w:b/>
                <w:bCs/>
                <w:noProof/>
              </w:rPr>
              <w:t>2.2.8.</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Sociālekonomiskās analīzes jutīguma analīze</w:t>
            </w:r>
            <w:r w:rsidR="00D410DD">
              <w:rPr>
                <w:noProof/>
                <w:webHidden/>
              </w:rPr>
              <w:tab/>
            </w:r>
            <w:r w:rsidR="00D410DD">
              <w:rPr>
                <w:noProof/>
                <w:webHidden/>
              </w:rPr>
              <w:fldChar w:fldCharType="begin"/>
            </w:r>
            <w:r w:rsidR="00D410DD">
              <w:rPr>
                <w:noProof/>
                <w:webHidden/>
              </w:rPr>
              <w:instrText xml:space="preserve"> PAGEREF _Toc152266408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1D2BD0CF" w14:textId="7BEB5924" w:rsidR="00D410DD" w:rsidRDefault="00FD155C">
          <w:pPr>
            <w:pStyle w:val="TOC1"/>
            <w:tabs>
              <w:tab w:val="left" w:pos="880"/>
            </w:tabs>
            <w:rPr>
              <w:rFonts w:eastAsiaTheme="minorEastAsia"/>
              <w:noProof/>
              <w:kern w:val="2"/>
              <w:lang w:eastAsia="lv-LV"/>
              <w14:ligatures w14:val="standardContextual"/>
            </w:rPr>
          </w:pPr>
          <w:hyperlink w:anchor="_Toc152266409" w:history="1">
            <w:r w:rsidR="00D410DD" w:rsidRPr="006D7B54">
              <w:rPr>
                <w:rStyle w:val="Hyperlink"/>
                <w:rFonts w:ascii="Times New Roman" w:hAnsi="Times New Roman" w:cs="Times New Roman"/>
                <w:b/>
                <w:bCs/>
                <w:noProof/>
              </w:rPr>
              <w:t>2.2.9.</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“Finansējuma sadalījums pa avotiem”</w:t>
            </w:r>
            <w:r w:rsidR="00D410DD">
              <w:rPr>
                <w:noProof/>
                <w:webHidden/>
              </w:rPr>
              <w:tab/>
            </w:r>
            <w:r w:rsidR="00D410DD">
              <w:rPr>
                <w:noProof/>
                <w:webHidden/>
              </w:rPr>
              <w:fldChar w:fldCharType="begin"/>
            </w:r>
            <w:r w:rsidR="00D410DD">
              <w:rPr>
                <w:noProof/>
                <w:webHidden/>
              </w:rPr>
              <w:instrText xml:space="preserve"> PAGEREF _Toc152266409 \h </w:instrText>
            </w:r>
            <w:r w:rsidR="00D410DD">
              <w:rPr>
                <w:noProof/>
                <w:webHidden/>
              </w:rPr>
            </w:r>
            <w:r w:rsidR="00D410DD">
              <w:rPr>
                <w:noProof/>
                <w:webHidden/>
              </w:rPr>
              <w:fldChar w:fldCharType="separate"/>
            </w:r>
            <w:r w:rsidR="0098023C">
              <w:rPr>
                <w:noProof/>
                <w:webHidden/>
              </w:rPr>
              <w:t>15</w:t>
            </w:r>
            <w:r w:rsidR="00D410DD">
              <w:rPr>
                <w:noProof/>
                <w:webHidden/>
              </w:rPr>
              <w:fldChar w:fldCharType="end"/>
            </w:r>
          </w:hyperlink>
        </w:p>
        <w:p w14:paraId="34F65A5C" w14:textId="2206078B" w:rsidR="00D410DD" w:rsidRDefault="00FD155C">
          <w:pPr>
            <w:pStyle w:val="TOC1"/>
            <w:tabs>
              <w:tab w:val="left" w:pos="880"/>
            </w:tabs>
            <w:rPr>
              <w:rFonts w:eastAsiaTheme="minorEastAsia"/>
              <w:noProof/>
              <w:kern w:val="2"/>
              <w:lang w:eastAsia="lv-LV"/>
              <w14:ligatures w14:val="standardContextual"/>
            </w:rPr>
          </w:pPr>
          <w:hyperlink w:anchor="_Toc152266410" w:history="1">
            <w:r w:rsidR="00D410DD" w:rsidRPr="006D7B54">
              <w:rPr>
                <w:rStyle w:val="Hyperlink"/>
                <w:rFonts w:ascii="Times New Roman" w:hAnsi="Times New Roman" w:cs="Times New Roman"/>
                <w:b/>
                <w:bCs/>
                <w:noProof/>
              </w:rPr>
              <w:t>2.2.10.</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“Projekta budžeta kopsavilkums”</w:t>
            </w:r>
            <w:r w:rsidR="00D410DD">
              <w:rPr>
                <w:noProof/>
                <w:webHidden/>
              </w:rPr>
              <w:tab/>
            </w:r>
            <w:r w:rsidR="00D410DD">
              <w:rPr>
                <w:noProof/>
                <w:webHidden/>
              </w:rPr>
              <w:fldChar w:fldCharType="begin"/>
            </w:r>
            <w:r w:rsidR="00D410DD">
              <w:rPr>
                <w:noProof/>
                <w:webHidden/>
              </w:rPr>
              <w:instrText xml:space="preserve"> PAGEREF _Toc152266410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69F547FF" w14:textId="59376902" w:rsidR="00D410DD" w:rsidRDefault="00FD155C">
          <w:pPr>
            <w:pStyle w:val="TOC1"/>
            <w:tabs>
              <w:tab w:val="left" w:pos="880"/>
            </w:tabs>
            <w:rPr>
              <w:rFonts w:eastAsiaTheme="minorEastAsia"/>
              <w:noProof/>
              <w:kern w:val="2"/>
              <w:lang w:eastAsia="lv-LV"/>
              <w14:ligatures w14:val="standardContextual"/>
            </w:rPr>
          </w:pPr>
          <w:hyperlink w:anchor="_Toc152266411" w:history="1">
            <w:r w:rsidR="00D410DD" w:rsidRPr="006D7B54">
              <w:rPr>
                <w:rStyle w:val="Hyperlink"/>
                <w:rFonts w:ascii="Times New Roman" w:hAnsi="Times New Roman" w:cs="Times New Roman"/>
                <w:b/>
                <w:bCs/>
                <w:noProof/>
              </w:rPr>
              <w:t>2.2.11.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MK noteikumu Nr.408 4.pielikums “Projekta izmaksu efektivitātes novērtējums”</w:t>
            </w:r>
            <w:r w:rsidR="00D410DD">
              <w:rPr>
                <w:noProof/>
                <w:webHidden/>
              </w:rPr>
              <w:tab/>
            </w:r>
            <w:r w:rsidR="00D410DD">
              <w:rPr>
                <w:noProof/>
                <w:webHidden/>
              </w:rPr>
              <w:fldChar w:fldCharType="begin"/>
            </w:r>
            <w:r w:rsidR="00D410DD">
              <w:rPr>
                <w:noProof/>
                <w:webHidden/>
              </w:rPr>
              <w:instrText xml:space="preserve"> PAGEREF _Toc152266411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01D7F3E8" w14:textId="14514726" w:rsidR="00D410DD" w:rsidRDefault="00FD155C">
          <w:pPr>
            <w:pStyle w:val="TOC1"/>
            <w:tabs>
              <w:tab w:val="left" w:pos="880"/>
            </w:tabs>
            <w:rPr>
              <w:rFonts w:eastAsiaTheme="minorEastAsia"/>
              <w:noProof/>
              <w:kern w:val="2"/>
              <w:lang w:eastAsia="lv-LV"/>
              <w14:ligatures w14:val="standardContextual"/>
            </w:rPr>
          </w:pPr>
          <w:hyperlink w:anchor="_Toc152266412" w:history="1">
            <w:r w:rsidR="00D410DD" w:rsidRPr="006D7B54">
              <w:rPr>
                <w:rStyle w:val="Hyperlink"/>
                <w:rFonts w:ascii="Times New Roman" w:hAnsi="Times New Roman" w:cs="Times New Roman"/>
                <w:b/>
                <w:bCs/>
                <w:noProof/>
              </w:rPr>
              <w:t>2.2.12.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Kontroles lapa</w:t>
            </w:r>
            <w:r w:rsidR="00D410DD">
              <w:rPr>
                <w:noProof/>
                <w:webHidden/>
              </w:rPr>
              <w:tab/>
            </w:r>
            <w:r w:rsidR="00D410DD">
              <w:rPr>
                <w:noProof/>
                <w:webHidden/>
              </w:rPr>
              <w:fldChar w:fldCharType="begin"/>
            </w:r>
            <w:r w:rsidR="00D410DD">
              <w:rPr>
                <w:noProof/>
                <w:webHidden/>
              </w:rPr>
              <w:instrText xml:space="preserve"> PAGEREF _Toc152266412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54B4BED5" w14:textId="68F62EAF" w:rsidR="00D410DD" w:rsidRDefault="00FD155C">
          <w:pPr>
            <w:pStyle w:val="TOC1"/>
            <w:tabs>
              <w:tab w:val="left" w:pos="880"/>
            </w:tabs>
            <w:rPr>
              <w:rFonts w:eastAsiaTheme="minorEastAsia"/>
              <w:noProof/>
              <w:kern w:val="2"/>
              <w:lang w:eastAsia="lv-LV"/>
              <w14:ligatures w14:val="standardContextual"/>
            </w:rPr>
          </w:pPr>
          <w:hyperlink w:anchor="_Toc152266413" w:history="1">
            <w:r w:rsidR="00D410DD" w:rsidRPr="006D7B54">
              <w:rPr>
                <w:rStyle w:val="Hyperlink"/>
                <w:rFonts w:ascii="Times New Roman" w:hAnsi="Times New Roman" w:cs="Times New Roman"/>
                <w:b/>
                <w:bCs/>
                <w:noProof/>
              </w:rPr>
              <w:t>2.2.13.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Pieņēmumi</w:t>
            </w:r>
            <w:r w:rsidR="00D410DD">
              <w:rPr>
                <w:noProof/>
                <w:webHidden/>
              </w:rPr>
              <w:tab/>
            </w:r>
            <w:r w:rsidR="00D410DD">
              <w:rPr>
                <w:noProof/>
                <w:webHidden/>
              </w:rPr>
              <w:fldChar w:fldCharType="begin"/>
            </w:r>
            <w:r w:rsidR="00D410DD">
              <w:rPr>
                <w:noProof/>
                <w:webHidden/>
              </w:rPr>
              <w:instrText xml:space="preserve"> PAGEREF _Toc152266413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0993A44F" w14:textId="3509CA0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12BB1C05" w14:textId="77777777" w:rsidR="001A53FA" w:rsidRDefault="001A53FA"/>
    <w:p w14:paraId="2A00E4AA" w14:textId="77777777" w:rsidR="001A53FA" w:rsidRDefault="001A53FA"/>
    <w:p w14:paraId="43A70840" w14:textId="79F46646"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2234045"/>
      <w:bookmarkStart w:id="2" w:name="_Toc152266395"/>
      <w:r w:rsidRPr="00514729">
        <w:rPr>
          <w:rFonts w:ascii="Times New Roman" w:hAnsi="Times New Roman" w:cs="Times New Roman"/>
          <w:b/>
          <w:bCs/>
          <w:color w:val="auto"/>
          <w:sz w:val="28"/>
          <w:szCs w:val="28"/>
        </w:rPr>
        <w:lastRenderedPageBreak/>
        <w:t>Vispārīgā informācija</w:t>
      </w:r>
      <w:bookmarkEnd w:id="0"/>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52234046"/>
      <w:bookmarkStart w:id="5" w:name="_Toc152266396"/>
      <w:r w:rsidRPr="00514729">
        <w:rPr>
          <w:rFonts w:ascii="Times New Roman" w:hAnsi="Times New Roman" w:cs="Times New Roman"/>
          <w:b/>
          <w:bCs/>
          <w:color w:val="auto"/>
          <w:sz w:val="28"/>
          <w:szCs w:val="28"/>
        </w:rPr>
        <w:t>Normatīvo aktu bāze izmaksu un ieguvumu analīzes izstrādei</w:t>
      </w:r>
      <w:bookmarkEnd w:id="3"/>
      <w:bookmarkEnd w:id="4"/>
      <w:bookmarkEnd w:id="5"/>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06EA58E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AE49D6">
        <w:rPr>
          <w:rFonts w:ascii="Times New Roman" w:hAnsi="Times New Roman" w:cs="Times New Roman"/>
          <w:sz w:val="24"/>
          <w:szCs w:val="24"/>
        </w:rPr>
        <w:t xml:space="preserve"> </w:t>
      </w:r>
      <w:r w:rsidR="00AE49D6" w:rsidRPr="1C567C29">
        <w:rPr>
          <w:rFonts w:ascii="Times New Roman" w:hAnsi="Times New Roman" w:cs="Times New Roman"/>
          <w:sz w:val="24"/>
          <w:szCs w:val="24"/>
        </w:rPr>
        <w:t>(pieejam</w:t>
      </w:r>
      <w:r w:rsidR="001F515B">
        <w:rPr>
          <w:rFonts w:ascii="Times New Roman" w:hAnsi="Times New Roman" w:cs="Times New Roman"/>
          <w:sz w:val="24"/>
          <w:szCs w:val="24"/>
        </w:rPr>
        <w:t>i</w:t>
      </w:r>
      <w:r w:rsidR="00AE49D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AE49D6">
        <w:rPr>
          <w:rFonts w:ascii="Times New Roman" w:hAnsi="Times New Roman" w:cs="Times New Roman"/>
          <w:sz w:val="24"/>
          <w:szCs w:val="24"/>
        </w:rPr>
        <w:t xml:space="preserve"> </w:t>
      </w:r>
      <w:hyperlink r:id="rId11" w:history="1">
        <w:r w:rsidR="000752A7" w:rsidRPr="00476B29">
          <w:rPr>
            <w:rStyle w:val="Hyperlink"/>
            <w:rFonts w:ascii="Times New Roman" w:hAnsi="Times New Roman" w:cs="Times New Roman"/>
            <w:sz w:val="24"/>
            <w:szCs w:val="24"/>
          </w:rPr>
          <w:t>https://likumi.lv/ta/id/343827</w:t>
        </w:r>
      </w:hyperlink>
      <w:r w:rsidR="00AE49D6">
        <w:rPr>
          <w:rFonts w:ascii="Times New Roman" w:hAnsi="Times New Roman" w:cs="Times New Roman"/>
          <w:sz w:val="24"/>
          <w:szCs w:val="24"/>
        </w:rPr>
        <w:t>)</w:t>
      </w:r>
      <w:r w:rsidRPr="634F8994">
        <w:rPr>
          <w:rFonts w:ascii="Times New Roman" w:hAnsi="Times New Roman" w:cs="Times New Roman"/>
          <w:sz w:val="24"/>
          <w:szCs w:val="24"/>
        </w:rPr>
        <w:t>;</w:t>
      </w:r>
    </w:p>
    <w:p w14:paraId="445737AE" w14:textId="77777777" w:rsidR="00D13522" w:rsidRPr="006D2FC8" w:rsidRDefault="000D35E7" w:rsidP="006908EA">
      <w:pPr>
        <w:pStyle w:val="ListParagraph"/>
        <w:numPr>
          <w:ilvl w:val="0"/>
          <w:numId w:val="3"/>
        </w:numPr>
        <w:spacing w:line="240" w:lineRule="auto"/>
        <w:jc w:val="both"/>
        <w:rPr>
          <w:rFonts w:ascii="Times New Roman" w:hAnsi="Times New Roman" w:cs="Times New Roman"/>
          <w:sz w:val="24"/>
          <w:szCs w:val="24"/>
        </w:rPr>
      </w:pPr>
      <w:r w:rsidRPr="000D35E7">
        <w:rPr>
          <w:rFonts w:ascii="Times New Roman" w:hAnsi="Times New Roman" w:cs="Times New Roman"/>
          <w:sz w:val="24"/>
          <w:szCs w:val="24"/>
        </w:rPr>
        <w:t xml:space="preserve">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w:t>
      </w:r>
      <w:r w:rsidRPr="006D2FC8">
        <w:rPr>
          <w:rFonts w:ascii="Times New Roman" w:hAnsi="Times New Roman" w:cs="Times New Roman"/>
          <w:sz w:val="24"/>
          <w:szCs w:val="24"/>
        </w:rPr>
        <w:t>uzņēmējdarbības atbalstam" īstenošanas noteikumi"</w:t>
      </w:r>
      <w:r w:rsidR="007D7C76" w:rsidRPr="006D2FC8">
        <w:rPr>
          <w:rFonts w:ascii="Times New Roman" w:hAnsi="Times New Roman" w:cs="Times New Roman"/>
          <w:sz w:val="24"/>
          <w:szCs w:val="24"/>
        </w:rPr>
        <w:t xml:space="preserve"> </w:t>
      </w:r>
      <w:r w:rsidR="00EE1D11" w:rsidRPr="006D2FC8">
        <w:rPr>
          <w:rFonts w:ascii="Times New Roman" w:hAnsi="Times New Roman" w:cs="Times New Roman"/>
          <w:sz w:val="24"/>
          <w:szCs w:val="24"/>
        </w:rPr>
        <w:t xml:space="preserve">(turpmāk – MK noteikumi) </w:t>
      </w:r>
      <w:r w:rsidR="007D7C76" w:rsidRPr="006D2FC8">
        <w:rPr>
          <w:rFonts w:ascii="Times New Roman" w:hAnsi="Times New Roman" w:cs="Times New Roman"/>
          <w:sz w:val="24"/>
          <w:szCs w:val="24"/>
        </w:rPr>
        <w:t>(pieejam</w:t>
      </w:r>
      <w:r w:rsidR="00D16A6D" w:rsidRPr="006D2FC8">
        <w:rPr>
          <w:rFonts w:ascii="Times New Roman" w:hAnsi="Times New Roman" w:cs="Times New Roman"/>
          <w:sz w:val="24"/>
          <w:szCs w:val="24"/>
        </w:rPr>
        <w:t>i</w:t>
      </w:r>
      <w:r w:rsidR="007D7C76" w:rsidRPr="006D2FC8">
        <w:rPr>
          <w:rFonts w:ascii="Times New Roman" w:hAnsi="Times New Roman" w:cs="Times New Roman"/>
          <w:sz w:val="24"/>
          <w:szCs w:val="24"/>
        </w:rPr>
        <w:t xml:space="preserve"> tīmekļa vietnē</w:t>
      </w:r>
      <w:r w:rsidR="006D5EF6" w:rsidRPr="006D2FC8">
        <w:rPr>
          <w:rFonts w:ascii="Times New Roman" w:hAnsi="Times New Roman" w:cs="Times New Roman"/>
          <w:sz w:val="24"/>
          <w:szCs w:val="24"/>
        </w:rPr>
        <w:t>:</w:t>
      </w:r>
      <w:r w:rsidR="00223935" w:rsidRPr="006D2FC8">
        <w:rPr>
          <w:rFonts w:ascii="Times New Roman" w:hAnsi="Times New Roman" w:cs="Times New Roman"/>
          <w:sz w:val="24"/>
          <w:szCs w:val="24"/>
        </w:rPr>
        <w:t xml:space="preserve"> </w:t>
      </w:r>
    </w:p>
    <w:p w14:paraId="26A56210" w14:textId="1E1BD2FA" w:rsidR="00FB7973" w:rsidRPr="006D2FC8" w:rsidRDefault="00FD155C" w:rsidP="006D2FC8">
      <w:pPr>
        <w:pStyle w:val="ListParagraph"/>
        <w:spacing w:line="240" w:lineRule="auto"/>
        <w:jc w:val="both"/>
        <w:rPr>
          <w:rFonts w:ascii="Times New Roman" w:hAnsi="Times New Roman" w:cs="Times New Roman"/>
          <w:sz w:val="24"/>
          <w:szCs w:val="24"/>
        </w:rPr>
      </w:pPr>
      <w:hyperlink r:id="rId12" w:history="1">
        <w:r w:rsidR="006D2FC8" w:rsidRPr="006D2FC8">
          <w:rPr>
            <w:rStyle w:val="Hyperlink"/>
            <w:rFonts w:ascii="Times New Roman" w:hAnsi="Times New Roman" w:cs="Times New Roman"/>
            <w:sz w:val="24"/>
            <w:szCs w:val="24"/>
          </w:rPr>
          <w:t>https://likumi.lv/ta/id/349214</w:t>
        </w:r>
      </w:hyperlink>
      <w:r w:rsidR="007D7C76" w:rsidRPr="006D2FC8">
        <w:rPr>
          <w:rFonts w:ascii="Times New Roman" w:hAnsi="Times New Roman" w:cs="Times New Roman"/>
          <w:sz w:val="24"/>
          <w:szCs w:val="24"/>
        </w:rPr>
        <w:t>)</w:t>
      </w:r>
      <w:r w:rsidR="00FB7973" w:rsidRPr="006D2FC8">
        <w:rPr>
          <w:rFonts w:ascii="Times New Roman" w:hAnsi="Times New Roman" w:cs="Times New Roman"/>
          <w:sz w:val="24"/>
          <w:szCs w:val="24"/>
        </w:rPr>
        <w:t>;</w:t>
      </w:r>
    </w:p>
    <w:p w14:paraId="7B9F47C8" w14:textId="77777777" w:rsidR="00D13522" w:rsidRDefault="006908EA" w:rsidP="006908EA">
      <w:pPr>
        <w:pStyle w:val="ListParagraph"/>
        <w:numPr>
          <w:ilvl w:val="0"/>
          <w:numId w:val="3"/>
        </w:numPr>
        <w:spacing w:line="240" w:lineRule="auto"/>
        <w:jc w:val="both"/>
        <w:rPr>
          <w:rFonts w:ascii="Times New Roman" w:hAnsi="Times New Roman" w:cs="Times New Roman"/>
          <w:sz w:val="24"/>
          <w:szCs w:val="24"/>
        </w:rPr>
      </w:pPr>
      <w:r w:rsidRPr="006D2FC8">
        <w:rPr>
          <w:rFonts w:ascii="Times New Roman" w:hAnsi="Times New Roman" w:cs="Times New Roman"/>
          <w:sz w:val="24"/>
          <w:szCs w:val="24"/>
        </w:rPr>
        <w:t>Eiropas Komisijas izstrādātajām vadlīnijām “</w:t>
      </w:r>
      <w:r w:rsidRPr="006D2FC8">
        <w:rPr>
          <w:rFonts w:ascii="Times New Roman" w:hAnsi="Times New Roman" w:cs="Times New Roman"/>
          <w:sz w:val="24"/>
          <w:szCs w:val="24"/>
          <w:lang w:val="en-GB"/>
        </w:rPr>
        <w:t>Guide to Cost-Benefit Analysis of Investment Projects Economic appraisal</w:t>
      </w:r>
      <w:r w:rsidRPr="1C567C29">
        <w:rPr>
          <w:rFonts w:ascii="Times New Roman" w:hAnsi="Times New Roman" w:cs="Times New Roman"/>
          <w:sz w:val="24"/>
          <w:szCs w:val="24"/>
          <w:lang w:val="en-GB"/>
        </w:rPr>
        <w:t xml:space="preserve"> tool for Cohesion Policy 2014 – 2020</w:t>
      </w:r>
      <w:r w:rsidRPr="1C567C29">
        <w:rPr>
          <w:rFonts w:ascii="Times New Roman" w:hAnsi="Times New Roman" w:cs="Times New Roman"/>
          <w:sz w:val="24"/>
          <w:szCs w:val="24"/>
        </w:rPr>
        <w:t>” (pieejamas tīmekļa vietnē:</w:t>
      </w:r>
      <w:r w:rsidR="006D5EF6">
        <w:rPr>
          <w:rFonts w:ascii="Times New Roman" w:hAnsi="Times New Roman" w:cs="Times New Roman"/>
          <w:sz w:val="24"/>
          <w:szCs w:val="24"/>
        </w:rPr>
        <w:t xml:space="preserve"> </w:t>
      </w:r>
    </w:p>
    <w:p w14:paraId="6A0699D8" w14:textId="14FDA87B" w:rsidR="006908EA" w:rsidRDefault="00FD155C" w:rsidP="00D13522">
      <w:pPr>
        <w:pStyle w:val="ListParagraph"/>
        <w:spacing w:line="240" w:lineRule="auto"/>
        <w:jc w:val="both"/>
        <w:rPr>
          <w:rFonts w:ascii="Times New Roman" w:hAnsi="Times New Roman" w:cs="Times New Roman"/>
          <w:sz w:val="24"/>
          <w:szCs w:val="24"/>
        </w:rPr>
      </w:pPr>
      <w:hyperlink r:id="rId13" w:history="1">
        <w:r w:rsidR="00D13522" w:rsidRPr="009646D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6908EA" w:rsidRPr="1C567C29">
        <w:rPr>
          <w:rFonts w:ascii="Times New Roman" w:hAnsi="Times New Roman" w:cs="Times New Roman"/>
          <w:sz w:val="24"/>
          <w:szCs w:val="24"/>
        </w:rPr>
        <w:t>);</w:t>
      </w:r>
    </w:p>
    <w:p w14:paraId="0B3FD0E9" w14:textId="77777777" w:rsidR="00891972"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“Economic Appraisal Vademecum 2021-2027” (pieejama tīmekļa vietnē:</w:t>
      </w:r>
    </w:p>
    <w:p w14:paraId="651DF2D8" w14:textId="2A3E26B4" w:rsidR="00635E27" w:rsidRDefault="00FD155C" w:rsidP="00891972">
      <w:pPr>
        <w:pStyle w:val="ListParagraph"/>
        <w:spacing w:line="240" w:lineRule="auto"/>
        <w:jc w:val="both"/>
        <w:rPr>
          <w:rFonts w:ascii="Times New Roman" w:hAnsi="Times New Roman" w:cs="Times New Roman"/>
          <w:sz w:val="24"/>
          <w:szCs w:val="24"/>
        </w:rPr>
      </w:pPr>
      <w:hyperlink r:id="rId14">
        <w:r w:rsidR="00635E27" w:rsidRPr="1C567C29">
          <w:rPr>
            <w:rStyle w:val="Hyperlink"/>
            <w:rFonts w:ascii="Times New Roman" w:hAnsi="Times New Roman" w:cs="Times New Roman"/>
            <w:sz w:val="24"/>
            <w:szCs w:val="24"/>
          </w:rPr>
          <w:t>https://ec.europa.eu/regional_policy/en/newsroom/news/2021/09/20-09-2021-project-selection-the-economic-appraisal-vademecum</w:t>
        </w:r>
      </w:hyperlink>
      <w:r w:rsidR="00635E27"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4982361B" w14:textId="77777777" w:rsidR="00D13522" w:rsidRDefault="002F0139"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regulu</w:t>
      </w:r>
      <w:r w:rsidR="00CF64F4"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r w:rsidR="00B70EF6">
        <w:rPr>
          <w:rFonts w:ascii="Times New Roman" w:hAnsi="Times New Roman" w:cs="Times New Roman"/>
          <w:sz w:val="24"/>
          <w:szCs w:val="24"/>
        </w:rPr>
        <w:t xml:space="preserve"> (</w:t>
      </w:r>
      <w:r w:rsidR="006C2173">
        <w:rPr>
          <w:rFonts w:ascii="Times New Roman" w:hAnsi="Times New Roman" w:cs="Times New Roman"/>
          <w:sz w:val="24"/>
          <w:szCs w:val="24"/>
        </w:rPr>
        <w:t>pieejama tīmekļa vietnē</w:t>
      </w:r>
      <w:r w:rsidR="006D5EF6">
        <w:rPr>
          <w:rFonts w:ascii="Times New Roman" w:hAnsi="Times New Roman" w:cs="Times New Roman"/>
          <w:sz w:val="24"/>
          <w:szCs w:val="24"/>
        </w:rPr>
        <w:t>:</w:t>
      </w:r>
      <w:r w:rsidR="006C2173">
        <w:rPr>
          <w:rFonts w:ascii="Times New Roman" w:hAnsi="Times New Roman" w:cs="Times New Roman"/>
          <w:sz w:val="24"/>
          <w:szCs w:val="24"/>
        </w:rPr>
        <w:t xml:space="preserve"> </w:t>
      </w:r>
    </w:p>
    <w:p w14:paraId="337257CE" w14:textId="3A925E66" w:rsidR="00B95F70" w:rsidRDefault="00FD155C" w:rsidP="00D13522">
      <w:pPr>
        <w:pStyle w:val="ListParagraph"/>
        <w:spacing w:line="240" w:lineRule="auto"/>
        <w:jc w:val="both"/>
        <w:rPr>
          <w:rFonts w:ascii="Times New Roman" w:hAnsi="Times New Roman" w:cs="Times New Roman"/>
          <w:sz w:val="24"/>
          <w:szCs w:val="24"/>
        </w:rPr>
      </w:pPr>
      <w:hyperlink r:id="rId15" w:history="1">
        <w:r w:rsidR="00D13522" w:rsidRPr="009646D4">
          <w:rPr>
            <w:rStyle w:val="Hyperlink"/>
            <w:rFonts w:ascii="Times New Roman" w:hAnsi="Times New Roman" w:cs="Times New Roman"/>
            <w:sz w:val="24"/>
            <w:szCs w:val="24"/>
          </w:rPr>
          <w:t>https://eur-lex.europa.eu/legal-content/LV/TXT/?uri=celex%3A32014R0651</w:t>
        </w:r>
      </w:hyperlink>
      <w:r w:rsidR="00B70EF6">
        <w:rPr>
          <w:rFonts w:ascii="Times New Roman" w:hAnsi="Times New Roman" w:cs="Times New Roman"/>
          <w:sz w:val="24"/>
          <w:szCs w:val="24"/>
        </w:rPr>
        <w:t>)</w:t>
      </w:r>
      <w:r w:rsidR="00E435D2">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6" w:name="_Toc488415868"/>
      <w:bookmarkStart w:id="7" w:name="_Toc152234047"/>
      <w:bookmarkStart w:id="8" w:name="_Toc152266397"/>
      <w:r w:rsidRPr="008264B4">
        <w:rPr>
          <w:rFonts w:ascii="Times New Roman" w:hAnsi="Times New Roman" w:cs="Times New Roman"/>
          <w:b/>
          <w:bCs/>
          <w:color w:val="auto"/>
          <w:sz w:val="28"/>
          <w:szCs w:val="28"/>
        </w:rPr>
        <w:t>Izmaksu un ieguvumu analīzes būtība, mērķi un pamatprincipi</w:t>
      </w:r>
      <w:bookmarkEnd w:id="6"/>
      <w:bookmarkEnd w:id="7"/>
      <w:bookmarkEnd w:id="8"/>
    </w:p>
    <w:p w14:paraId="2BCCF0A5" w14:textId="0E53EDA6"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w:t>
      </w:r>
      <w:r w:rsidR="000D1B24">
        <w:rPr>
          <w:rFonts w:ascii="Times New Roman" w:hAnsi="Times New Roman" w:cs="Times New Roman"/>
          <w:sz w:val="24"/>
          <w:szCs w:val="24"/>
        </w:rPr>
        <w:t xml:space="preserve">projekta sadarbības partneri, </w:t>
      </w:r>
      <w:r>
        <w:rPr>
          <w:rFonts w:ascii="Times New Roman" w:hAnsi="Times New Roman" w:cs="Times New Roman"/>
          <w:sz w:val="24"/>
          <w:szCs w:val="24"/>
        </w:rPr>
        <w:t>projekta finansējuma avotiem, projekta ieguldījumiem, projekta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jāaprēķina projekta investīciju finansiālais ienesīgums un kapitāla finansiālais ienesīgums;</w:t>
      </w:r>
    </w:p>
    <w:p w14:paraId="56BC6E68" w14:textId="2BBAA0C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w:t>
      </w:r>
      <w:r w:rsidR="004D55C1">
        <w:rPr>
          <w:rFonts w:ascii="Times New Roman" w:hAnsi="Times New Roman" w:cs="Times New Roman"/>
          <w:sz w:val="24"/>
          <w:szCs w:val="24"/>
        </w:rPr>
        <w:t xml:space="preserve"> un</w:t>
      </w:r>
      <w:r w:rsidR="002B6A95">
        <w:rPr>
          <w:rFonts w:ascii="Times New Roman" w:hAnsi="Times New Roman" w:cs="Times New Roman"/>
          <w:sz w:val="24"/>
          <w:szCs w:val="24"/>
        </w:rPr>
        <w:t xml:space="preserve"> </w:t>
      </w:r>
      <w:r>
        <w:rPr>
          <w:rFonts w:ascii="Times New Roman" w:hAnsi="Times New Roman" w:cs="Times New Roman"/>
          <w:sz w:val="24"/>
          <w:szCs w:val="24"/>
        </w:rPr>
        <w:t>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F152A5" w:rsidRDefault="00B71C94" w:rsidP="00F152A5">
      <w:pPr>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9" w:name="_Toc152234048"/>
      <w:bookmarkStart w:id="10" w:name="_Toc152266398"/>
      <w:r w:rsidRPr="00514729">
        <w:rPr>
          <w:rFonts w:ascii="Times New Roman" w:hAnsi="Times New Roman" w:cs="Times New Roman"/>
          <w:b/>
          <w:bCs/>
          <w:color w:val="auto"/>
          <w:sz w:val="28"/>
          <w:szCs w:val="28"/>
        </w:rPr>
        <w:t>Izmaksu un ieguvumu analīzes izstrāde un saturs</w:t>
      </w:r>
      <w:bookmarkEnd w:id="9"/>
      <w:bookmarkEnd w:id="10"/>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11" w:name="_Toc488415870"/>
      <w:bookmarkStart w:id="12" w:name="_Toc152234049"/>
      <w:bookmarkStart w:id="13" w:name="_Toc152266399"/>
      <w:r w:rsidRPr="00447B69">
        <w:rPr>
          <w:rFonts w:ascii="Times New Roman" w:hAnsi="Times New Roman" w:cs="Times New Roman"/>
          <w:b/>
          <w:bCs/>
          <w:color w:val="auto"/>
          <w:sz w:val="28"/>
          <w:szCs w:val="28"/>
        </w:rPr>
        <w:t>Vispārīgā informācija</w:t>
      </w:r>
      <w:bookmarkEnd w:id="11"/>
      <w:bookmarkEnd w:id="12"/>
      <w:bookmarkEnd w:id="13"/>
    </w:p>
    <w:p w14:paraId="5EA7E929" w14:textId="171F2DD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4"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4"/>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231F1414"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Pr>
          <w:rFonts w:ascii="Times New Roman" w:hAnsi="Times New Roman" w:cs="Times New Roman"/>
          <w:sz w:val="24"/>
          <w:szCs w:val="24"/>
        </w:rPr>
        <w:t xml:space="preserve">Savienības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75D8B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B1E65">
        <w:rPr>
          <w:rFonts w:ascii="Times New Roman" w:hAnsi="Times New Roman" w:cs="Times New Roman"/>
          <w:sz w:val="24"/>
          <w:szCs w:val="24"/>
        </w:rPr>
        <w:t>2</w:t>
      </w:r>
      <w:r w:rsidR="004700F6">
        <w:rPr>
          <w:rFonts w:ascii="Times New Roman" w:hAnsi="Times New Roman" w:cs="Times New Roman"/>
          <w:sz w:val="24"/>
          <w:szCs w:val="24"/>
        </w:rPr>
        <w:t>8</w:t>
      </w:r>
      <w:r w:rsidR="002B1E65"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0962DA3" w:rsidR="00CF06D8" w:rsidRPr="00CF06D8" w:rsidRDefault="0070544B" w:rsidP="00DA6ED6">
      <w:pPr>
        <w:pStyle w:val="ListParagraph"/>
        <w:numPr>
          <w:ilvl w:val="0"/>
          <w:numId w:val="6"/>
        </w:numPr>
        <w:jc w:val="both"/>
        <w:rPr>
          <w:rFonts w:ascii="Times New Roman" w:hAnsi="Times New Roman" w:cs="Times New Roman"/>
          <w:sz w:val="24"/>
          <w:szCs w:val="24"/>
        </w:rPr>
      </w:pPr>
      <w:bookmarkStart w:id="15" w:name="_Hlk95467422"/>
      <w:r w:rsidRPr="09584CB2">
        <w:rPr>
          <w:rFonts w:ascii="Times New Roman" w:hAnsi="Times New Roman" w:cs="Times New Roman"/>
          <w:sz w:val="24"/>
          <w:szCs w:val="24"/>
        </w:rPr>
        <w:t>1</w:t>
      </w:r>
      <w:r>
        <w:rPr>
          <w:rFonts w:ascii="Times New Roman" w:hAnsi="Times New Roman" w:cs="Times New Roman"/>
          <w:sz w:val="24"/>
          <w:szCs w:val="24"/>
        </w:rPr>
        <w:t>5</w:t>
      </w:r>
      <w:r w:rsidRPr="09584CB2">
        <w:rPr>
          <w:rFonts w:ascii="Times New Roman" w:hAnsi="Times New Roman" w:cs="Times New Roman"/>
          <w:sz w:val="24"/>
          <w:szCs w:val="24"/>
        </w:rPr>
        <w:t xml:space="preserve"> </w:t>
      </w:r>
      <w:r w:rsidR="00CF06D8" w:rsidRPr="09584CB2">
        <w:rPr>
          <w:rFonts w:ascii="Times New Roman" w:hAnsi="Times New Roman" w:cs="Times New Roman"/>
          <w:sz w:val="24"/>
          <w:szCs w:val="24"/>
        </w:rPr>
        <w:t>izklāj</w:t>
      </w:r>
      <w:r w:rsidR="00DA6ED6" w:rsidRPr="09584CB2">
        <w:rPr>
          <w:rFonts w:ascii="Times New Roman" w:hAnsi="Times New Roman" w:cs="Times New Roman"/>
          <w:sz w:val="24"/>
          <w:szCs w:val="24"/>
        </w:rPr>
        <w:t>lapa</w:t>
      </w:r>
      <w:r w:rsidR="00103052" w:rsidRPr="09584CB2">
        <w:rPr>
          <w:rFonts w:ascii="Times New Roman" w:hAnsi="Times New Roman" w:cs="Times New Roman"/>
          <w:sz w:val="24"/>
          <w:szCs w:val="24"/>
        </w:rPr>
        <w:t>s</w:t>
      </w:r>
      <w:r w:rsidR="00CF06D8" w:rsidRPr="09584CB2">
        <w:rPr>
          <w:rFonts w:ascii="Times New Roman" w:hAnsi="Times New Roman" w:cs="Times New Roman"/>
          <w:sz w:val="24"/>
          <w:szCs w:val="24"/>
        </w:rPr>
        <w:t xml:space="preserve">, kurā ievada </w:t>
      </w:r>
      <w:bookmarkEnd w:id="15"/>
      <w:r w:rsidR="00CF06D8" w:rsidRPr="09584CB2">
        <w:rPr>
          <w:rFonts w:ascii="Times New Roman" w:hAnsi="Times New Roman" w:cs="Times New Roman"/>
          <w:sz w:val="24"/>
          <w:szCs w:val="24"/>
        </w:rPr>
        <w:t>projekta</w:t>
      </w:r>
      <w:r w:rsidR="00C44095" w:rsidRPr="09584CB2">
        <w:rPr>
          <w:rFonts w:ascii="Times New Roman" w:hAnsi="Times New Roman" w:cs="Times New Roman"/>
          <w:sz w:val="24"/>
          <w:szCs w:val="24"/>
        </w:rPr>
        <w:t xml:space="preserve"> investīciju</w:t>
      </w:r>
      <w:r w:rsidR="00CF06D8" w:rsidRPr="09584CB2">
        <w:rPr>
          <w:rFonts w:ascii="Times New Roman" w:hAnsi="Times New Roman" w:cs="Times New Roman"/>
          <w:sz w:val="24"/>
          <w:szCs w:val="24"/>
        </w:rPr>
        <w:t xml:space="preserve"> izmaksas sadalījumā pa gadiem</w:t>
      </w:r>
      <w:r w:rsidR="00FE675E" w:rsidRPr="09584CB2">
        <w:rPr>
          <w:rFonts w:ascii="Times New Roman" w:hAnsi="Times New Roman" w:cs="Times New Roman"/>
          <w:sz w:val="24"/>
          <w:szCs w:val="24"/>
        </w:rPr>
        <w:t xml:space="preserve"> atkarībā no komercdarbības atbalsta</w:t>
      </w:r>
      <w:r w:rsidR="002A676B" w:rsidRPr="09584CB2">
        <w:rPr>
          <w:rFonts w:ascii="Times New Roman" w:hAnsi="Times New Roman" w:cs="Times New Roman"/>
          <w:sz w:val="24"/>
          <w:szCs w:val="24"/>
        </w:rPr>
        <w:t xml:space="preserve"> un sadarbības partneru esamības</w:t>
      </w:r>
      <w:r w:rsidR="00CF06D8" w:rsidRPr="09584CB2">
        <w:rPr>
          <w:rFonts w:ascii="Times New Roman" w:hAnsi="Times New Roman" w:cs="Times New Roman"/>
          <w:sz w:val="24"/>
          <w:szCs w:val="24"/>
        </w:rPr>
        <w:t>:</w:t>
      </w:r>
    </w:p>
    <w:p w14:paraId="2870A6A5" w14:textId="678393D3"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04B5D499" w14:textId="77777777"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4EA99E17" w14:textId="77777777"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1.2.2.A. Partneris-2 un 1.2.2.B. Partneris-2 un 1.2.2.C. Partneris-2;</w:t>
      </w:r>
    </w:p>
    <w:p w14:paraId="5C22AE26" w14:textId="53504ADC"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 xml:space="preserve">1.3.1. </w:t>
      </w:r>
      <w:r w:rsidR="00453EE7">
        <w:rPr>
          <w:rFonts w:ascii="Times New Roman" w:hAnsi="Times New Roman" w:cs="Times New Roman"/>
          <w:sz w:val="24"/>
          <w:szCs w:val="24"/>
        </w:rPr>
        <w:t>R</w:t>
      </w:r>
      <w:r w:rsidR="004A58A0">
        <w:rPr>
          <w:rFonts w:ascii="Times New Roman" w:hAnsi="Times New Roman" w:cs="Times New Roman"/>
          <w:sz w:val="24"/>
          <w:szCs w:val="24"/>
        </w:rPr>
        <w:t>.14.,41.</w:t>
      </w:r>
      <w:r w:rsidR="008C0FD3">
        <w:rPr>
          <w:rFonts w:ascii="Times New Roman" w:hAnsi="Times New Roman" w:cs="Times New Roman"/>
          <w:sz w:val="24"/>
          <w:szCs w:val="24"/>
        </w:rPr>
        <w:t>,</w:t>
      </w:r>
      <w:r w:rsidR="004A58A0">
        <w:rPr>
          <w:rFonts w:ascii="Times New Roman" w:hAnsi="Times New Roman" w:cs="Times New Roman"/>
          <w:sz w:val="24"/>
          <w:szCs w:val="24"/>
        </w:rPr>
        <w:t>45</w:t>
      </w:r>
      <w:r w:rsidR="00985B75">
        <w:rPr>
          <w:rFonts w:ascii="Times New Roman" w:hAnsi="Times New Roman" w:cs="Times New Roman"/>
          <w:sz w:val="24"/>
          <w:szCs w:val="24"/>
        </w:rPr>
        <w:t>.</w:t>
      </w:r>
      <w:r w:rsidR="008C0FD3">
        <w:rPr>
          <w:rFonts w:ascii="Times New Roman" w:hAnsi="Times New Roman" w:cs="Times New Roman"/>
          <w:sz w:val="24"/>
          <w:szCs w:val="24"/>
        </w:rPr>
        <w:t xml:space="preserve"> vai</w:t>
      </w:r>
      <w:r w:rsidR="00985B75">
        <w:rPr>
          <w:rFonts w:ascii="Times New Roman" w:hAnsi="Times New Roman" w:cs="Times New Roman"/>
          <w:sz w:val="24"/>
          <w:szCs w:val="24"/>
        </w:rPr>
        <w:t xml:space="preserve"> dz.c.</w:t>
      </w:r>
      <w:r w:rsidRPr="00C47CF8">
        <w:rPr>
          <w:rFonts w:ascii="Times New Roman" w:hAnsi="Times New Roman" w:cs="Times New Roman"/>
          <w:sz w:val="24"/>
          <w:szCs w:val="24"/>
        </w:rPr>
        <w:t>;</w:t>
      </w:r>
    </w:p>
    <w:p w14:paraId="60B09D4A" w14:textId="4B53D793"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2</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dz.c.</w:t>
      </w:r>
      <w:r w:rsidRPr="00C47CF8">
        <w:rPr>
          <w:rFonts w:ascii="Times New Roman" w:hAnsi="Times New Roman" w:cs="Times New Roman"/>
          <w:sz w:val="24"/>
          <w:szCs w:val="24"/>
        </w:rPr>
        <w:t>;</w:t>
      </w:r>
    </w:p>
    <w:p w14:paraId="0B86210B" w14:textId="0ABA16A6"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3</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vai</w:t>
      </w:r>
      <w:r>
        <w:rPr>
          <w:rFonts w:ascii="Times New Roman" w:hAnsi="Times New Roman" w:cs="Times New Roman"/>
          <w:sz w:val="24"/>
          <w:szCs w:val="24"/>
        </w:rPr>
        <w:t xml:space="preserve"> dz.c.</w:t>
      </w:r>
      <w:r w:rsidRPr="00C47CF8">
        <w:rPr>
          <w:rFonts w:ascii="Times New Roman" w:hAnsi="Times New Roman" w:cs="Times New Roman"/>
          <w:sz w:val="24"/>
          <w:szCs w:val="24"/>
        </w:rPr>
        <w:t>;</w:t>
      </w:r>
    </w:p>
    <w:p w14:paraId="70AA0237" w14:textId="6F3C4B0B"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4</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dz.c.</w:t>
      </w:r>
      <w:r w:rsidRPr="00C47CF8">
        <w:rPr>
          <w:rFonts w:ascii="Times New Roman" w:hAnsi="Times New Roman" w:cs="Times New Roman"/>
          <w:sz w:val="24"/>
          <w:szCs w:val="24"/>
        </w:rPr>
        <w:t>;</w:t>
      </w:r>
    </w:p>
    <w:p w14:paraId="22852DEE" w14:textId="37C65ECA" w:rsidR="00B90860" w:rsidRPr="008C0FD3" w:rsidRDefault="003522DD" w:rsidP="008C0FD3">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5</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dz.c.</w:t>
      </w:r>
      <w:r w:rsidRPr="00C47CF8">
        <w:rPr>
          <w:rFonts w:ascii="Times New Roman" w:hAnsi="Times New Roman" w:cs="Times New Roman"/>
          <w:sz w:val="24"/>
          <w:szCs w:val="24"/>
        </w:rPr>
        <w:t>;</w:t>
      </w:r>
    </w:p>
    <w:p w14:paraId="397FC0D2" w14:textId="374C8F62" w:rsidR="00A45208" w:rsidRPr="00303C8A" w:rsidRDefault="00A45208" w:rsidP="00A45208">
      <w:pPr>
        <w:pStyle w:val="ListParagraph"/>
        <w:numPr>
          <w:ilvl w:val="0"/>
          <w:numId w:val="37"/>
        </w:numPr>
        <w:jc w:val="both"/>
        <w:rPr>
          <w:rFonts w:ascii="Times New Roman" w:hAnsi="Times New Roman" w:cs="Times New Roman"/>
          <w:sz w:val="24"/>
          <w:szCs w:val="24"/>
        </w:rPr>
      </w:pPr>
      <w:r w:rsidRPr="00C47CF8">
        <w:rPr>
          <w:rFonts w:ascii="Times New Roman" w:hAnsi="Times New Roman" w:cs="Times New Roman"/>
          <w:sz w:val="24"/>
          <w:szCs w:val="24"/>
        </w:rPr>
        <w:t>1.3.</w:t>
      </w:r>
      <w:r w:rsidR="0066007C">
        <w:rPr>
          <w:rFonts w:ascii="Times New Roman" w:hAnsi="Times New Roman" w:cs="Times New Roman"/>
          <w:sz w:val="24"/>
          <w:szCs w:val="24"/>
        </w:rPr>
        <w:t>6</w:t>
      </w:r>
      <w:r w:rsidRPr="00C47CF8">
        <w:rPr>
          <w:rFonts w:ascii="Times New Roman" w:hAnsi="Times New Roman" w:cs="Times New Roman"/>
          <w:sz w:val="24"/>
          <w:szCs w:val="24"/>
        </w:rPr>
        <w:t xml:space="preserve">. </w:t>
      </w:r>
      <w:r w:rsidR="003B3A58">
        <w:rPr>
          <w:rFonts w:ascii="Times New Roman" w:hAnsi="Times New Roman" w:cs="Times New Roman"/>
          <w:sz w:val="24"/>
          <w:szCs w:val="24"/>
        </w:rPr>
        <w:t>R.14</w:t>
      </w:r>
      <w:r w:rsidR="008C0FD3">
        <w:rPr>
          <w:rFonts w:ascii="Times New Roman" w:hAnsi="Times New Roman" w:cs="Times New Roman"/>
          <w:sz w:val="24"/>
          <w:szCs w:val="24"/>
        </w:rPr>
        <w:t>.</w:t>
      </w:r>
      <w:r w:rsidR="003B3A58">
        <w:rPr>
          <w:rFonts w:ascii="Times New Roman" w:hAnsi="Times New Roman" w:cs="Times New Roman"/>
          <w:sz w:val="24"/>
          <w:szCs w:val="24"/>
        </w:rPr>
        <w:t>,41</w:t>
      </w:r>
      <w:r w:rsidR="00F05EC0">
        <w:rPr>
          <w:rFonts w:ascii="Times New Roman" w:hAnsi="Times New Roman" w:cs="Times New Roman"/>
          <w:sz w:val="24"/>
          <w:szCs w:val="24"/>
        </w:rPr>
        <w:t>.</w:t>
      </w:r>
      <w:r w:rsidR="008C0FD3">
        <w:rPr>
          <w:rFonts w:ascii="Times New Roman" w:hAnsi="Times New Roman" w:cs="Times New Roman"/>
          <w:sz w:val="24"/>
          <w:szCs w:val="24"/>
        </w:rPr>
        <w:t>,</w:t>
      </w:r>
      <w:r w:rsidR="00F05EC0">
        <w:rPr>
          <w:rFonts w:ascii="Times New Roman" w:hAnsi="Times New Roman" w:cs="Times New Roman"/>
          <w:sz w:val="24"/>
          <w:szCs w:val="24"/>
        </w:rPr>
        <w:t>45.</w:t>
      </w:r>
      <w:r w:rsidR="008C0FD3">
        <w:rPr>
          <w:rFonts w:ascii="Times New Roman" w:hAnsi="Times New Roman" w:cs="Times New Roman"/>
          <w:sz w:val="24"/>
          <w:szCs w:val="24"/>
        </w:rPr>
        <w:t xml:space="preserve"> vai</w:t>
      </w:r>
      <w:r w:rsidR="00F05EC0">
        <w:rPr>
          <w:rFonts w:ascii="Times New Roman" w:hAnsi="Times New Roman" w:cs="Times New Roman"/>
          <w:sz w:val="24"/>
          <w:szCs w:val="24"/>
        </w:rPr>
        <w:t xml:space="preserve"> dz.c</w:t>
      </w:r>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6"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6"/>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lastRenderedPageBreak/>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DL  jut.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DL jut. analīze-Fin</w:t>
      </w:r>
      <w:r w:rsidRPr="00DE4327">
        <w:rPr>
          <w:rFonts w:ascii="Times New Roman" w:hAnsi="Times New Roman" w:cs="Times New Roman"/>
          <w:i/>
          <w:iCs/>
          <w:sz w:val="24"/>
          <w:szCs w:val="24"/>
        </w:rPr>
        <w:t>.</w:t>
      </w:r>
    </w:p>
    <w:p w14:paraId="73171405" w14:textId="1082D15F"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B84C7C" w:rsidRPr="00B84C7C">
        <w:rPr>
          <w:rFonts w:ascii="Times New Roman" w:hAnsi="Times New Roman" w:cs="Times New Roman"/>
          <w:sz w:val="24"/>
          <w:szCs w:val="24"/>
        </w:rPr>
        <w:t xml:space="preserve"> sadaļas “Finansējuma sadalījums pa avotiem”, sadaļas “Projekta budžeta kopsavilkums” un pielikuma </w:t>
      </w:r>
      <w:r w:rsidR="0068792F">
        <w:rPr>
          <w:rFonts w:ascii="Times New Roman" w:hAnsi="Times New Roman" w:cs="Times New Roman"/>
          <w:sz w:val="24"/>
          <w:szCs w:val="24"/>
        </w:rPr>
        <w:t>“Projekta izmaksu efektivitātes novērtēšana” aizpildīšanai</w:t>
      </w:r>
      <w:r w:rsidRPr="00C47CF8">
        <w:rPr>
          <w:rFonts w:ascii="Times New Roman" w:hAnsi="Times New Roman" w:cs="Times New Roman"/>
          <w:sz w:val="24"/>
          <w:szCs w:val="24"/>
        </w:rPr>
        <w:t>:</w:t>
      </w:r>
    </w:p>
    <w:p w14:paraId="55972E0E" w14:textId="27810F58"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 xml:space="preserve">PI </w:t>
      </w:r>
      <w:r w:rsidR="00B65309">
        <w:rPr>
          <w:rFonts w:ascii="Times New Roman" w:hAnsi="Times New Roman" w:cs="Times New Roman"/>
          <w:sz w:val="24"/>
          <w:szCs w:val="24"/>
          <w:lang w:val="nb-NO"/>
        </w:rPr>
        <w:t>Fin.plans</w:t>
      </w:r>
      <w:r>
        <w:rPr>
          <w:rFonts w:ascii="Times New Roman" w:hAnsi="Times New Roman" w:cs="Times New Roman"/>
          <w:sz w:val="24"/>
          <w:szCs w:val="24"/>
          <w:lang w:val="nb-NO"/>
        </w:rPr>
        <w:t>;</w:t>
      </w:r>
    </w:p>
    <w:p w14:paraId="11D85ED6" w14:textId="4A934E95"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10. DL PI </w:t>
      </w:r>
      <w:r w:rsidR="00A93B4C">
        <w:rPr>
          <w:rFonts w:ascii="Times New Roman" w:hAnsi="Times New Roman" w:cs="Times New Roman"/>
          <w:sz w:val="24"/>
          <w:szCs w:val="24"/>
          <w:lang w:val="nb-NO"/>
        </w:rPr>
        <w:t>Budz.kops.</w:t>
      </w:r>
      <w:r>
        <w:rPr>
          <w:rFonts w:ascii="Times New Roman" w:hAnsi="Times New Roman" w:cs="Times New Roman"/>
          <w:sz w:val="24"/>
          <w:szCs w:val="24"/>
          <w:lang w:val="nb-NO"/>
        </w:rPr>
        <w:t>;</w:t>
      </w:r>
    </w:p>
    <w:p w14:paraId="4C358826" w14:textId="103A8F5C"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0BE78D7" w:rsidR="009736D3" w:rsidRDefault="00A35D5B" w:rsidP="00C7703A">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4700F6">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C7703A">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7" w:name="_Toc152234050"/>
      <w:bookmarkStart w:id="18" w:name="_Toc152266400"/>
      <w:r w:rsidRPr="00596D47">
        <w:rPr>
          <w:rFonts w:ascii="Times New Roman" w:hAnsi="Times New Roman" w:cs="Times New Roman"/>
          <w:b/>
          <w:bCs/>
          <w:color w:val="auto"/>
          <w:sz w:val="28"/>
          <w:szCs w:val="28"/>
        </w:rPr>
        <w:t>Izmaksu un ieguvumu analīzes aprēķinu izklājlapās norādāmā informācija</w:t>
      </w:r>
      <w:bookmarkEnd w:id="17"/>
      <w:bookmarkEnd w:id="18"/>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9" w:name="_Toc152234051"/>
      <w:bookmarkStart w:id="20" w:name="_Toc152266401"/>
      <w:r w:rsidRPr="00596D47">
        <w:rPr>
          <w:rFonts w:ascii="Times New Roman" w:hAnsi="Times New Roman" w:cs="Times New Roman"/>
          <w:b/>
          <w:bCs/>
          <w:color w:val="auto"/>
          <w:sz w:val="28"/>
          <w:szCs w:val="28"/>
        </w:rPr>
        <w:t>Dati par projektu</w:t>
      </w:r>
      <w:bookmarkEnd w:id="19"/>
      <w:bookmarkEnd w:id="20"/>
    </w:p>
    <w:p w14:paraId="5A24C5E2" w14:textId="647C9D6D"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w:t>
      </w:r>
      <w:r w:rsidR="00EB257F">
        <w:rPr>
          <w:rFonts w:ascii="Times New Roman" w:hAnsi="Times New Roman" w:cs="Times New Roman"/>
          <w:sz w:val="24"/>
          <w:szCs w:val="24"/>
        </w:rPr>
        <w:t>ā</w:t>
      </w:r>
      <w:r w:rsidRPr="00187FF4">
        <w:rPr>
          <w:rFonts w:ascii="Times New Roman" w:hAnsi="Times New Roman"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1C0C66" w:rsidRPr="003D30BD" w14:paraId="25292915"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435ED4B" w14:textId="7FF91122" w:rsidR="001C0C66" w:rsidRDefault="001C0C66" w:rsidP="004F28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13DD2034" w14:textId="11133BBE" w:rsidR="001C0C66" w:rsidRPr="0008666C" w:rsidRDefault="001C0C66" w:rsidP="001C0C66">
            <w:pPr>
              <w:spacing w:after="0" w:line="240" w:lineRule="auto"/>
              <w:rPr>
                <w:rFonts w:ascii="Times New Roman" w:eastAsia="Times New Roman" w:hAnsi="Times New Roman" w:cs="Times New Roman"/>
                <w:color w:val="000000"/>
                <w:sz w:val="24"/>
                <w:szCs w:val="24"/>
                <w:lang w:eastAsia="lv-LV"/>
              </w:rPr>
            </w:pPr>
            <w:r w:rsidRPr="0008666C">
              <w:rPr>
                <w:rFonts w:ascii="Times New Roman" w:eastAsia="Times New Roman" w:hAnsi="Times New Roman" w:cs="Times New Roman"/>
                <w:color w:val="000000"/>
                <w:sz w:val="24"/>
                <w:szCs w:val="24"/>
                <w:lang w:eastAsia="lv-LV"/>
              </w:rPr>
              <w:t>Izvēlnē izvēlas projektam atbilstošu specifisko atbalsta mērķi</w:t>
            </w:r>
          </w:p>
        </w:tc>
      </w:tr>
      <w:tr w:rsidR="008F0111" w:rsidRPr="003D30BD" w14:paraId="1961FCB1"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2C9B53FB" w14:textId="57EFA9D8" w:rsidR="008F0111" w:rsidRDefault="008F0111" w:rsidP="008F0111">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single" w:sz="4" w:space="0" w:color="auto"/>
              <w:bottom w:val="single" w:sz="4" w:space="0" w:color="auto"/>
              <w:right w:val="single" w:sz="4" w:space="0" w:color="auto"/>
            </w:tcBorders>
          </w:tcPr>
          <w:p w14:paraId="5DF19EB2" w14:textId="0B2F14B5"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p>
        </w:tc>
      </w:tr>
      <w:tr w:rsidR="008F0111" w:rsidRPr="003D30BD" w14:paraId="3EBAAD6D"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6D2AA5F" w14:textId="283A2B76" w:rsidR="008F0111"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ADEC1B9" w14:textId="5208EA49"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8F0111"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5AA2213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8F0111"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18E007AE"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8F0111"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65935E7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7C4611D6" w:rsidR="008F0111" w:rsidRDefault="008F0111" w:rsidP="008F0111">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rsidR="00D8477F">
              <w:t>.</w:t>
            </w:r>
          </w:p>
          <w:p w14:paraId="57570554" w14:textId="77777777" w:rsidR="008F0111" w:rsidRDefault="008F0111" w:rsidP="008F0111">
            <w:pPr>
              <w:spacing w:after="0" w:line="240" w:lineRule="auto"/>
            </w:pPr>
          </w:p>
          <w:p w14:paraId="0BA918EE" w14:textId="77777777" w:rsidR="008F0111"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Pr="00704BEA">
              <w:rPr>
                <w:rFonts w:ascii="Times New Roman" w:eastAsia="Times New Roman" w:hAnsi="Times New Roman" w:cs="Times New Roman"/>
                <w:sz w:val="24"/>
                <w:szCs w:val="24"/>
                <w:lang w:eastAsia="lv-LV"/>
              </w:rPr>
              <w:t xml:space="preserve">izstrādātajām vadlīnijām “Guide to Cost-Benefit Analysis of Investment Projects Economic appraisal tool for Cohesion Policy 2014 – 2020” (pieejamas tīmekļa vietnē: </w:t>
            </w:r>
          </w:p>
          <w:p w14:paraId="61160A6A" w14:textId="1C6205B2" w:rsidR="008F0111" w:rsidRPr="00ED00CC" w:rsidRDefault="00FD155C" w:rsidP="008F0111">
            <w:pPr>
              <w:spacing w:after="0" w:line="240" w:lineRule="auto"/>
              <w:rPr>
                <w:rFonts w:ascii="Times New Roman" w:eastAsia="Times New Roman" w:hAnsi="Times New Roman" w:cs="Times New Roman"/>
                <w:sz w:val="24"/>
                <w:szCs w:val="24"/>
                <w:lang w:eastAsia="lv-LV"/>
              </w:rPr>
            </w:pPr>
            <w:hyperlink r:id="rId16" w:history="1">
              <w:r w:rsidR="008F0111"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F0111">
              <w:rPr>
                <w:rStyle w:val="Hyperlink"/>
                <w:rFonts w:ascii="Times New Roman" w:eastAsia="Times New Roman" w:hAnsi="Times New Roman" w:cs="Times New Roman"/>
                <w:sz w:val="24"/>
                <w:szCs w:val="24"/>
                <w:lang w:eastAsia="lv-LV"/>
              </w:rPr>
              <w:t xml:space="preserve"> </w:t>
            </w:r>
            <w:r w:rsidR="008F0111" w:rsidRPr="002E5768">
              <w:rPr>
                <w:rFonts w:ascii="Times New Roman" w:eastAsia="Times New Roman" w:hAnsi="Times New Roman" w:cs="Times New Roman"/>
                <w:sz w:val="24"/>
                <w:szCs w:val="24"/>
                <w:lang w:eastAsia="lv-LV"/>
              </w:rPr>
              <w:t>(42.lpp. 2.1.tabulā)</w:t>
            </w:r>
            <w:r w:rsidR="008F0111">
              <w:rPr>
                <w:rFonts w:ascii="Times New Roman" w:eastAsia="Times New Roman" w:hAnsi="Times New Roman" w:cs="Times New Roman"/>
                <w:sz w:val="24"/>
                <w:szCs w:val="24"/>
                <w:lang w:eastAsia="lv-LV"/>
              </w:rPr>
              <w:t>).</w:t>
            </w:r>
          </w:p>
          <w:p w14:paraId="259A6B76"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30195760"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29D70076" w14:textId="0408775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t xml:space="preserve"> </w:t>
            </w:r>
            <w:r w:rsidRPr="00B87C59">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B87C59">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B87C59">
              <w:rPr>
                <w:rFonts w:ascii="Times New Roman" w:eastAsia="Times New Roman" w:hAnsi="Times New Roman" w:cs="Times New Roman"/>
                <w:sz w:val="24"/>
                <w:szCs w:val="24"/>
                <w:lang w:eastAsia="lv-LV"/>
              </w:rPr>
              <w:t xml:space="preserve"> “Guide to Cost-Benefit Analysis of Investment Projects Economic appraisal tool for Cohesion Policy 2014 – 2020” (pieejamas tīmekļa vietnē: </w:t>
            </w:r>
            <w:hyperlink r:id="rId17" w:history="1">
              <w:r w:rsidRPr="00D50D3B">
                <w:rPr>
                  <w:rStyle w:val="Hyperlink"/>
                </w:rPr>
                <w:t>https://op.europa.eu/en/publication-detail/-/publication/120c6fcc-3841-4596-9256-4fd709c49ae4</w:t>
              </w:r>
            </w:hyperlink>
            <w:r>
              <w:t xml:space="preserve"> (</w:t>
            </w:r>
            <w:r w:rsidRPr="008E318E">
              <w:rPr>
                <w:rFonts w:ascii="Times New Roman" w:eastAsia="Times New Roman" w:hAnsi="Times New Roman" w:cs="Times New Roman"/>
                <w:sz w:val="24"/>
                <w:szCs w:val="24"/>
                <w:lang w:eastAsia="lv-LV"/>
              </w:rPr>
              <w:t>42.lpp. 2.1.tabulā</w:t>
            </w:r>
            <w:r>
              <w:rPr>
                <w:rFonts w:ascii="Times New Roman" w:eastAsia="Times New Roman" w:hAnsi="Times New Roman" w:cs="Times New Roman"/>
                <w:sz w:val="24"/>
                <w:szCs w:val="24"/>
                <w:lang w:eastAsia="lv-LV"/>
              </w:rPr>
              <w:t>))</w:t>
            </w:r>
            <w:r w:rsidR="001C1887">
              <w:rPr>
                <w:rFonts w:ascii="Times New Roman" w:eastAsia="Times New Roman" w:hAnsi="Times New Roman" w:cs="Times New Roman"/>
                <w:sz w:val="24"/>
                <w:szCs w:val="24"/>
                <w:lang w:eastAsia="lv-LV"/>
              </w:rPr>
              <w:t>.</w:t>
            </w:r>
          </w:p>
        </w:tc>
      </w:tr>
      <w:tr w:rsidR="008F0111"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5275B5D"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BB05B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3416645" w:rsidR="008F0111" w:rsidRPr="00B45BE2" w:rsidRDefault="008F0111" w:rsidP="008F011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atbilstoši </w:t>
            </w:r>
            <w:r w:rsidRPr="00B87C59">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hyperlink r:id="rId18" w:history="1">
              <w:r w:rsidRPr="00D50D3B">
                <w:rPr>
                  <w:rStyle w:val="Hyperlink"/>
                </w:rPr>
                <w:t>https://op.europa.eu/en/publication-detail/-/publication/120c6fcc-3841-4596-9256-4fd709c49ae4</w:t>
              </w:r>
            </w:hyperlink>
            <w:r>
              <w:t xml:space="preserve"> </w:t>
            </w:r>
            <w:r w:rsidRPr="00B87C5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56C04">
              <w:rPr>
                <w:rFonts w:ascii="Times New Roman" w:eastAsia="Times New Roman" w:hAnsi="Times New Roman" w:cs="Times New Roman"/>
                <w:sz w:val="24"/>
                <w:szCs w:val="24"/>
                <w:lang w:eastAsia="lv-LV"/>
              </w:rPr>
              <w:t>42.lpp. 2.1. tabulā</w:t>
            </w:r>
            <w:r>
              <w:rPr>
                <w:rFonts w:ascii="Times New Roman" w:eastAsia="Times New Roman" w:hAnsi="Times New Roman" w:cs="Times New Roman"/>
                <w:sz w:val="24"/>
                <w:szCs w:val="24"/>
                <w:lang w:eastAsia="lv-LV"/>
              </w:rPr>
              <w:t>))</w:t>
            </w:r>
            <w:r w:rsidR="000E4496">
              <w:rPr>
                <w:rFonts w:ascii="Times New Roman" w:eastAsia="Times New Roman" w:hAnsi="Times New Roman" w:cs="Times New Roman"/>
                <w:sz w:val="24"/>
                <w:szCs w:val="24"/>
                <w:lang w:eastAsia="lv-LV"/>
              </w:rPr>
              <w:t>.</w:t>
            </w:r>
          </w:p>
        </w:tc>
      </w:tr>
      <w:tr w:rsidR="008F0111"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19A7F1C"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D95710">
              <w:rPr>
                <w:rFonts w:ascii="Times New Roman" w:eastAsia="Times New Roman" w:hAnsi="Times New Roman" w:cs="Times New Roman"/>
                <w:color w:val="000000"/>
                <w:sz w:val="24"/>
                <w:szCs w:val="24"/>
                <w:lang w:eastAsia="lv-LV"/>
              </w:rPr>
              <w:t>Pasākuma</w:t>
            </w:r>
            <w:r w:rsidR="00D02F6D">
              <w:rPr>
                <w:rFonts w:ascii="Times New Roman" w:eastAsia="Times New Roman" w:hAnsi="Times New Roman" w:cs="Times New Roman"/>
                <w:color w:val="000000"/>
                <w:sz w:val="24"/>
                <w:szCs w:val="24"/>
                <w:lang w:eastAsia="lv-LV"/>
              </w:rPr>
              <w:t xml:space="preserve"> MK</w:t>
            </w:r>
            <w:r w:rsidR="00AF6A85">
              <w:rPr>
                <w:rFonts w:ascii="Times New Roman" w:eastAsia="Times New Roman" w:hAnsi="Times New Roman" w:cs="Times New Roman"/>
                <w:color w:val="000000"/>
                <w:sz w:val="24"/>
                <w:szCs w:val="24"/>
                <w:lang w:eastAsia="lv-LV"/>
              </w:rPr>
              <w:t xml:space="preserve"> </w:t>
            </w:r>
            <w:r w:rsidR="00B22A65">
              <w:rPr>
                <w:rFonts w:ascii="Times New Roman" w:eastAsia="Times New Roman" w:hAnsi="Times New Roman" w:cs="Times New Roman"/>
                <w:color w:val="000000"/>
                <w:sz w:val="24"/>
                <w:szCs w:val="24"/>
                <w:lang w:eastAsia="lv-LV"/>
              </w:rPr>
              <w:t xml:space="preserve">not. </w:t>
            </w:r>
            <w:r w:rsidR="00AF6A85">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oteiktais </w:t>
            </w:r>
            <w:r w:rsidR="00E31E6C">
              <w:rPr>
                <w:rFonts w:ascii="Times New Roman" w:eastAsia="Times New Roman" w:hAnsi="Times New Roman" w:cs="Times New Roman"/>
                <w:color w:val="000000"/>
                <w:sz w:val="24"/>
                <w:szCs w:val="24"/>
                <w:lang w:eastAsia="lv-LV"/>
              </w:rPr>
              <w:t xml:space="preserve">maksimālais </w:t>
            </w:r>
            <w:r>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5939457A" w:rsidR="008F0111" w:rsidRPr="00B45BE2" w:rsidRDefault="008F0111" w:rsidP="008F011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MK noteikum</w:t>
            </w:r>
            <w:r w:rsidR="00653A58">
              <w:rPr>
                <w:rFonts w:ascii="Times New Roman" w:eastAsia="Times New Roman" w:hAnsi="Times New Roman" w:cs="Times New Roman"/>
                <w:sz w:val="24"/>
                <w:szCs w:val="24"/>
                <w:lang w:eastAsia="lv-LV"/>
              </w:rPr>
              <w:t>u 7</w:t>
            </w:r>
            <w:r w:rsidR="009B26E4">
              <w:rPr>
                <w:rFonts w:ascii="Times New Roman" w:eastAsia="Times New Roman" w:hAnsi="Times New Roman" w:cs="Times New Roman"/>
                <w:sz w:val="24"/>
                <w:szCs w:val="24"/>
                <w:lang w:eastAsia="lv-LV"/>
              </w:rPr>
              <w:t>5</w:t>
            </w:r>
            <w:r w:rsidR="00653A58">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 xml:space="preserve"> noteikto ma</w:t>
            </w:r>
            <w:r w:rsidR="000E4496">
              <w:rPr>
                <w:rFonts w:ascii="Times New Roman" w:eastAsia="Times New Roman" w:hAnsi="Times New Roman" w:cs="Times New Roman"/>
                <w:sz w:val="24"/>
                <w:szCs w:val="24"/>
                <w:lang w:eastAsia="lv-LV"/>
              </w:rPr>
              <w:t>ksimāli</w:t>
            </w:r>
            <w:r>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r w:rsidR="00B22A65">
              <w:rPr>
                <w:rFonts w:ascii="Times New Roman" w:eastAsia="Times New Roman" w:hAnsi="Times New Roman" w:cs="Times New Roman"/>
                <w:sz w:val="24"/>
                <w:szCs w:val="24"/>
                <w:lang w:eastAsia="lv-LV"/>
              </w:rPr>
              <w:t>.</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1" w:name="_Toc152234052"/>
      <w:bookmarkStart w:id="22" w:name="_Toc152266402"/>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21"/>
      <w:bookmarkEnd w:id="22"/>
    </w:p>
    <w:p w14:paraId="3277D28A" w14:textId="1A1F84B3"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1.1.A. Iesniedzējs, 1.1.B. Iesniedzējs un 1.1.C. Iesniedzējs tiek norādīta informācija par projekta iesniedzēja (pašvaldība vai tās iestāde, pašvaldības kapitālsabiedrība,</w:t>
      </w:r>
      <w:r w:rsidR="0003063C" w:rsidRPr="0003063C">
        <w:t xml:space="preserve"> </w:t>
      </w:r>
      <w:r w:rsidR="0003063C" w:rsidRPr="0003063C">
        <w:rPr>
          <w:rFonts w:ascii="Times New Roman" w:hAnsi="Times New Roman" w:cs="Times New Roman"/>
          <w:sz w:val="24"/>
          <w:szCs w:val="24"/>
        </w:rPr>
        <w:t xml:space="preserve">kas veic pašvaldības deleģētos pārvaldes uzdevumus, publiski privātā kapitālsabiedrība, kurā kapitāla daļas vai balsstiesīgās akcijas pieder </w:t>
      </w:r>
      <w:r w:rsidR="00D81474">
        <w:rPr>
          <w:rFonts w:ascii="Times New Roman" w:hAnsi="Times New Roman" w:cs="Times New Roman"/>
          <w:sz w:val="24"/>
          <w:szCs w:val="24"/>
        </w:rPr>
        <w:t>vismaz vienai pašvaldībai</w:t>
      </w:r>
      <w:r w:rsidR="0003063C" w:rsidRPr="0003063C">
        <w:rPr>
          <w:rFonts w:ascii="Times New Roman" w:hAnsi="Times New Roman" w:cs="Times New Roman"/>
          <w:sz w:val="24"/>
          <w:szCs w:val="24"/>
        </w:rPr>
        <w:t xml:space="preserve"> un kura veic pašvaldības deleģētos pārvaldes uzdevumus</w:t>
      </w:r>
      <w:r w:rsidR="0065313A">
        <w:rPr>
          <w:rFonts w:ascii="Times New Roman" w:hAnsi="Times New Roman" w:cs="Times New Roman"/>
          <w:sz w:val="24"/>
          <w:szCs w:val="24"/>
        </w:rPr>
        <w:t xml:space="preserve">, </w:t>
      </w:r>
      <w:r w:rsidR="0065313A" w:rsidRPr="0065313A">
        <w:rPr>
          <w:rFonts w:ascii="Times New Roman" w:hAnsi="Times New Roman" w:cs="Times New Roman"/>
          <w:sz w:val="24"/>
          <w:szCs w:val="24"/>
        </w:rPr>
        <w:t>speciālā ekonomiskās zonas pārvalde</w:t>
      </w:r>
      <w:r w:rsidRPr="00846AD3">
        <w:rPr>
          <w:rFonts w:ascii="Times New Roman" w:hAnsi="Times New Roman" w:cs="Times New Roman"/>
          <w:sz w:val="24"/>
          <w:szCs w:val="24"/>
        </w:rPr>
        <w:t>) projektā plānotajām investīciju izmaksām.</w:t>
      </w:r>
    </w:p>
    <w:p w14:paraId="39D4D558" w14:textId="03D5D426"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1.2.1.A. Partneris-1, </w:t>
      </w:r>
      <w:bookmarkStart w:id="23" w:name="_Hlk95479902"/>
      <w:r w:rsidRPr="00846AD3">
        <w:rPr>
          <w:rFonts w:ascii="Times New Roman" w:hAnsi="Times New Roman" w:cs="Times New Roman"/>
          <w:sz w:val="24"/>
          <w:szCs w:val="24"/>
        </w:rPr>
        <w:t xml:space="preserve">1.2.1.B. Partneris-1 </w:t>
      </w:r>
      <w:bookmarkEnd w:id="23"/>
      <w:r w:rsidRPr="00846AD3">
        <w:rPr>
          <w:rFonts w:ascii="Times New Roman" w:hAnsi="Times New Roman" w:cs="Times New Roman"/>
          <w:sz w:val="24"/>
          <w:szCs w:val="24"/>
        </w:rPr>
        <w:t>un 1.2.1.C. Partneris-1</w:t>
      </w:r>
      <w:r w:rsidRPr="007D46B9">
        <w:t xml:space="preserve"> </w:t>
      </w:r>
      <w:r w:rsidRPr="00846AD3">
        <w:rPr>
          <w:rFonts w:ascii="Times New Roman" w:hAnsi="Times New Roman" w:cs="Times New Roman"/>
          <w:sz w:val="24"/>
          <w:szCs w:val="24"/>
        </w:rPr>
        <w:t xml:space="preserve">tiek norādīta informācija par projekta iesniedzēja 1.sadarbības partnera, kas nav privātais komersants (pašvaldība vai tās iestāde, pašvaldības kapitālsabiedrība, </w:t>
      </w:r>
      <w:r w:rsidR="008E26D2" w:rsidRPr="008E26D2">
        <w:rPr>
          <w:rFonts w:ascii="Times New Roman" w:hAnsi="Times New Roman" w:cs="Times New Roman"/>
          <w:sz w:val="24"/>
          <w:szCs w:val="24"/>
        </w:rPr>
        <w:t>kas veic pašvaldības deleģētos pārvaldes uzdevumus,</w:t>
      </w:r>
      <w:r w:rsidR="008E26D2">
        <w:rPr>
          <w:rFonts w:ascii="Times New Roman" w:hAnsi="Times New Roman" w:cs="Times New Roman"/>
          <w:sz w:val="24"/>
          <w:szCs w:val="24"/>
        </w:rPr>
        <w:t xml:space="preserve"> </w:t>
      </w:r>
      <w:r w:rsidRPr="00846AD3">
        <w:rPr>
          <w:rFonts w:ascii="Times New Roman" w:hAnsi="Times New Roman" w:cs="Times New Roman"/>
          <w:sz w:val="24"/>
          <w:szCs w:val="24"/>
        </w:rPr>
        <w:t>tai skaitā sabiedrisko pakalpojumu sniedzējs</w:t>
      </w:r>
      <w:r w:rsidR="00D7719D">
        <w:rPr>
          <w:rFonts w:ascii="Times New Roman" w:hAnsi="Times New Roman" w:cs="Times New Roman"/>
          <w:sz w:val="24"/>
          <w:szCs w:val="24"/>
        </w:rPr>
        <w:t xml:space="preserve">, </w:t>
      </w:r>
      <w:r w:rsidR="00D7719D" w:rsidRPr="008A0C9A">
        <w:rPr>
          <w:rFonts w:ascii="Times New Roman" w:hAnsi="Times New Roman" w:cs="Times New Roman"/>
          <w:sz w:val="24"/>
          <w:szCs w:val="24"/>
        </w:rPr>
        <w:t xml:space="preserve">publiski privātā kapitālsabiedrība, kurā kapitāla daļas vai balsstiesīgās akcijas pieder </w:t>
      </w:r>
      <w:r w:rsidR="0049511F">
        <w:rPr>
          <w:rFonts w:ascii="Times New Roman" w:hAnsi="Times New Roman" w:cs="Times New Roman"/>
          <w:sz w:val="24"/>
          <w:szCs w:val="24"/>
        </w:rPr>
        <w:t>vismaz vienai</w:t>
      </w:r>
      <w:r w:rsidR="00D7719D" w:rsidRPr="008A0C9A">
        <w:rPr>
          <w:rFonts w:ascii="Times New Roman" w:hAnsi="Times New Roman" w:cs="Times New Roman"/>
          <w:sz w:val="24"/>
          <w:szCs w:val="24"/>
        </w:rPr>
        <w:t xml:space="preserve"> </w:t>
      </w:r>
      <w:r w:rsidR="00BF7494" w:rsidRPr="008A0C9A">
        <w:rPr>
          <w:rFonts w:ascii="Times New Roman" w:hAnsi="Times New Roman" w:cs="Times New Roman"/>
          <w:sz w:val="24"/>
          <w:szCs w:val="24"/>
        </w:rPr>
        <w:t>pašvaldīb</w:t>
      </w:r>
      <w:r w:rsidR="00BF7494">
        <w:rPr>
          <w:rFonts w:ascii="Times New Roman" w:hAnsi="Times New Roman" w:cs="Times New Roman"/>
          <w:sz w:val="24"/>
          <w:szCs w:val="24"/>
        </w:rPr>
        <w:t xml:space="preserve">ai </w:t>
      </w:r>
      <w:r w:rsidR="00D7719D" w:rsidRPr="008A0C9A">
        <w:rPr>
          <w:rFonts w:ascii="Times New Roman" w:hAnsi="Times New Roman" w:cs="Times New Roman"/>
          <w:sz w:val="24"/>
          <w:szCs w:val="24"/>
        </w:rPr>
        <w:t>un kura veic pašvaldības deleģētos pārvaldes uzdevumus</w:t>
      </w:r>
      <w:r w:rsidR="00D7719D">
        <w:rPr>
          <w:rFonts w:ascii="Times New Roman" w:hAnsi="Times New Roman" w:cs="Times New Roman"/>
          <w:sz w:val="24"/>
          <w:szCs w:val="24"/>
        </w:rPr>
        <w:t>, speciālā ekonomiskās zonas pārvalde</w:t>
      </w:r>
      <w:r w:rsidRPr="00846AD3">
        <w:rPr>
          <w:rFonts w:ascii="Times New Roman" w:hAnsi="Times New Roman" w:cs="Times New Roman"/>
          <w:sz w:val="24"/>
          <w:szCs w:val="24"/>
        </w:rPr>
        <w:t>) projektā plānotajām investīciju izmaksām.</w:t>
      </w:r>
    </w:p>
    <w:p w14:paraId="3509694F" w14:textId="719F5B2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004D591B" w:rsidRPr="004D591B">
        <w:rPr>
          <w:rFonts w:ascii="Times New Roman" w:hAnsi="Times New Roman" w:cs="Times New Roman"/>
          <w:sz w:val="24"/>
          <w:szCs w:val="24"/>
        </w:rPr>
        <w:t xml:space="preserve">kas veic pašvaldības deleģētos pārvaldes uzdevumus, </w:t>
      </w:r>
      <w:r w:rsidRPr="00846AD3">
        <w:rPr>
          <w:rFonts w:ascii="Times New Roman" w:hAnsi="Times New Roman" w:cs="Times New Roman"/>
          <w:sz w:val="24"/>
          <w:szCs w:val="24"/>
        </w:rPr>
        <w:t>tai skaitā sabiedrisko pakalpojumu sniedzējs</w:t>
      </w:r>
      <w:r w:rsidR="00E632B3">
        <w:rPr>
          <w:rFonts w:ascii="Times New Roman" w:hAnsi="Times New Roman" w:cs="Times New Roman"/>
          <w:sz w:val="24"/>
          <w:szCs w:val="24"/>
        </w:rPr>
        <w:t xml:space="preserve">, </w:t>
      </w:r>
      <w:r w:rsidR="00E632B3" w:rsidRPr="00E632B3">
        <w:rPr>
          <w:rFonts w:ascii="Times New Roman" w:hAnsi="Times New Roman" w:cs="Times New Roman"/>
          <w:sz w:val="24"/>
          <w:szCs w:val="24"/>
        </w:rPr>
        <w:t xml:space="preserve">publiski privātā kapitālsabiedrība, kurā kapitāla daļas vai balsstiesīgās akcijas pieder </w:t>
      </w:r>
      <w:r w:rsidR="006C4716">
        <w:rPr>
          <w:rFonts w:ascii="Times New Roman" w:hAnsi="Times New Roman" w:cs="Times New Roman"/>
          <w:sz w:val="24"/>
          <w:szCs w:val="24"/>
        </w:rPr>
        <w:t>vismaz vienai pašvaldībai</w:t>
      </w:r>
      <w:r w:rsidR="00E632B3" w:rsidRPr="00E632B3">
        <w:rPr>
          <w:rFonts w:ascii="Times New Roman" w:hAnsi="Times New Roman" w:cs="Times New Roman"/>
          <w:sz w:val="24"/>
          <w:szCs w:val="24"/>
        </w:rPr>
        <w:t xml:space="preserve"> un kura veic pašvaldības deleģētos pārvaldes uzdevumus, speciālā ekonomiskās zonas pārvalde</w:t>
      </w:r>
      <w:r w:rsidRPr="00846AD3">
        <w:rPr>
          <w:rFonts w:ascii="Times New Roman" w:hAnsi="Times New Roman" w:cs="Times New Roman"/>
          <w:sz w:val="24"/>
          <w:szCs w:val="24"/>
        </w:rPr>
        <w:t>) projektā plānotajām investīciju izmaksām.</w:t>
      </w:r>
    </w:p>
    <w:p w14:paraId="4519DB75" w14:textId="3B88D794"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1.3.1. </w:t>
      </w:r>
      <w:r w:rsidR="00E54373">
        <w:rPr>
          <w:rFonts w:ascii="Times New Roman" w:hAnsi="Times New Roman" w:cs="Times New Roman"/>
          <w:sz w:val="24"/>
          <w:szCs w:val="24"/>
        </w:rPr>
        <w:t>R</w:t>
      </w:r>
      <w:r w:rsidR="001D5E33">
        <w:rPr>
          <w:rFonts w:ascii="Times New Roman" w:hAnsi="Times New Roman" w:cs="Times New Roman"/>
          <w:sz w:val="24"/>
          <w:szCs w:val="24"/>
        </w:rPr>
        <w:t>.14, 41.</w:t>
      </w:r>
      <w:r w:rsidR="002E6DB2">
        <w:rPr>
          <w:rFonts w:ascii="Times New Roman" w:hAnsi="Times New Roman" w:cs="Times New Roman"/>
          <w:sz w:val="24"/>
          <w:szCs w:val="24"/>
        </w:rPr>
        <w:t>,</w:t>
      </w:r>
      <w:r w:rsidR="001D5E33">
        <w:rPr>
          <w:rFonts w:ascii="Times New Roman" w:hAnsi="Times New Roman" w:cs="Times New Roman"/>
          <w:sz w:val="24"/>
          <w:szCs w:val="24"/>
        </w:rPr>
        <w:t xml:space="preserve">45. </w:t>
      </w:r>
      <w:r w:rsidR="00832370">
        <w:rPr>
          <w:rFonts w:ascii="Times New Roman" w:hAnsi="Times New Roman" w:cs="Times New Roman"/>
          <w:sz w:val="24"/>
          <w:szCs w:val="24"/>
        </w:rPr>
        <w:t xml:space="preserve">vai </w:t>
      </w:r>
      <w:r w:rsidR="001D5E33">
        <w:rPr>
          <w:rFonts w:ascii="Times New Roman" w:hAnsi="Times New Roman" w:cs="Times New Roman"/>
          <w:sz w:val="24"/>
          <w:szCs w:val="24"/>
        </w:rPr>
        <w:t>dz.c</w:t>
      </w:r>
      <w:r w:rsidR="0003601E">
        <w:rPr>
          <w:rFonts w:ascii="Times New Roman" w:hAnsi="Times New Roman" w:cs="Times New Roman"/>
          <w:sz w:val="24"/>
          <w:szCs w:val="24"/>
        </w:rPr>
        <w:t>.</w:t>
      </w:r>
      <w:r w:rsidR="00832370">
        <w:rPr>
          <w:rFonts w:ascii="Times New Roman" w:hAnsi="Times New Roman" w:cs="Times New Roman"/>
          <w:sz w:val="24"/>
          <w:szCs w:val="24"/>
        </w:rPr>
        <w:t>s.</w:t>
      </w:r>
      <w:r w:rsidRPr="00846AD3">
        <w:rPr>
          <w:rFonts w:ascii="Times New Roman" w:hAnsi="Times New Roman" w:cs="Times New Roman"/>
          <w:sz w:val="24"/>
          <w:szCs w:val="24"/>
        </w:rPr>
        <w:t xml:space="preserve"> tiek norādīta informācija par projekta iesniedzēja </w:t>
      </w:r>
      <w:r w:rsidR="0003601E">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0087401D">
        <w:rPr>
          <w:rFonts w:ascii="Times New Roman" w:hAnsi="Times New Roman" w:cs="Times New Roman"/>
          <w:sz w:val="24"/>
          <w:szCs w:val="24"/>
        </w:rPr>
        <w:t xml:space="preserve"> </w:t>
      </w:r>
      <w:r w:rsidRPr="00846AD3">
        <w:rPr>
          <w:rFonts w:ascii="Times New Roman" w:hAnsi="Times New Roman" w:cs="Times New Roman"/>
          <w:sz w:val="24"/>
          <w:szCs w:val="24"/>
        </w:rPr>
        <w:t>projektā plānotajām investīciju izmaksām</w:t>
      </w:r>
      <w:r w:rsidR="0090444B">
        <w:rPr>
          <w:rFonts w:ascii="Times New Roman" w:hAnsi="Times New Roman" w:cs="Times New Roman"/>
          <w:sz w:val="24"/>
          <w:szCs w:val="24"/>
        </w:rPr>
        <w:t xml:space="preserve"> atbilstoši </w:t>
      </w:r>
      <w:r w:rsidR="00F977A9">
        <w:rPr>
          <w:rFonts w:ascii="Times New Roman" w:hAnsi="Times New Roman" w:cs="Times New Roman"/>
          <w:sz w:val="24"/>
          <w:szCs w:val="24"/>
        </w:rPr>
        <w:t xml:space="preserve">Regulas </w:t>
      </w:r>
      <w:r w:rsidR="003A297A">
        <w:rPr>
          <w:rFonts w:ascii="Times New Roman" w:hAnsi="Times New Roman" w:cs="Times New Roman"/>
          <w:sz w:val="24"/>
          <w:szCs w:val="24"/>
        </w:rPr>
        <w:t xml:space="preserve">Nr. 651/2014 </w:t>
      </w:r>
      <w:r w:rsidR="007D1B33">
        <w:rPr>
          <w:rFonts w:ascii="Times New Roman" w:hAnsi="Times New Roman" w:cs="Times New Roman"/>
          <w:sz w:val="24"/>
          <w:szCs w:val="24"/>
        </w:rPr>
        <w:t xml:space="preserve">14., </w:t>
      </w:r>
      <w:r w:rsidR="00A768C9">
        <w:rPr>
          <w:rFonts w:ascii="Times New Roman" w:hAnsi="Times New Roman" w:cs="Times New Roman"/>
          <w:sz w:val="24"/>
          <w:szCs w:val="24"/>
        </w:rPr>
        <w:t xml:space="preserve">41., 45.pantam </w:t>
      </w:r>
      <w:r w:rsidR="007C7AD7">
        <w:rPr>
          <w:rFonts w:ascii="Times New Roman" w:hAnsi="Times New Roman" w:cs="Times New Roman"/>
          <w:sz w:val="24"/>
          <w:szCs w:val="24"/>
        </w:rPr>
        <w:t xml:space="preserve">vai </w:t>
      </w:r>
      <w:r w:rsidR="00A9317B">
        <w:rPr>
          <w:rFonts w:ascii="Times New Roman" w:hAnsi="Times New Roman" w:cs="Times New Roman"/>
          <w:sz w:val="24"/>
          <w:szCs w:val="24"/>
        </w:rPr>
        <w:t>atbilstoši</w:t>
      </w:r>
      <w:r w:rsidR="00A768C9">
        <w:rPr>
          <w:rFonts w:ascii="Times New Roman" w:hAnsi="Times New Roman" w:cs="Times New Roman"/>
          <w:sz w:val="24"/>
          <w:szCs w:val="24"/>
        </w:rPr>
        <w:t xml:space="preserve"> MK noteikumu</w:t>
      </w:r>
      <w:r w:rsidR="00816CF6">
        <w:rPr>
          <w:rFonts w:ascii="Times New Roman" w:hAnsi="Times New Roman" w:cs="Times New Roman"/>
          <w:sz w:val="24"/>
          <w:szCs w:val="24"/>
        </w:rPr>
        <w:t xml:space="preserve"> </w:t>
      </w:r>
      <w:r w:rsidR="001A219F">
        <w:rPr>
          <w:rFonts w:ascii="Times New Roman" w:hAnsi="Times New Roman" w:cs="Times New Roman"/>
          <w:sz w:val="24"/>
          <w:szCs w:val="24"/>
        </w:rPr>
        <w:t>49.pu</w:t>
      </w:r>
      <w:r w:rsidR="00816CF6">
        <w:rPr>
          <w:rFonts w:ascii="Times New Roman" w:hAnsi="Times New Roman" w:cs="Times New Roman"/>
          <w:sz w:val="24"/>
          <w:szCs w:val="24"/>
        </w:rPr>
        <w:t>nktam</w:t>
      </w:r>
      <w:r w:rsidRPr="00846AD3">
        <w:rPr>
          <w:rFonts w:ascii="Times New Roman" w:hAnsi="Times New Roman" w:cs="Times New Roman"/>
          <w:sz w:val="24"/>
          <w:szCs w:val="24"/>
        </w:rPr>
        <w:t>.</w:t>
      </w:r>
    </w:p>
    <w:p w14:paraId="0C04F697" w14:textId="59B9F2F8" w:rsidR="00CB74B8"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1.3.2. </w:t>
      </w:r>
      <w:r w:rsidR="00816CF6">
        <w:rPr>
          <w:rFonts w:ascii="Times New Roman" w:hAnsi="Times New Roman" w:cs="Times New Roman"/>
          <w:sz w:val="24"/>
          <w:szCs w:val="24"/>
        </w:rPr>
        <w:t>R</w:t>
      </w:r>
      <w:r w:rsidR="008F232B">
        <w:rPr>
          <w:rFonts w:ascii="Times New Roman" w:hAnsi="Times New Roman" w:cs="Times New Roman"/>
          <w:sz w:val="24"/>
          <w:szCs w:val="24"/>
        </w:rPr>
        <w:t>.14.,41.</w:t>
      </w:r>
      <w:r w:rsidR="002E6DB2">
        <w:rPr>
          <w:rFonts w:ascii="Times New Roman" w:hAnsi="Times New Roman" w:cs="Times New Roman"/>
          <w:sz w:val="24"/>
          <w:szCs w:val="24"/>
        </w:rPr>
        <w:t>,</w:t>
      </w:r>
      <w:r w:rsidR="008F232B">
        <w:rPr>
          <w:rFonts w:ascii="Times New Roman" w:hAnsi="Times New Roman" w:cs="Times New Roman"/>
          <w:sz w:val="24"/>
          <w:szCs w:val="24"/>
        </w:rPr>
        <w:t>45</w:t>
      </w:r>
      <w:r w:rsidR="000F4AC7">
        <w:rPr>
          <w:rFonts w:ascii="Times New Roman" w:hAnsi="Times New Roman" w:cs="Times New Roman"/>
          <w:sz w:val="24"/>
          <w:szCs w:val="24"/>
        </w:rPr>
        <w:t>.</w:t>
      </w:r>
      <w:r w:rsidR="00D43019">
        <w:rPr>
          <w:rFonts w:ascii="Times New Roman" w:hAnsi="Times New Roman" w:cs="Times New Roman"/>
          <w:sz w:val="24"/>
          <w:szCs w:val="24"/>
        </w:rPr>
        <w:t>vai</w:t>
      </w:r>
      <w:r w:rsidR="000F4AC7">
        <w:rPr>
          <w:rFonts w:ascii="Times New Roman" w:hAnsi="Times New Roman" w:cs="Times New Roman"/>
          <w:sz w:val="24"/>
          <w:szCs w:val="24"/>
        </w:rPr>
        <w:t xml:space="preserve"> dz.c.</w:t>
      </w:r>
      <w:r w:rsidR="00D43019">
        <w:rPr>
          <w:rFonts w:ascii="Times New Roman" w:hAnsi="Times New Roman" w:cs="Times New Roman"/>
          <w:sz w:val="24"/>
          <w:szCs w:val="24"/>
        </w:rPr>
        <w:t>s.</w:t>
      </w:r>
      <w:r w:rsidRPr="00846AD3">
        <w:rPr>
          <w:rFonts w:ascii="Times New Roman" w:hAnsi="Times New Roman" w:cs="Times New Roman"/>
          <w:sz w:val="24"/>
          <w:szCs w:val="24"/>
        </w:rPr>
        <w:t xml:space="preserve"> tiek norādīta informācija par projekta iesniedzēja </w:t>
      </w:r>
      <w:r w:rsidR="000F4AC7">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Pr="00846AD3">
        <w:rPr>
          <w:rFonts w:ascii="Times New Roman" w:hAnsi="Times New Roman" w:cs="Times New Roman"/>
          <w:sz w:val="24"/>
          <w:szCs w:val="24"/>
        </w:rPr>
        <w:t>projektā plānotajām investīciju izmaksām</w:t>
      </w:r>
      <w:r w:rsidR="00B32FB2" w:rsidRPr="00B32FB2">
        <w:rPr>
          <w:rFonts w:ascii="Times New Roman" w:hAnsi="Times New Roman" w:cs="Times New Roman"/>
          <w:sz w:val="24"/>
          <w:szCs w:val="24"/>
        </w:rPr>
        <w:t xml:space="preserve"> </w:t>
      </w:r>
      <w:r w:rsidR="00B32FB2">
        <w:rPr>
          <w:rFonts w:ascii="Times New Roman" w:hAnsi="Times New Roman" w:cs="Times New Roman"/>
          <w:sz w:val="24"/>
          <w:szCs w:val="24"/>
        </w:rPr>
        <w:t xml:space="preserve">atbilstoši Regulas Nr. 651/2014 14., 41., 45.pantam </w:t>
      </w:r>
      <w:r w:rsidR="00AD6E1D">
        <w:rPr>
          <w:rFonts w:ascii="Times New Roman" w:hAnsi="Times New Roman" w:cs="Times New Roman"/>
          <w:sz w:val="24"/>
          <w:szCs w:val="24"/>
        </w:rPr>
        <w:t>vai</w:t>
      </w:r>
      <w:r w:rsidR="00A9317B">
        <w:rPr>
          <w:rFonts w:ascii="Times New Roman" w:hAnsi="Times New Roman" w:cs="Times New Roman"/>
          <w:sz w:val="24"/>
          <w:szCs w:val="24"/>
        </w:rPr>
        <w:t xml:space="preserve"> atbilstoši</w:t>
      </w:r>
      <w:r w:rsidR="00B32FB2">
        <w:rPr>
          <w:rFonts w:ascii="Times New Roman" w:hAnsi="Times New Roman" w:cs="Times New Roman"/>
          <w:sz w:val="24"/>
          <w:szCs w:val="24"/>
        </w:rPr>
        <w:t xml:space="preserve"> MK noteikumu </w:t>
      </w:r>
      <w:r w:rsidR="001A219F">
        <w:rPr>
          <w:rFonts w:ascii="Times New Roman" w:hAnsi="Times New Roman" w:cs="Times New Roman"/>
          <w:sz w:val="24"/>
          <w:szCs w:val="24"/>
        </w:rPr>
        <w:t>49.pu</w:t>
      </w:r>
      <w:r w:rsidR="00B32FB2">
        <w:rPr>
          <w:rFonts w:ascii="Times New Roman" w:hAnsi="Times New Roman" w:cs="Times New Roman"/>
          <w:sz w:val="24"/>
          <w:szCs w:val="24"/>
        </w:rPr>
        <w:t>nktam</w:t>
      </w:r>
      <w:r w:rsidRPr="00846AD3">
        <w:rPr>
          <w:rFonts w:ascii="Times New Roman" w:hAnsi="Times New Roman" w:cs="Times New Roman"/>
          <w:sz w:val="24"/>
          <w:szCs w:val="24"/>
        </w:rPr>
        <w:t>.</w:t>
      </w:r>
    </w:p>
    <w:p w14:paraId="3DC131A6" w14:textId="32990E6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3</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45. vai dz.c.s.</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2A4E4BEE" w14:textId="017F3DC0"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4</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45. vai dz.c.s.</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1F718955" w14:textId="432024D1"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5</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45. vai dz.c.s.</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44FA6D07" w14:textId="55CAE85B"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6</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45. vai dz.c.s.</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3574C597" w14:textId="59BB76C1"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FC1BAD" w:rsidRPr="00FC1BAD">
        <w:rPr>
          <w:rFonts w:ascii="Times New Roman" w:hAnsi="Times New Roman" w:cs="Times New Roman"/>
          <w:sz w:val="24"/>
          <w:szCs w:val="24"/>
        </w:rPr>
        <w:t xml:space="preserve">komercdarbības </w:t>
      </w:r>
      <w:r w:rsidRPr="00846AD3">
        <w:rPr>
          <w:rFonts w:ascii="Times New Roman" w:hAnsi="Times New Roman" w:cs="Times New Roman"/>
          <w:sz w:val="24"/>
          <w:szCs w:val="24"/>
        </w:rPr>
        <w:t xml:space="preserve"> atbalsta veidiem un precīzi noteiktu finansējuma avotu sadalījumu.</w:t>
      </w:r>
    </w:p>
    <w:p w14:paraId="5BCCF750" w14:textId="498E2165" w:rsidR="00CB74B8" w:rsidRPr="00846AD3" w:rsidRDefault="00CB74B8" w:rsidP="00846AD3">
      <w:pPr>
        <w:ind w:left="360"/>
        <w:jc w:val="both"/>
        <w:rPr>
          <w:rFonts w:ascii="Times New Roman" w:hAnsi="Times New Roman" w:cs="Times New Roman"/>
          <w:sz w:val="24"/>
          <w:szCs w:val="24"/>
        </w:rPr>
      </w:pPr>
      <w:r w:rsidRPr="009A3F6A">
        <w:rPr>
          <w:rFonts w:ascii="Times New Roman" w:hAnsi="Times New Roman" w:cs="Times New Roman"/>
          <w:sz w:val="24"/>
          <w:szCs w:val="24"/>
        </w:rPr>
        <w:lastRenderedPageBreak/>
        <w:t>Izklājlapās 1.1.A. Iesniedzējs,</w:t>
      </w:r>
      <w:r w:rsidRPr="009A3F6A">
        <w:t xml:space="preserve"> </w:t>
      </w:r>
      <w:r w:rsidRPr="009A3F6A">
        <w:rPr>
          <w:rFonts w:ascii="Times New Roman" w:hAnsi="Times New Roman" w:cs="Times New Roman"/>
          <w:sz w:val="24"/>
          <w:szCs w:val="24"/>
        </w:rPr>
        <w:t xml:space="preserve">1.2.1.A. Partneris-1 un 1.2.2.A. Partneris-2 tiek norādīta informācija par projekta izmaksām darbībām, kas nekvalificējas kā </w:t>
      </w:r>
      <w:r w:rsidR="00F43B89">
        <w:rPr>
          <w:rFonts w:ascii="Times New Roman" w:hAnsi="Times New Roman" w:cs="Times New Roman"/>
          <w:sz w:val="24"/>
          <w:szCs w:val="24"/>
        </w:rPr>
        <w:t>ko</w:t>
      </w:r>
      <w:r w:rsidR="008B421B">
        <w:rPr>
          <w:rFonts w:ascii="Times New Roman" w:hAnsi="Times New Roman" w:cs="Times New Roman"/>
          <w:sz w:val="24"/>
          <w:szCs w:val="24"/>
        </w:rPr>
        <w:t>mercdarbības</w:t>
      </w:r>
      <w:r w:rsidRPr="009A3F6A">
        <w:rPr>
          <w:rFonts w:ascii="Times New Roman" w:hAnsi="Times New Roman" w:cs="Times New Roman"/>
          <w:sz w:val="24"/>
          <w:szCs w:val="24"/>
        </w:rPr>
        <w:t xml:space="preserve"> atbalsts</w:t>
      </w:r>
      <w:r w:rsidRPr="00846AD3">
        <w:rPr>
          <w:rFonts w:ascii="Times New Roman" w:hAnsi="Times New Roman" w:cs="Times New Roman"/>
          <w:sz w:val="24"/>
          <w:szCs w:val="24"/>
        </w:rPr>
        <w:t>.</w:t>
      </w:r>
      <w:r w:rsidR="004F2066" w:rsidRPr="004F2066">
        <w:t xml:space="preserve"> </w:t>
      </w:r>
      <w:r w:rsidR="004F2066" w:rsidRPr="004F2066">
        <w:rPr>
          <w:rFonts w:ascii="Times New Roman" w:hAnsi="Times New Roman"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14:paraId="6138A083" w14:textId="023578E8" w:rsidR="00CB74B8" w:rsidRPr="00846AD3" w:rsidRDefault="00CB74B8" w:rsidP="00846AD3">
      <w:pPr>
        <w:ind w:left="360"/>
        <w:jc w:val="both"/>
        <w:rPr>
          <w:rFonts w:ascii="Times New Roman" w:hAnsi="Times New Roman" w:cs="Times New Roman"/>
          <w:sz w:val="24"/>
          <w:szCs w:val="24"/>
        </w:rPr>
      </w:pPr>
      <w:r w:rsidRPr="29F7F8EA">
        <w:rPr>
          <w:rFonts w:ascii="Times New Roman" w:hAnsi="Times New Roman" w:cs="Times New Roman"/>
          <w:sz w:val="24"/>
          <w:szCs w:val="24"/>
        </w:rPr>
        <w:t xml:space="preserve">Izklājlapās 1.1.B. Iesniedzējs, 1.2.1.B. Partneris-1 un 1.2.2.B. Partneris-2 tiek norādīta informācija par projekta izmaksām darbībām, kas kvalificējas kā </w:t>
      </w:r>
      <w:r w:rsidR="002D4D69" w:rsidRPr="29F7F8EA">
        <w:rPr>
          <w:rFonts w:ascii="Times New Roman" w:hAnsi="Times New Roman" w:cs="Times New Roman"/>
          <w:sz w:val="24"/>
          <w:szCs w:val="24"/>
        </w:rPr>
        <w:t>komercdarbības</w:t>
      </w:r>
      <w:r w:rsidRPr="29F7F8EA">
        <w:rPr>
          <w:rFonts w:ascii="Times New Roman" w:hAnsi="Times New Roman" w:cs="Times New Roman"/>
          <w:sz w:val="24"/>
          <w:szCs w:val="24"/>
        </w:rPr>
        <w:t xml:space="preserve"> atbalsts (KOMISIJAS REGULAS (ES) Nr. 651/2014 56.pants</w:t>
      </w:r>
      <w:r w:rsidR="00504941" w:rsidRPr="29F7F8EA">
        <w:rPr>
          <w:rFonts w:ascii="Times New Roman" w:hAnsi="Times New Roman" w:cs="Times New Roman"/>
          <w:sz w:val="24"/>
          <w:szCs w:val="24"/>
        </w:rPr>
        <w:t xml:space="preserve"> un </w:t>
      </w:r>
      <w:r w:rsidR="00504941" w:rsidRPr="29F7F8EA">
        <w:rPr>
          <w:rFonts w:ascii="Times New Roman" w:hAnsi="Times New Roman" w:cs="Times New Roman"/>
          <w:i/>
          <w:iCs/>
          <w:sz w:val="24"/>
          <w:szCs w:val="24"/>
        </w:rPr>
        <w:t>de minimis</w:t>
      </w:r>
      <w:r w:rsidR="00504941" w:rsidRPr="29F7F8EA">
        <w:rPr>
          <w:rFonts w:ascii="Times New Roman" w:hAnsi="Times New Roman" w:cs="Times New Roman"/>
          <w:sz w:val="24"/>
          <w:szCs w:val="24"/>
        </w:rPr>
        <w:t xml:space="preserve"> atbalsts projekta sagatavošanas izmaksām</w:t>
      </w:r>
      <w:r w:rsidRPr="29F7F8EA">
        <w:rPr>
          <w:rFonts w:ascii="Times New Roman" w:hAnsi="Times New Roman" w:cs="Times New Roman"/>
          <w:sz w:val="24"/>
          <w:szCs w:val="24"/>
        </w:rPr>
        <w:t>).</w:t>
      </w:r>
      <w:r w:rsidR="002F653F" w:rsidRPr="29F7F8EA">
        <w:rPr>
          <w:rFonts w:ascii="Times New Roman" w:hAnsi="Times New Roman" w:cs="Times New Roman"/>
          <w:sz w:val="24"/>
          <w:szCs w:val="24"/>
        </w:rPr>
        <w:t xml:space="preserve"> Šajā izklājlapā norāda izmaksas dzelzceļa infrastruktūras iekšējam tīklam atbilstoši MK noteikumu 3</w:t>
      </w:r>
      <w:r w:rsidR="45CE7995" w:rsidRPr="29F7F8EA">
        <w:rPr>
          <w:rFonts w:ascii="Times New Roman" w:hAnsi="Times New Roman" w:cs="Times New Roman"/>
          <w:sz w:val="24"/>
          <w:szCs w:val="24"/>
        </w:rPr>
        <w:t>6</w:t>
      </w:r>
      <w:r w:rsidR="002F653F" w:rsidRPr="29F7F8EA">
        <w:rPr>
          <w:rFonts w:ascii="Times New Roman" w:hAnsi="Times New Roman" w:cs="Times New Roman"/>
          <w:sz w:val="24"/>
          <w:szCs w:val="24"/>
        </w:rPr>
        <w:t>.1.</w:t>
      </w:r>
      <w:r w:rsidR="00E06BB1" w:rsidRPr="29F7F8EA">
        <w:rPr>
          <w:rFonts w:ascii="Times New Roman" w:hAnsi="Times New Roman" w:cs="Times New Roman"/>
          <w:sz w:val="24"/>
          <w:szCs w:val="24"/>
        </w:rPr>
        <w:t>2</w:t>
      </w:r>
      <w:r w:rsidR="002F653F" w:rsidRPr="29F7F8EA">
        <w:rPr>
          <w:rFonts w:ascii="Times New Roman" w:hAnsi="Times New Roman" w:cs="Times New Roman"/>
          <w:sz w:val="24"/>
          <w:szCs w:val="24"/>
        </w:rPr>
        <w:t>.apakšpunktam (</w:t>
      </w:r>
      <w:r w:rsidR="00F76739" w:rsidRPr="29F7F8EA">
        <w:rPr>
          <w:rFonts w:ascii="Times New Roman" w:hAnsi="Times New Roman" w:cs="Times New Roman"/>
          <w:sz w:val="24"/>
          <w:szCs w:val="24"/>
        </w:rPr>
        <w:t>i</w:t>
      </w:r>
      <w:r w:rsidR="002F653F" w:rsidRPr="29F7F8EA">
        <w:rPr>
          <w:rFonts w:ascii="Times New Roman" w:hAnsi="Times New Roman" w:cs="Times New Roman"/>
          <w:sz w:val="24"/>
          <w:szCs w:val="24"/>
        </w:rPr>
        <w:t xml:space="preserve">zklājlapās norāda izmaksas darbības Nr.7 “Darbības nomas infrastruktūrai, ja nav zināms komersants (komercdarbības atbalsts, regulas Nr.651/2014 56.pants, </w:t>
      </w:r>
      <w:r w:rsidR="002F653F" w:rsidRPr="29F7F8EA">
        <w:rPr>
          <w:rFonts w:ascii="Times New Roman" w:hAnsi="Times New Roman" w:cs="Times New Roman"/>
          <w:i/>
          <w:iCs/>
          <w:sz w:val="24"/>
          <w:szCs w:val="24"/>
        </w:rPr>
        <w:t>de minimis</w:t>
      </w:r>
      <w:r w:rsidR="002F653F" w:rsidRPr="29F7F8EA">
        <w:rPr>
          <w:rFonts w:ascii="Times New Roman" w:hAnsi="Times New Roman" w:cs="Times New Roman"/>
          <w:sz w:val="24"/>
          <w:szCs w:val="24"/>
        </w:rPr>
        <w:t xml:space="preserve"> projekta sagatavošanai)” ietvaros, izmaksu kopsummām minētajās izklājlapās jāsakrīt ar nolikuma 6.pielikumu “Projekta budžeta kopsavilkuma pielikums”).</w:t>
      </w:r>
    </w:p>
    <w:p w14:paraId="5472A35F" w14:textId="14B52D9A"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3E6FEE">
        <w:rPr>
          <w:rFonts w:ascii="Times New Roman" w:hAnsi="Times New Roman" w:cs="Times New Roman"/>
          <w:sz w:val="24"/>
          <w:szCs w:val="24"/>
        </w:rPr>
        <w:t xml:space="preserve"> </w:t>
      </w:r>
      <w:r w:rsidR="00A505E3">
        <w:rPr>
          <w:rFonts w:ascii="Times New Roman" w:hAnsi="Times New Roman" w:cs="Times New Roman"/>
          <w:sz w:val="24"/>
          <w:szCs w:val="24"/>
        </w:rPr>
        <w:t>(izklājlapās norāda izmaksas darbības Nr.2 “</w:t>
      </w:r>
      <w:r w:rsidR="00A505E3" w:rsidRPr="00C80D40">
        <w:rPr>
          <w:rFonts w:ascii="Times New Roman" w:hAnsi="Times New Roman" w:cs="Times New Roman"/>
          <w:sz w:val="24"/>
          <w:szCs w:val="24"/>
        </w:rPr>
        <w:t xml:space="preserve">Darbības </w:t>
      </w:r>
      <w:r w:rsidR="00A505E3">
        <w:rPr>
          <w:rFonts w:ascii="Times New Roman" w:hAnsi="Times New Roman" w:cs="Times New Roman"/>
          <w:sz w:val="24"/>
          <w:szCs w:val="24"/>
        </w:rPr>
        <w:t>ūdenssaimniecībai (komercdarbības atbalsts)” un darbības Nr.3 “Darbības siltumapgādei (komercdarbības atbalsts)” ietvaros, izmaksu kopsummām minētajās izklājlapās jāsakrīt ar nolikuma 6.pielikumu “Projekta budžeta kopsavilkuma pielikums”</w:t>
      </w:r>
      <w:r w:rsidR="003E6FEE">
        <w:rPr>
          <w:rFonts w:ascii="Times New Roman" w:hAnsi="Times New Roman" w:cs="Times New Roman"/>
          <w:sz w:val="24"/>
          <w:szCs w:val="24"/>
        </w:rPr>
        <w:t>.</w:t>
      </w:r>
    </w:p>
    <w:p w14:paraId="4CF24EEC" w14:textId="6D920B64" w:rsidR="00CB74B8" w:rsidRDefault="00CB74B8" w:rsidP="005A7958">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0055411F" w:rsidRPr="0055411F">
        <w:rPr>
          <w:rFonts w:ascii="Times New Roman" w:hAnsi="Times New Roman" w:cs="Times New Roman"/>
          <w:sz w:val="24"/>
          <w:szCs w:val="24"/>
        </w:rPr>
        <w:t xml:space="preserve">1.3.1. </w:t>
      </w:r>
      <w:r w:rsidR="005E5BE0" w:rsidRPr="005E5BE0">
        <w:rPr>
          <w:rFonts w:ascii="Times New Roman" w:hAnsi="Times New Roman" w:cs="Times New Roman"/>
          <w:sz w:val="24"/>
          <w:szCs w:val="24"/>
        </w:rPr>
        <w:t>R.14.,41.</w:t>
      </w:r>
      <w:r w:rsidR="00D30D60">
        <w:rPr>
          <w:rFonts w:ascii="Times New Roman" w:hAnsi="Times New Roman" w:cs="Times New Roman"/>
          <w:sz w:val="24"/>
          <w:szCs w:val="24"/>
        </w:rPr>
        <w:t>,</w:t>
      </w:r>
      <w:r w:rsidR="005E5BE0" w:rsidRPr="005E5BE0">
        <w:rPr>
          <w:rFonts w:ascii="Times New Roman" w:hAnsi="Times New Roman" w:cs="Times New Roman"/>
          <w:sz w:val="24"/>
          <w:szCs w:val="24"/>
        </w:rPr>
        <w:t>45.</w:t>
      </w:r>
      <w:r w:rsidR="00D30D60">
        <w:rPr>
          <w:rFonts w:ascii="Times New Roman" w:hAnsi="Times New Roman" w:cs="Times New Roman"/>
          <w:sz w:val="24"/>
          <w:szCs w:val="24"/>
        </w:rPr>
        <w:t>vai</w:t>
      </w:r>
      <w:r w:rsidR="005E5BE0" w:rsidRPr="005E5BE0">
        <w:rPr>
          <w:rFonts w:ascii="Times New Roman" w:hAnsi="Times New Roman" w:cs="Times New Roman"/>
          <w:sz w:val="24"/>
          <w:szCs w:val="24"/>
        </w:rPr>
        <w:t xml:space="preserve"> dz.c.</w:t>
      </w:r>
      <w:r w:rsidR="00395F95">
        <w:rPr>
          <w:rFonts w:ascii="Times New Roman" w:hAnsi="Times New Roman" w:cs="Times New Roman"/>
          <w:sz w:val="24"/>
          <w:szCs w:val="24"/>
        </w:rPr>
        <w:t>s</w:t>
      </w:r>
      <w:r w:rsidR="0055411F" w:rsidRPr="0055411F">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2</w:t>
      </w:r>
      <w:r w:rsidR="00395F95" w:rsidRPr="00395F95">
        <w:rPr>
          <w:rFonts w:ascii="Times New Roman" w:hAnsi="Times New Roman" w:cs="Times New Roman"/>
          <w:sz w:val="24"/>
          <w:szCs w:val="24"/>
        </w:rPr>
        <w:t>. R.14.,41.,45.vai dz.c.s.</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3</w:t>
      </w:r>
      <w:r w:rsidR="00395F95" w:rsidRPr="00395F95">
        <w:rPr>
          <w:rFonts w:ascii="Times New Roman" w:hAnsi="Times New Roman" w:cs="Times New Roman"/>
          <w:sz w:val="24"/>
          <w:szCs w:val="24"/>
        </w:rPr>
        <w:t>. R.14.,41.,45.vai dz.c.s.</w:t>
      </w:r>
      <w:r w:rsidR="00FB7673">
        <w:rPr>
          <w:rFonts w:ascii="Times New Roman" w:hAnsi="Times New Roman" w:cs="Times New Roman"/>
          <w:sz w:val="24"/>
          <w:szCs w:val="24"/>
        </w:rPr>
        <w:t>,</w:t>
      </w:r>
      <w:r w:rsidR="00395F95" w:rsidRPr="00395F95">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4</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dz.c.</w:t>
      </w:r>
      <w:r w:rsidR="00395F95">
        <w:rPr>
          <w:rFonts w:ascii="Times New Roman" w:hAnsi="Times New Roman" w:cs="Times New Roman"/>
          <w:sz w:val="24"/>
          <w:szCs w:val="24"/>
        </w:rPr>
        <w:t>s</w:t>
      </w:r>
      <w:r w:rsidR="00395F95" w:rsidRPr="0055411F">
        <w:rPr>
          <w:rFonts w:ascii="Times New Roman" w:hAnsi="Times New Roman" w:cs="Times New Roman"/>
          <w:sz w:val="24"/>
          <w:szCs w:val="24"/>
        </w:rPr>
        <w:t>.</w:t>
      </w:r>
      <w:r w:rsidR="00FB7673">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5</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dz.c.</w:t>
      </w:r>
      <w:r w:rsidR="00395F95">
        <w:rPr>
          <w:rFonts w:ascii="Times New Roman" w:hAnsi="Times New Roman" w:cs="Times New Roman"/>
          <w:sz w:val="24"/>
          <w:szCs w:val="24"/>
        </w:rPr>
        <w:t>s</w:t>
      </w:r>
      <w:r w:rsidR="00395F95" w:rsidRPr="0055411F">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Pr="00846AD3">
        <w:rPr>
          <w:rFonts w:ascii="Times New Roman" w:hAnsi="Times New Roman" w:cs="Times New Roman"/>
          <w:sz w:val="24"/>
          <w:szCs w:val="24"/>
        </w:rPr>
        <w:t xml:space="preserve"> un </w:t>
      </w:r>
      <w:r w:rsidR="007C0948" w:rsidRPr="007C0948">
        <w:rPr>
          <w:rFonts w:ascii="Times New Roman" w:hAnsi="Times New Roman" w:cs="Times New Roman"/>
          <w:sz w:val="24"/>
          <w:szCs w:val="24"/>
        </w:rPr>
        <w:t>1.3.</w:t>
      </w:r>
      <w:r w:rsidR="004F5503">
        <w:rPr>
          <w:rFonts w:ascii="Times New Roman" w:hAnsi="Times New Roman" w:cs="Times New Roman"/>
          <w:sz w:val="24"/>
          <w:szCs w:val="24"/>
        </w:rPr>
        <w:t>6</w:t>
      </w:r>
      <w:r w:rsidR="007C0948" w:rsidRPr="007C0948">
        <w:rPr>
          <w:rFonts w:ascii="Times New Roman" w:hAnsi="Times New Roman" w:cs="Times New Roman"/>
          <w:sz w:val="24"/>
          <w:szCs w:val="24"/>
        </w:rPr>
        <w:t xml:space="preserve">. </w:t>
      </w:r>
      <w:r w:rsidR="000A62BC" w:rsidRPr="000A62BC">
        <w:rPr>
          <w:rFonts w:ascii="Times New Roman" w:hAnsi="Times New Roman" w:cs="Times New Roman"/>
          <w:sz w:val="24"/>
          <w:szCs w:val="24"/>
        </w:rPr>
        <w:t xml:space="preserve">R.14.,41. vai 45.un dz.c. </w:t>
      </w:r>
      <w:r w:rsidRPr="001F0EF3">
        <w:t xml:space="preserve"> </w:t>
      </w:r>
      <w:r w:rsidRPr="00846AD3">
        <w:rPr>
          <w:rFonts w:ascii="Times New Roman" w:hAnsi="Times New Roman" w:cs="Times New Roman"/>
          <w:sz w:val="24"/>
          <w:szCs w:val="24"/>
        </w:rPr>
        <w:t xml:space="preserve">tiek norādīta informācija par projekta izmaksām darbībām, kas kvalificējas kā </w:t>
      </w:r>
      <w:r w:rsidR="0028310C" w:rsidRPr="0028310C">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14.</w:t>
      </w:r>
      <w:r w:rsidR="00F30A03">
        <w:rPr>
          <w:rFonts w:ascii="Times New Roman" w:hAnsi="Times New Roman" w:cs="Times New Roman"/>
          <w:sz w:val="24"/>
          <w:szCs w:val="24"/>
        </w:rPr>
        <w:t>, 41</w:t>
      </w:r>
      <w:r w:rsidR="00652DD9">
        <w:rPr>
          <w:rFonts w:ascii="Times New Roman" w:hAnsi="Times New Roman" w:cs="Times New Roman"/>
          <w:sz w:val="24"/>
          <w:szCs w:val="24"/>
        </w:rPr>
        <w:t xml:space="preserve">. </w:t>
      </w:r>
      <w:r w:rsidR="00C2656A">
        <w:rPr>
          <w:rFonts w:ascii="Times New Roman" w:hAnsi="Times New Roman" w:cs="Times New Roman"/>
          <w:sz w:val="24"/>
          <w:szCs w:val="24"/>
        </w:rPr>
        <w:t>vai</w:t>
      </w:r>
      <w:r w:rsidR="00652DD9">
        <w:rPr>
          <w:rFonts w:ascii="Times New Roman" w:hAnsi="Times New Roman" w:cs="Times New Roman"/>
          <w:sz w:val="24"/>
          <w:szCs w:val="24"/>
        </w:rPr>
        <w:t xml:space="preserve"> 45.</w:t>
      </w:r>
      <w:r w:rsidRPr="00846AD3">
        <w:rPr>
          <w:rFonts w:ascii="Times New Roman" w:hAnsi="Times New Roman" w:cs="Times New Roman"/>
          <w:sz w:val="24"/>
          <w:szCs w:val="24"/>
        </w:rPr>
        <w:t>pants</w:t>
      </w:r>
      <w:r w:rsidR="00C04B4C" w:rsidRPr="00C04B4C">
        <w:rPr>
          <w:rFonts w:ascii="Times New Roman" w:hAnsi="Times New Roman" w:cs="Times New Roman"/>
          <w:sz w:val="24"/>
          <w:szCs w:val="24"/>
        </w:rPr>
        <w:t xml:space="preserve"> </w:t>
      </w:r>
      <w:r w:rsidR="00C04B4C">
        <w:rPr>
          <w:rFonts w:ascii="Times New Roman" w:hAnsi="Times New Roman" w:cs="Times New Roman"/>
          <w:sz w:val="24"/>
          <w:szCs w:val="24"/>
        </w:rPr>
        <w:t xml:space="preserve">un </w:t>
      </w:r>
      <w:r w:rsidR="00C04B4C" w:rsidRPr="005009E9">
        <w:rPr>
          <w:rFonts w:ascii="Times New Roman" w:hAnsi="Times New Roman" w:cs="Times New Roman"/>
          <w:i/>
          <w:iCs/>
          <w:sz w:val="24"/>
          <w:szCs w:val="24"/>
        </w:rPr>
        <w:t>de minimis</w:t>
      </w:r>
      <w:r w:rsidR="00C04B4C">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0170B3">
        <w:rPr>
          <w:rFonts w:ascii="Times New Roman" w:hAnsi="Times New Roman" w:cs="Times New Roman"/>
          <w:sz w:val="24"/>
          <w:szCs w:val="24"/>
        </w:rPr>
        <w:t xml:space="preserve"> </w:t>
      </w:r>
      <w:r w:rsidR="00C2656A">
        <w:rPr>
          <w:rFonts w:ascii="Times New Roman" w:hAnsi="Times New Roman" w:cs="Times New Roman"/>
          <w:sz w:val="24"/>
          <w:szCs w:val="24"/>
        </w:rPr>
        <w:t>vai arī</w:t>
      </w:r>
      <w:r w:rsidR="000170B3">
        <w:rPr>
          <w:rFonts w:ascii="Times New Roman" w:hAnsi="Times New Roman" w:cs="Times New Roman"/>
          <w:sz w:val="24"/>
          <w:szCs w:val="24"/>
        </w:rPr>
        <w:t xml:space="preserve"> </w:t>
      </w:r>
      <w:r w:rsidR="000170B3" w:rsidRPr="000170B3">
        <w:rPr>
          <w:rFonts w:ascii="Times New Roman" w:hAnsi="Times New Roman" w:cs="Times New Roman"/>
          <w:sz w:val="24"/>
          <w:szCs w:val="24"/>
        </w:rPr>
        <w:t>par projekta izmaksām darbībām</w:t>
      </w:r>
      <w:r w:rsidR="000170B3" w:rsidRPr="000170B3">
        <w:t xml:space="preserve"> </w:t>
      </w:r>
      <w:r w:rsidR="00397FE3">
        <w:t xml:space="preserve">atbilstoši </w:t>
      </w:r>
      <w:r w:rsidR="000170B3" w:rsidRPr="000170B3">
        <w:rPr>
          <w:rFonts w:ascii="Times New Roman" w:hAnsi="Times New Roman" w:cs="Times New Roman"/>
          <w:sz w:val="24"/>
          <w:szCs w:val="24"/>
        </w:rPr>
        <w:t xml:space="preserve">MK noteikumu </w:t>
      </w:r>
      <w:r w:rsidR="001A219F">
        <w:rPr>
          <w:rFonts w:ascii="Times New Roman" w:hAnsi="Times New Roman" w:cs="Times New Roman"/>
          <w:sz w:val="24"/>
          <w:szCs w:val="24"/>
        </w:rPr>
        <w:t>49.pu</w:t>
      </w:r>
      <w:r w:rsidR="000170B3" w:rsidRPr="000170B3">
        <w:rPr>
          <w:rFonts w:ascii="Times New Roman" w:hAnsi="Times New Roman" w:cs="Times New Roman"/>
          <w:sz w:val="24"/>
          <w:szCs w:val="24"/>
        </w:rPr>
        <w:t>nktam</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privātās lietošanas dzelzceļa infrastruktūras</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savienojuma izmaksas no publiskās lietošanas dzelzceļa infrastruktūras līdz projekta iesniedzēja noteiktajai</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uzņēmējdarbības teritorijai un ar tām saistītās izmaksas</w:t>
      </w:r>
      <w:r w:rsidR="005A7958">
        <w:rPr>
          <w:rFonts w:ascii="Times New Roman" w:hAnsi="Times New Roman" w:cs="Times New Roman"/>
          <w:sz w:val="24"/>
          <w:szCs w:val="24"/>
        </w:rPr>
        <w:t>)</w:t>
      </w:r>
      <w:r w:rsidRPr="00846AD3">
        <w:rPr>
          <w:rFonts w:ascii="Times New Roman" w:hAnsi="Times New Roman" w:cs="Times New Roman"/>
          <w:sz w:val="24"/>
          <w:szCs w:val="24"/>
        </w:rPr>
        <w:t>.</w:t>
      </w:r>
      <w:r w:rsidR="00135AED" w:rsidRPr="00135AED">
        <w:t xml:space="preserve"> </w:t>
      </w:r>
      <w:r w:rsidR="00135AED" w:rsidRPr="00135AED">
        <w:rPr>
          <w:rFonts w:ascii="Times New Roman" w:hAnsi="Times New Roman" w:cs="Times New Roman"/>
          <w:sz w:val="24"/>
          <w:szCs w:val="24"/>
        </w:rPr>
        <w:t>(Izklājlapās norāda izmaksas darbības Nr.4 “Darbības komersanta - sadarbības partnera infrastruktūrai (komercdarbības atbalsts, regulas Nr.651/2014 14.pants, de minimis projekta sagatavošanai)”, darbības Nr.5 “Darbības AER risinājumiem, tikai pie nomas infrastruktūras (komercdarbības atbalsts, regulas Nr.651/2014 41.pants, de minimis projekta sagatavošanai)” un darbības Nr.6 “Darbības remediācijai un sanācijai (komercdarbības atbalsts, regulas Nr.651/2014 45.pants, de minimis projekta sagatavošanai)” ietvaros</w:t>
      </w:r>
      <w:r w:rsidR="00D9717B" w:rsidRPr="00D9717B">
        <w:t xml:space="preserve"> </w:t>
      </w:r>
      <w:r w:rsidR="00D9717B" w:rsidRPr="00D9717B">
        <w:rPr>
          <w:rFonts w:ascii="Times New Roman" w:hAnsi="Times New Roman" w:cs="Times New Roman"/>
          <w:sz w:val="24"/>
          <w:szCs w:val="24"/>
        </w:rPr>
        <w:t xml:space="preserve">un par projekta izmaksām atbilstoši MK noteikumu </w:t>
      </w:r>
      <w:r w:rsidR="001A219F">
        <w:rPr>
          <w:rFonts w:ascii="Times New Roman" w:hAnsi="Times New Roman" w:cs="Times New Roman"/>
          <w:sz w:val="24"/>
          <w:szCs w:val="24"/>
        </w:rPr>
        <w:t>49.pu</w:t>
      </w:r>
      <w:r w:rsidR="00D9717B" w:rsidRPr="00D9717B">
        <w:rPr>
          <w:rFonts w:ascii="Times New Roman" w:hAnsi="Times New Roman" w:cs="Times New Roman"/>
          <w:sz w:val="24"/>
          <w:szCs w:val="24"/>
        </w:rPr>
        <w:t>nktam (t.i., privātās lietošanas dzelzceļa infrastruktūras savienojuma izmaksas no publiskās lietošanas dzelzceļa infrastruktūras līdz projekta iesniedzēja noteiktajai uzņēmējdarbības teritorijai un ar tām saistītās izmaksas, ko finansē 100 procentu apmērā no līdzekļiem, kas ir brīvi no komercdarbības atbalsta)</w:t>
      </w:r>
      <w:r w:rsidR="00135AED" w:rsidRPr="00135AED">
        <w:rPr>
          <w:rFonts w:ascii="Times New Roman" w:hAnsi="Times New Roman" w:cs="Times New Roman"/>
          <w:sz w:val="24"/>
          <w:szCs w:val="24"/>
        </w:rPr>
        <w:t>, izmaksu kopsummām minētajās izklājlapās jāsakrīt ar nolikuma 6.pielikumu “Projekta budžeta kopsavilkuma pielikums”).</w:t>
      </w:r>
    </w:p>
    <w:p w14:paraId="4DE15087" w14:textId="423F1945" w:rsidR="00C64AED" w:rsidRPr="00C64AED" w:rsidRDefault="00757ECC" w:rsidP="00C64AED">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Pr="0055411F">
        <w:rPr>
          <w:rFonts w:ascii="Times New Roman" w:hAnsi="Times New Roman" w:cs="Times New Roman"/>
          <w:sz w:val="24"/>
          <w:szCs w:val="24"/>
        </w:rPr>
        <w:t xml:space="preserve">1.3.1. </w:t>
      </w:r>
      <w:r w:rsidR="008053A5" w:rsidRPr="008053A5">
        <w:rPr>
          <w:rFonts w:ascii="Times New Roman" w:hAnsi="Times New Roman" w:cs="Times New Roman"/>
          <w:sz w:val="24"/>
          <w:szCs w:val="24"/>
        </w:rPr>
        <w:t>R.14.,41.</w:t>
      </w:r>
      <w:r w:rsidR="00AB5F12">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vai</w:t>
      </w:r>
      <w:r w:rsidR="00FF2F4F" w:rsidRPr="008053A5">
        <w:rPr>
          <w:rFonts w:ascii="Times New Roman" w:hAnsi="Times New Roman" w:cs="Times New Roman"/>
          <w:sz w:val="24"/>
          <w:szCs w:val="24"/>
        </w:rPr>
        <w:t xml:space="preserve"> </w:t>
      </w:r>
      <w:r w:rsidR="008053A5" w:rsidRPr="008053A5">
        <w:rPr>
          <w:rFonts w:ascii="Times New Roman" w:hAnsi="Times New Roman" w:cs="Times New Roman"/>
          <w:sz w:val="24"/>
          <w:szCs w:val="24"/>
        </w:rPr>
        <w:t>dz.c.</w:t>
      </w:r>
      <w:r w:rsidR="00AB5F12">
        <w:rPr>
          <w:rFonts w:ascii="Times New Roman" w:hAnsi="Times New Roman" w:cs="Times New Roman"/>
          <w:sz w:val="24"/>
          <w:szCs w:val="24"/>
        </w:rPr>
        <w:t>s.</w:t>
      </w:r>
      <w:r w:rsid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 </w:t>
      </w:r>
      <w:r w:rsidR="00FF2F4F" w:rsidRPr="00FF2F4F">
        <w:rPr>
          <w:rFonts w:ascii="Times New Roman" w:hAnsi="Times New Roman" w:cs="Times New Roman"/>
          <w:sz w:val="24"/>
          <w:szCs w:val="24"/>
        </w:rPr>
        <w:t>1.3.</w:t>
      </w:r>
      <w:r w:rsidR="004324EE">
        <w:rPr>
          <w:rFonts w:ascii="Times New Roman" w:hAnsi="Times New Roman" w:cs="Times New Roman"/>
          <w:sz w:val="24"/>
          <w:szCs w:val="24"/>
        </w:rPr>
        <w:t>2</w:t>
      </w:r>
      <w:r w:rsidR="00FF2F4F" w:rsidRPr="00FF2F4F">
        <w:rPr>
          <w:rFonts w:ascii="Times New Roman" w:hAnsi="Times New Roman" w:cs="Times New Roman"/>
          <w:sz w:val="24"/>
          <w:szCs w:val="24"/>
        </w:rPr>
        <w:t>. R.14.,41., 45.vai dz.c.s.</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3</w:t>
      </w:r>
      <w:r w:rsidR="00FF2F4F" w:rsidRPr="00FF2F4F">
        <w:rPr>
          <w:rFonts w:ascii="Times New Roman" w:hAnsi="Times New Roman" w:cs="Times New Roman"/>
          <w:sz w:val="24"/>
          <w:szCs w:val="24"/>
        </w:rPr>
        <w:t>. R.14.,41., 45.vai dz.c.s.</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4</w:t>
      </w:r>
      <w:r w:rsidR="00FF2F4F" w:rsidRPr="00FF2F4F">
        <w:rPr>
          <w:rFonts w:ascii="Times New Roman" w:hAnsi="Times New Roman" w:cs="Times New Roman"/>
          <w:sz w:val="24"/>
          <w:szCs w:val="24"/>
        </w:rPr>
        <w:t>. R.14.,41., 45.vai dz.c.s.</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5</w:t>
      </w:r>
      <w:r w:rsidR="00FF2F4F" w:rsidRPr="00FF2F4F">
        <w:rPr>
          <w:rFonts w:ascii="Times New Roman" w:hAnsi="Times New Roman" w:cs="Times New Roman"/>
          <w:sz w:val="24"/>
          <w:szCs w:val="24"/>
        </w:rPr>
        <w:t xml:space="preserve">. R.14.,41., 45.vai dz.c.s. </w:t>
      </w:r>
      <w:r w:rsidRPr="00846AD3">
        <w:rPr>
          <w:rFonts w:ascii="Times New Roman" w:hAnsi="Times New Roman" w:cs="Times New Roman"/>
          <w:sz w:val="24"/>
          <w:szCs w:val="24"/>
        </w:rPr>
        <w:t xml:space="preserve">un </w:t>
      </w:r>
      <w:r w:rsidRPr="007C0948">
        <w:rPr>
          <w:rFonts w:ascii="Times New Roman" w:hAnsi="Times New Roman" w:cs="Times New Roman"/>
          <w:sz w:val="24"/>
          <w:szCs w:val="24"/>
        </w:rPr>
        <w:t>1.3.</w:t>
      </w:r>
      <w:r w:rsidR="004324EE">
        <w:rPr>
          <w:rFonts w:ascii="Times New Roman" w:hAnsi="Times New Roman" w:cs="Times New Roman"/>
          <w:sz w:val="24"/>
          <w:szCs w:val="24"/>
        </w:rPr>
        <w:t>6</w:t>
      </w:r>
      <w:r w:rsidRPr="007C0948">
        <w:rPr>
          <w:rFonts w:ascii="Times New Roman" w:hAnsi="Times New Roman" w:cs="Times New Roman"/>
          <w:sz w:val="24"/>
          <w:szCs w:val="24"/>
        </w:rPr>
        <w:t xml:space="preserve">. </w:t>
      </w:r>
      <w:r w:rsidR="008053A5" w:rsidRPr="008053A5">
        <w:rPr>
          <w:rFonts w:ascii="Times New Roman" w:hAnsi="Times New Roman" w:cs="Times New Roman"/>
          <w:sz w:val="24"/>
          <w:szCs w:val="24"/>
        </w:rPr>
        <w:t>R.14.,41.</w:t>
      </w:r>
      <w:r w:rsidR="00FF2F4F">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 xml:space="preserve"> vai</w:t>
      </w:r>
      <w:r w:rsidR="008053A5" w:rsidRPr="008053A5">
        <w:rPr>
          <w:rFonts w:ascii="Times New Roman" w:hAnsi="Times New Roman" w:cs="Times New Roman"/>
          <w:sz w:val="24"/>
          <w:szCs w:val="24"/>
        </w:rPr>
        <w:t xml:space="preserve"> dz.c.</w:t>
      </w:r>
      <w:r w:rsidR="00FF2F4F">
        <w:rPr>
          <w:rFonts w:ascii="Times New Roman" w:hAnsi="Times New Roman" w:cs="Times New Roman"/>
          <w:sz w:val="24"/>
          <w:szCs w:val="24"/>
        </w:rPr>
        <w:t>s.</w:t>
      </w:r>
      <w:r w:rsidRPr="001F0EF3">
        <w:t xml:space="preserve"> </w:t>
      </w:r>
      <w:r>
        <w:t>a</w:t>
      </w:r>
      <w:r w:rsidR="00C64AED" w:rsidRPr="00C64AED">
        <w:rPr>
          <w:rFonts w:ascii="Times New Roman" w:hAnsi="Times New Roman" w:cs="Times New Roman"/>
          <w:sz w:val="24"/>
          <w:szCs w:val="24"/>
        </w:rPr>
        <w:t xml:space="preserve">ttiecībā uz ieguldījumiem videi nodarītā kaitējuma remediācijā vai dabisko dzīvotņu un ekosistēmu sanācijā attiecināmās izmaksas ir izmaksas par remediācijas vai sanācijas darbiem, no </w:t>
      </w:r>
      <w:r w:rsidR="00C64AED" w:rsidRPr="00C12836">
        <w:rPr>
          <w:rFonts w:ascii="Times New Roman" w:hAnsi="Times New Roman" w:cs="Times New Roman"/>
          <w:sz w:val="24"/>
          <w:szCs w:val="24"/>
        </w:rPr>
        <w:t>kurām atskaita zemes vai īpašuma vērtības pieaugumu</w:t>
      </w:r>
      <w:r w:rsidR="0080356C" w:rsidRPr="006833CA">
        <w:rPr>
          <w:rFonts w:ascii="Times New Roman" w:hAnsi="Times New Roman" w:cs="Times New Roman"/>
          <w:sz w:val="24"/>
          <w:szCs w:val="24"/>
        </w:rPr>
        <w:t>.</w:t>
      </w:r>
      <w:r w:rsidR="0080356C">
        <w:rPr>
          <w:rFonts w:ascii="Times New Roman" w:hAnsi="Times New Roman" w:cs="Times New Roman"/>
          <w:b/>
          <w:bCs/>
          <w:sz w:val="24"/>
          <w:szCs w:val="24"/>
        </w:rPr>
        <w:t xml:space="preserve"> </w:t>
      </w:r>
      <w:r w:rsidR="00E5694F">
        <w:rPr>
          <w:rFonts w:ascii="Times New Roman" w:hAnsi="Times New Roman" w:cs="Times New Roman"/>
          <w:b/>
          <w:bCs/>
          <w:sz w:val="24"/>
          <w:szCs w:val="24"/>
        </w:rPr>
        <w:t>Izklājlapās</w:t>
      </w:r>
      <w:r w:rsidR="00A67912">
        <w:rPr>
          <w:rFonts w:ascii="Times New Roman" w:hAnsi="Times New Roman" w:cs="Times New Roman"/>
          <w:b/>
          <w:bCs/>
          <w:sz w:val="24"/>
          <w:szCs w:val="24"/>
        </w:rPr>
        <w:t xml:space="preserve"> </w:t>
      </w:r>
      <w:r w:rsidR="00DB53EE" w:rsidRPr="00DB53EE">
        <w:rPr>
          <w:rFonts w:ascii="Times New Roman" w:hAnsi="Times New Roman" w:cs="Times New Roman"/>
          <w:b/>
          <w:bCs/>
          <w:sz w:val="24"/>
          <w:szCs w:val="24"/>
        </w:rPr>
        <w:t xml:space="preserve">(gan arī projekta iesnieguma sadaļā “Projekta budžeta kopsavilkums” un tā pielikumā Nr.6 “Projekta budžeta kopsavilkuma pielikums”) </w:t>
      </w:r>
      <w:r w:rsidR="00A67912">
        <w:rPr>
          <w:rFonts w:ascii="Times New Roman" w:hAnsi="Times New Roman" w:cs="Times New Roman"/>
          <w:b/>
          <w:bCs/>
          <w:sz w:val="24"/>
          <w:szCs w:val="24"/>
        </w:rPr>
        <w:t>jānorāda</w:t>
      </w:r>
      <w:r w:rsidR="0087337F">
        <w:rPr>
          <w:rFonts w:ascii="Times New Roman" w:hAnsi="Times New Roman" w:cs="Times New Roman"/>
          <w:b/>
          <w:bCs/>
          <w:sz w:val="24"/>
          <w:szCs w:val="24"/>
        </w:rPr>
        <w:t xml:space="preserve"> izmaksas, kurām </w:t>
      </w:r>
      <w:r w:rsidR="0087337F" w:rsidRPr="004A20D9">
        <w:rPr>
          <w:rFonts w:ascii="Times New Roman" w:hAnsi="Times New Roman" w:cs="Times New Roman"/>
          <w:b/>
          <w:bCs/>
          <w:sz w:val="24"/>
          <w:szCs w:val="24"/>
        </w:rPr>
        <w:t xml:space="preserve">zemes vai īpašuma vērtības </w:t>
      </w:r>
      <w:r w:rsidR="0087337F" w:rsidRPr="004A20D9">
        <w:rPr>
          <w:rFonts w:ascii="Times New Roman" w:hAnsi="Times New Roman" w:cs="Times New Roman"/>
          <w:b/>
          <w:bCs/>
          <w:sz w:val="24"/>
          <w:szCs w:val="24"/>
        </w:rPr>
        <w:lastRenderedPageBreak/>
        <w:t>pieaugum</w:t>
      </w:r>
      <w:r w:rsidR="0087337F">
        <w:rPr>
          <w:rFonts w:ascii="Times New Roman" w:hAnsi="Times New Roman" w:cs="Times New Roman"/>
          <w:b/>
          <w:bCs/>
          <w:sz w:val="24"/>
          <w:szCs w:val="24"/>
        </w:rPr>
        <w:t>s jau ir atskaitīts.</w:t>
      </w:r>
      <w:r w:rsidR="00A473A9" w:rsidRPr="00A473A9">
        <w:t xml:space="preserve"> </w:t>
      </w:r>
      <w:r w:rsidR="00A473A9" w:rsidRPr="001B2329">
        <w:rPr>
          <w:rFonts w:ascii="Times New Roman" w:hAnsi="Times New Roman" w:cs="Times New Roman"/>
          <w:sz w:val="24"/>
          <w:szCs w:val="24"/>
        </w:rPr>
        <w:t>Īpašuma vērtības pieaugums jānorāda neatkarīga eksperta veiktā īpašuma vērtības pieauguma novērtējumā, kas pievienots projekta iesniegumam.</w:t>
      </w:r>
    </w:p>
    <w:p w14:paraId="06CAA4A8" w14:textId="31B7F526" w:rsidR="00CB74B8" w:rsidRPr="00846AD3" w:rsidRDefault="003560E8" w:rsidP="00846AD3">
      <w:pPr>
        <w:ind w:left="360"/>
        <w:jc w:val="both"/>
        <w:rPr>
          <w:rFonts w:ascii="Times New Roman" w:hAnsi="Times New Roman" w:cs="Times New Roman"/>
          <w:sz w:val="24"/>
          <w:szCs w:val="24"/>
        </w:rPr>
      </w:pPr>
      <w:r w:rsidRPr="003560E8">
        <w:rPr>
          <w:rFonts w:ascii="Times New Roman" w:hAnsi="Times New Roman" w:cs="Times New Roman"/>
          <w:sz w:val="24"/>
          <w:szCs w:val="24"/>
        </w:rPr>
        <w:t xml:space="preserve">Projekta budžetam  ir </w:t>
      </w:r>
      <w:r w:rsidR="2A5AE2A9" w:rsidRPr="11336B17">
        <w:rPr>
          <w:rFonts w:ascii="Times New Roman" w:hAnsi="Times New Roman" w:cs="Times New Roman"/>
          <w:sz w:val="24"/>
          <w:szCs w:val="24"/>
        </w:rPr>
        <w:t>norādītas</w:t>
      </w:r>
      <w:r w:rsidRPr="003560E8">
        <w:rPr>
          <w:rFonts w:ascii="Times New Roman" w:hAnsi="Times New Roman"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r w:rsidR="006B0431">
        <w:rPr>
          <w:rFonts w:ascii="Times New Roman" w:hAnsi="Times New Roman" w:cs="Times New Roman"/>
          <w:sz w:val="24"/>
          <w:szCs w:val="24"/>
        </w:rPr>
        <w:t>ārpusprojekta</w:t>
      </w:r>
      <w:r w:rsidR="006B0431" w:rsidRPr="003560E8">
        <w:rPr>
          <w:rFonts w:ascii="Times New Roman" w:hAnsi="Times New Roman" w:cs="Times New Roman"/>
          <w:sz w:val="24"/>
          <w:szCs w:val="24"/>
        </w:rPr>
        <w:t xml:space="preserve"> </w:t>
      </w:r>
      <w:r w:rsidRPr="003560E8">
        <w:rPr>
          <w:rFonts w:ascii="Times New Roman" w:hAnsi="Times New Roman" w:cs="Times New Roman"/>
          <w:sz w:val="24"/>
          <w:szCs w:val="24"/>
        </w:rPr>
        <w:t>izmaksās sadalījumā pa gadiem, kuros tās tiks īstenotas</w:t>
      </w:r>
      <w:r w:rsidR="00CB74B8" w:rsidRPr="00846AD3">
        <w:rPr>
          <w:rFonts w:ascii="Times New Roman" w:hAnsi="Times New Roman" w:cs="Times New Roman"/>
          <w:sz w:val="24"/>
          <w:szCs w:val="24"/>
        </w:rPr>
        <w:t>.</w:t>
      </w:r>
      <w:r w:rsidR="00FB227D">
        <w:rPr>
          <w:rFonts w:ascii="Times New Roman" w:hAnsi="Times New Roman" w:cs="Times New Roman"/>
          <w:sz w:val="24"/>
          <w:szCs w:val="24"/>
        </w:rPr>
        <w:t xml:space="preserve"> </w:t>
      </w:r>
    </w:p>
    <w:p w14:paraId="61C7A29D" w14:textId="77777777"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Izklājlapas C kolonnā “Maksimālā ES fondu līdzfin. atbalsta likme (%)” tiek norādīta katrai darbībai un izmaksu pozīcijai atbilstoša MK noteikumos noteikta maksimālā ES fondu līdzfinansējuma atbalsta likme (%).</w:t>
      </w:r>
    </w:p>
    <w:p w14:paraId="363070D9" w14:textId="48DD42EE" w:rsidR="002B625D" w:rsidRDefault="00CB74B8" w:rsidP="0044518E">
      <w:pPr>
        <w:pStyle w:val="ListParagraph"/>
        <w:ind w:left="426"/>
        <w:jc w:val="both"/>
      </w:pPr>
      <w:r w:rsidRPr="00CB74B8">
        <w:rPr>
          <w:rFonts w:ascii="Times New Roman" w:hAnsi="Times New Roman" w:cs="Times New Roman"/>
          <w:sz w:val="24"/>
          <w:szCs w:val="24"/>
        </w:rPr>
        <w:t xml:space="preserve">Norādot šajās izklājlapās informāciju par projekta budžetu jāpārliecinās, ka tā atbilst projekta iesnieguma </w:t>
      </w:r>
      <w:r w:rsidR="0089077A">
        <w:rPr>
          <w:rFonts w:ascii="Times New Roman" w:hAnsi="Times New Roman" w:cs="Times New Roman"/>
          <w:sz w:val="24"/>
          <w:szCs w:val="24"/>
        </w:rPr>
        <w:t>sadaļai</w:t>
      </w:r>
      <w:r w:rsidRPr="00CB74B8">
        <w:rPr>
          <w:rFonts w:ascii="Times New Roman" w:hAnsi="Times New Roman" w:cs="Times New Roman"/>
          <w:sz w:val="24"/>
          <w:szCs w:val="24"/>
        </w:rPr>
        <w:t xml:space="preserve"> “Projekta budžeta kopsavilkums” un </w:t>
      </w:r>
      <w:r w:rsidR="00D8314B">
        <w:rPr>
          <w:rFonts w:ascii="Times New Roman" w:hAnsi="Times New Roman" w:cs="Times New Roman"/>
          <w:sz w:val="24"/>
          <w:szCs w:val="24"/>
        </w:rPr>
        <w:t xml:space="preserve">pielikumam </w:t>
      </w:r>
      <w:r w:rsidRPr="00CB74B8">
        <w:rPr>
          <w:rFonts w:ascii="Times New Roman" w:hAnsi="Times New Roman" w:cs="Times New Roman"/>
          <w:sz w:val="24"/>
          <w:szCs w:val="24"/>
        </w:rPr>
        <w:t>“Projekta budžeta kopsavilkuma pielikums”</w:t>
      </w:r>
      <w:r w:rsidR="002B625D">
        <w:t xml:space="preserve">. </w:t>
      </w:r>
    </w:p>
    <w:p w14:paraId="01C5D407" w14:textId="77777777" w:rsidR="00D86A8A" w:rsidRDefault="00D86A8A" w:rsidP="00846AD3">
      <w:pPr>
        <w:pStyle w:val="ListParagraph"/>
        <w:ind w:left="426"/>
      </w:pP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2234053"/>
      <w:bookmarkStart w:id="25" w:name="_Toc152266403"/>
      <w:r w:rsidRPr="00596D47">
        <w:rPr>
          <w:rFonts w:ascii="Times New Roman" w:hAnsi="Times New Roman" w:cs="Times New Roman"/>
          <w:b/>
          <w:bCs/>
          <w:color w:val="auto"/>
          <w:sz w:val="28"/>
          <w:szCs w:val="28"/>
        </w:rPr>
        <w:t>Investīciju naudas plūsma bez projekta</w:t>
      </w:r>
      <w:bookmarkEnd w:id="24"/>
      <w:bookmarkEnd w:id="2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6" w:name="_Toc152234054"/>
      <w:bookmarkStart w:id="27" w:name="_Toc152266404"/>
      <w:r w:rsidRPr="00596D47">
        <w:rPr>
          <w:rFonts w:ascii="Times New Roman" w:hAnsi="Times New Roman" w:cs="Times New Roman"/>
          <w:b/>
          <w:bCs/>
          <w:color w:val="auto"/>
          <w:sz w:val="28"/>
          <w:szCs w:val="28"/>
        </w:rPr>
        <w:lastRenderedPageBreak/>
        <w:t>Investīciju naudas plūsma ar projektu</w:t>
      </w:r>
      <w:bookmarkEnd w:id="26"/>
      <w:bookmarkEnd w:id="2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2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2D77091"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6D0C25">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3542B2">
        <w:rPr>
          <w:rFonts w:ascii="Times New Roman" w:hAnsi="Times New Roman" w:cs="Times New Roman"/>
          <w:sz w:val="24"/>
          <w:szCs w:val="24"/>
        </w:rPr>
        <w:t>.</w:t>
      </w:r>
    </w:p>
    <w:p w14:paraId="1E91B8C1" w14:textId="1E060979"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44360B">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9" w:name="_Toc152234055"/>
      <w:bookmarkStart w:id="30" w:name="_Toc152266405"/>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9"/>
      <w:bookmarkEnd w:id="30"/>
    </w:p>
    <w:p w14:paraId="253B025D"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Izklājlapā “4.DL Finansiālā ilgtspēja” atspoguļo nepieciešamos projekta finanšu avotus un plānotās izmaksas katrā gadā.</w:t>
      </w:r>
    </w:p>
    <w:p w14:paraId="63D66F2B" w14:textId="77777777" w:rsidR="00CE430E" w:rsidRPr="00E6581F" w:rsidRDefault="00CE430E" w:rsidP="00CE430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3473A61B"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1.daļas “Kopējie ieņēmumi”:</w:t>
      </w:r>
    </w:p>
    <w:p w14:paraId="53B8195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58B1465E"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“1.3. Publiskais finansējums” norāda projekta iesniedzēja paša publiskos līdzekļus kurus izmantos projekta izmaksu segšanai;</w:t>
      </w:r>
    </w:p>
    <w:p w14:paraId="354FF6AC"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57B6F8B4" w14:textId="11F54A36"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B20378">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izklājlapā</w:t>
      </w:r>
      <w:r>
        <w:rPr>
          <w:rFonts w:ascii="Times New Roman" w:hAnsi="Times New Roman" w:cs="Times New Roman"/>
          <w:sz w:val="24"/>
          <w:szCs w:val="24"/>
        </w:rPr>
        <w:t xml:space="preserve"> “9. DL PIV 2.pielikums” aprēķināto projekta finansēšanas plānu;</w:t>
      </w:r>
    </w:p>
    <w:p w14:paraId="216FF187" w14:textId="490AEEEB" w:rsidR="00CE430E" w:rsidRPr="008417F8" w:rsidRDefault="00CE430E" w:rsidP="00CE430E">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FD2994">
        <w:rPr>
          <w:rFonts w:ascii="Times New Roman" w:hAnsi="Times New Roman" w:cs="Times New Roman"/>
          <w:sz w:val="24"/>
          <w:szCs w:val="24"/>
        </w:rPr>
        <w:t>u</w:t>
      </w:r>
      <w:r w:rsidRPr="008417F8">
        <w:rPr>
          <w:rFonts w:ascii="Times New Roman" w:hAnsi="Times New Roman" w:cs="Times New Roman"/>
          <w:sz w:val="24"/>
          <w:szCs w:val="24"/>
        </w:rPr>
        <w:t xml:space="preserve"> “1.</w:t>
      </w:r>
      <w:r w:rsidR="008130A5">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(Invest.izmaksām)</w:t>
      </w:r>
      <w:r w:rsidRPr="008417F8">
        <w:rPr>
          <w:rFonts w:ascii="Times New Roman" w:hAnsi="Times New Roman" w:cs="Times New Roman"/>
          <w:sz w:val="24"/>
          <w:szCs w:val="24"/>
        </w:rPr>
        <w:t>” projekta iesniedzējs neaizpilda, jo tajā automātiski ģenerējas iznākums, ņemot vērā izklājlapā “9. DL PIV 2.pielikums” aprēķināto projekta finansēšanas plānu</w:t>
      </w:r>
      <w:r>
        <w:rPr>
          <w:rFonts w:ascii="Times New Roman" w:hAnsi="Times New Roman" w:cs="Times New Roman"/>
          <w:sz w:val="24"/>
          <w:szCs w:val="24"/>
        </w:rPr>
        <w:t>, bet t</w:t>
      </w:r>
      <w:r w:rsidR="00E93CEC">
        <w:rPr>
          <w:rFonts w:ascii="Times New Roman" w:hAnsi="Times New Roman" w:cs="Times New Roman"/>
          <w:sz w:val="24"/>
          <w:szCs w:val="24"/>
        </w:rPr>
        <w:t>o</w:t>
      </w:r>
      <w:r>
        <w:rPr>
          <w:rFonts w:ascii="Times New Roman" w:hAnsi="Times New Roman" w:cs="Times New Roman"/>
          <w:sz w:val="24"/>
          <w:szCs w:val="24"/>
        </w:rPr>
        <w:t xml:space="preserve"> var precizēt, ja šīm izmaksām plānots ņemt aizņēmumu</w:t>
      </w:r>
      <w:r w:rsidRPr="008417F8">
        <w:rPr>
          <w:rFonts w:ascii="Times New Roman" w:hAnsi="Times New Roman" w:cs="Times New Roman"/>
          <w:sz w:val="24"/>
          <w:szCs w:val="24"/>
        </w:rPr>
        <w:t>;</w:t>
      </w:r>
    </w:p>
    <w:p w14:paraId="5E917D3E" w14:textId="7EF314F0" w:rsidR="00CE430E" w:rsidRPr="00633F94"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B635E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E7E8C04" w14:textId="77777777" w:rsidR="00CE430E" w:rsidRPr="00633F94" w:rsidRDefault="00CE430E" w:rsidP="00CE430E">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27CE3CC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DFEC1DD"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Pr>
          <w:rFonts w:ascii="Times New Roman" w:hAnsi="Times New Roman" w:cs="Times New Roman"/>
          <w:sz w:val="24"/>
          <w:szCs w:val="24"/>
        </w:rPr>
        <w:t>ās projekta investīciju izmaksas;</w:t>
      </w:r>
    </w:p>
    <w:p w14:paraId="216002C5" w14:textId="77777777" w:rsidR="00CE430E" w:rsidRPr="00A13F49" w:rsidRDefault="00CE430E" w:rsidP="00CE430E">
      <w:pPr>
        <w:pStyle w:val="ListParagraph"/>
        <w:numPr>
          <w:ilvl w:val="0"/>
          <w:numId w:val="21"/>
        </w:numPr>
        <w:jc w:val="both"/>
        <w:rPr>
          <w:rFonts w:ascii="Times New Roman" w:hAnsi="Times New Roman" w:cs="Times New Roman"/>
          <w:sz w:val="24"/>
          <w:szCs w:val="24"/>
        </w:rPr>
      </w:pPr>
      <w:r w:rsidRPr="00A13F49">
        <w:rPr>
          <w:rFonts w:ascii="Times New Roman" w:hAnsi="Times New Roman" w:cs="Times New Roman"/>
          <w:sz w:val="24"/>
          <w:szCs w:val="24"/>
        </w:rPr>
        <w:t xml:space="preserve">pozīcijā “2.3. Finansēšanas izmaksas” projekta </w:t>
      </w:r>
      <w:r>
        <w:rPr>
          <w:rFonts w:ascii="Times New Roman" w:hAnsi="Times New Roman" w:cs="Times New Roman"/>
          <w:sz w:val="24"/>
          <w:szCs w:val="24"/>
        </w:rPr>
        <w:t>iesniedzē</w:t>
      </w:r>
      <w:r w:rsidRPr="00A13F49">
        <w:rPr>
          <w:rFonts w:ascii="Times New Roman" w:hAnsi="Times New Roman" w:cs="Times New Roman"/>
          <w:sz w:val="24"/>
          <w:szCs w:val="24"/>
        </w:rPr>
        <w:t>jam jāatspoguļo ar projekta finansējuma saņemšanu saistītās citas izmaksas;</w:t>
      </w:r>
    </w:p>
    <w:p w14:paraId="7B56FDFA"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pozīcijās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Pr="004201D0">
        <w:rPr>
          <w:rFonts w:ascii="Times New Roman" w:hAnsi="Times New Roman" w:cs="Times New Roman"/>
          <w:sz w:val="24"/>
          <w:szCs w:val="24"/>
        </w:rPr>
        <w:t xml:space="preserve"> </w:t>
      </w:r>
      <w:r>
        <w:rPr>
          <w:rFonts w:ascii="Times New Roman" w:hAnsi="Times New Roman" w:cs="Times New Roman"/>
          <w:sz w:val="24"/>
          <w:szCs w:val="24"/>
        </w:rPr>
        <w:t>norāda projekta finansēšanai paņemtā aizņēmuma atmaksu (pamatsummu un aizņēmuma procentus) sadalījumu sadalījumā pa aizņēmuma perioda gadiem.</w:t>
      </w:r>
      <w:r w:rsidRPr="00276FAB">
        <w:rPr>
          <w:rFonts w:ascii="Times New Roman" w:hAnsi="Times New Roman" w:cs="Times New Roman"/>
          <w:sz w:val="24"/>
          <w:szCs w:val="24"/>
        </w:rPr>
        <w:t xml:space="preserve"> </w:t>
      </w:r>
      <w:r>
        <w:rPr>
          <w:rFonts w:ascii="Times New Roman" w:hAnsi="Times New Roman" w:cs="Times New Roman"/>
          <w:sz w:val="24"/>
          <w:szCs w:val="24"/>
        </w:rPr>
        <w:t xml:space="preserve">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842B38" w:rsidRDefault="00CE430E"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r w:rsidR="000D7414">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F152A5" w:rsidRDefault="00842B38" w:rsidP="00F152A5">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31" w:name="_Toc152234056"/>
      <w:bookmarkStart w:id="32" w:name="_Toc152266406"/>
      <w:r w:rsidRPr="00596D47">
        <w:rPr>
          <w:rFonts w:ascii="Times New Roman" w:hAnsi="Times New Roman" w:cs="Times New Roman"/>
          <w:b/>
          <w:bCs/>
          <w:color w:val="auto"/>
          <w:sz w:val="28"/>
          <w:szCs w:val="28"/>
        </w:rPr>
        <w:t>Sociālekonomiskā analīze</w:t>
      </w:r>
      <w:bookmarkEnd w:id="31"/>
      <w:bookmarkEnd w:id="3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323FA2A"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004CD0">
        <w:rPr>
          <w:rFonts w:ascii="Times New Roman" w:hAnsi="Times New Roman" w:cs="Times New Roman"/>
          <w:sz w:val="24"/>
          <w:szCs w:val="24"/>
        </w:rPr>
        <w:t xml:space="preserve">izklājlapās </w:t>
      </w:r>
      <w:r w:rsidR="00215FBC">
        <w:rPr>
          <w:rFonts w:ascii="Times New Roman" w:hAnsi="Times New Roman" w:cs="Times New Roman"/>
          <w:sz w:val="24"/>
          <w:szCs w:val="24"/>
        </w:rPr>
        <w:t>“Pieņēmumi”</w:t>
      </w:r>
      <w:r w:rsidR="009B2DF6">
        <w:rPr>
          <w:rFonts w:ascii="Times New Roman" w:hAnsi="Times New Roman" w:cs="Times New Roman"/>
          <w:sz w:val="24"/>
          <w:szCs w:val="24"/>
        </w:rPr>
        <w:t xml:space="preserve">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38B2E7" w14:textId="77777777" w:rsidR="00D32A2D" w:rsidRDefault="00D32A2D" w:rsidP="00D32A2D">
      <w:pPr>
        <w:jc w:val="both"/>
        <w:rPr>
          <w:rFonts w:ascii="Times New Roman" w:hAnsi="Times New Roman" w:cs="Times New Roman"/>
          <w:sz w:val="24"/>
          <w:szCs w:val="24"/>
        </w:rPr>
      </w:pPr>
      <w:r>
        <w:rPr>
          <w:rFonts w:ascii="Times New Roman" w:hAnsi="Times New Roman" w:cs="Times New Roman"/>
          <w:sz w:val="24"/>
          <w:szCs w:val="24"/>
        </w:rPr>
        <w:t>Ceļu infrastruktūrai piemērojamie sociālekonomisko ieguvumu un zaudējumu aprēķini, izmantojamie dati un metodikas:</w:t>
      </w:r>
    </w:p>
    <w:p w14:paraId="1634055D" w14:textId="77777777" w:rsidR="00D32A2D" w:rsidRDefault="00D32A2D" w:rsidP="00D32A2D">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0"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64ECDCB3" w14:textId="64BE7229" w:rsidR="004248C6" w:rsidRDefault="00D32A2D" w:rsidP="00D32A2D">
      <w:p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Pr>
          <w:rFonts w:ascii="Times New Roman" w:hAnsi="Times New Roman" w:cs="Times New Roman"/>
          <w:sz w:val="24"/>
          <w:szCs w:val="24"/>
        </w:rPr>
        <w:t xml:space="preserve"> apkopojums par satiksmes intensitāti uz Latvijas ceļiem </w:t>
      </w:r>
      <w:hyperlink r:id="rId21" w:history="1">
        <w:r w:rsidRPr="00A932C8">
          <w:rPr>
            <w:rStyle w:val="Hyperlink"/>
            <w:rFonts w:ascii="Times New Roman" w:hAnsi="Times New Roman" w:cs="Times New Roman"/>
            <w:sz w:val="24"/>
            <w:szCs w:val="24"/>
          </w:rPr>
          <w:t>https://lvceli.lv/celu-tikls/statistikas-dati/satiksmes-intensitate/</w:t>
        </w:r>
      </w:hyperlink>
      <w:r>
        <w:rPr>
          <w:rFonts w:ascii="Times New Roman" w:hAnsi="Times New Roman" w:cs="Times New Roman"/>
          <w:sz w:val="24"/>
          <w:szCs w:val="24"/>
        </w:rPr>
        <w:t>.</w:t>
      </w:r>
    </w:p>
    <w:p w14:paraId="57E6D15B" w14:textId="44D0B5FF"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 xml:space="preserve">Projektā plānotie </w:t>
      </w:r>
      <w:r w:rsidR="007805AB">
        <w:rPr>
          <w:rFonts w:ascii="Times New Roman" w:hAnsi="Times New Roman" w:cs="Times New Roman"/>
          <w:sz w:val="24"/>
          <w:szCs w:val="24"/>
        </w:rPr>
        <w:t xml:space="preserve">rezultāta </w:t>
      </w:r>
      <w:r>
        <w:rPr>
          <w:rFonts w:ascii="Times New Roman" w:hAnsi="Times New Roman" w:cs="Times New Roman"/>
          <w:sz w:val="24"/>
          <w:szCs w:val="24"/>
        </w:rPr>
        <w:t>rādītāji</w:t>
      </w:r>
      <w:r w:rsidRPr="00E6581F">
        <w:rPr>
          <w:rFonts w:ascii="Times New Roman" w:hAnsi="Times New Roman" w:cs="Times New Roman"/>
          <w:sz w:val="24"/>
          <w:szCs w:val="24"/>
        </w:rPr>
        <w:t>”.</w:t>
      </w:r>
    </w:p>
    <w:p w14:paraId="6D484676" w14:textId="4B13F1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00DB4375" w:rsidRPr="008C3B1D">
        <w:rPr>
          <w:rFonts w:ascii="Times New Roman" w:hAnsi="Times New Roman" w:cs="Times New Roman"/>
          <w:sz w:val="24"/>
          <w:szCs w:val="24"/>
        </w:rPr>
        <w:t>202</w:t>
      </w:r>
      <w:r w:rsidR="00DB4375">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2DD6821"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00DD6EE9" w:rsidRPr="008C3B1D">
        <w:rPr>
          <w:rFonts w:ascii="Times New Roman" w:hAnsi="Times New Roman" w:cs="Times New Roman"/>
          <w:sz w:val="24"/>
          <w:szCs w:val="24"/>
        </w:rPr>
        <w:t>202</w:t>
      </w:r>
      <w:r w:rsidR="00DD6EE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E5EE22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r w:rsidR="004F35F8">
        <w:rPr>
          <w:rFonts w:ascii="Times New Roman" w:hAnsi="Times New Roman" w:cs="Times New Roman"/>
          <w:sz w:val="24"/>
          <w:szCs w:val="24"/>
        </w:rPr>
        <w:t>ārpusprojekta</w:t>
      </w:r>
      <w:r w:rsidR="001E0E3D" w:rsidRPr="006761DB">
        <w:rPr>
          <w:rFonts w:ascii="Times New Roman" w:hAnsi="Times New Roman" w:cs="Times New Roman"/>
          <w:sz w:val="24"/>
          <w:szCs w:val="24"/>
        </w:rPr>
        <w:t xml:space="preserve"> PVN izklājlapās 1.1.A Iesniedzējs-1.3.</w:t>
      </w:r>
      <w:r w:rsidR="00EA7458">
        <w:rPr>
          <w:rFonts w:ascii="Times New Roman" w:hAnsi="Times New Roman" w:cs="Times New Roman"/>
          <w:sz w:val="24"/>
          <w:szCs w:val="24"/>
        </w:rPr>
        <w:t>6</w:t>
      </w:r>
      <w:r w:rsidR="001E0E3D" w:rsidRPr="006761DB">
        <w:rPr>
          <w:rFonts w:ascii="Times New Roman" w:hAnsi="Times New Roman" w:cs="Times New Roman"/>
          <w:sz w:val="24"/>
          <w:szCs w:val="24"/>
        </w:rPr>
        <w:t>.</w:t>
      </w:r>
      <w:r w:rsidR="00F56775">
        <w:rPr>
          <w:rFonts w:ascii="Times New Roman" w:hAnsi="Times New Roman" w:cs="Times New Roman"/>
          <w:sz w:val="24"/>
          <w:szCs w:val="24"/>
        </w:rPr>
        <w:t>R.14.41,45</w:t>
      </w:r>
      <w:r w:rsidR="003663AD">
        <w:rPr>
          <w:rFonts w:ascii="Times New Roman" w:hAnsi="Times New Roman" w:cs="Times New Roman"/>
          <w:sz w:val="24"/>
          <w:szCs w:val="24"/>
        </w:rPr>
        <w:t>. vai dz.c.s.</w:t>
      </w:r>
      <w:r w:rsidR="001E0E3D" w:rsidRPr="006761DB">
        <w:rPr>
          <w:rFonts w:ascii="Times New Roman" w:hAnsi="Times New Roman" w:cs="Times New Roman"/>
          <w:sz w:val="24"/>
          <w:szCs w:val="24"/>
        </w:rPr>
        <w:t xml:space="preserve"> </w:t>
      </w:r>
      <w:r w:rsidR="00B822BF">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33" w:name="_Hlk95923640"/>
      <w:r w:rsidR="006F293A" w:rsidRPr="00F2781D">
        <w:rPr>
          <w:rFonts w:ascii="Times New Roman" w:hAnsi="Times New Roman" w:cs="Times New Roman"/>
          <w:b/>
          <w:bCs/>
          <w:sz w:val="24"/>
          <w:szCs w:val="24"/>
        </w:rPr>
        <w:t xml:space="preserve">projekta investīciju ieviešanas periodā </w:t>
      </w:r>
      <w:bookmarkEnd w:id="3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13BF6473" w:rsidR="006D0884" w:rsidRDefault="006D0884" w:rsidP="0047138D">
      <w:pPr>
        <w:jc w:val="both"/>
        <w:rPr>
          <w:rFonts w:ascii="Times New Roman" w:hAnsi="Times New Roman" w:cs="Times New Roman"/>
          <w:sz w:val="24"/>
          <w:szCs w:val="24"/>
        </w:rPr>
      </w:pPr>
      <w:bookmarkStart w:id="3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 xml:space="preserve">Projektā plānotie </w:t>
      </w:r>
      <w:r w:rsidR="00CE241B">
        <w:rPr>
          <w:rFonts w:ascii="Times New Roman" w:hAnsi="Times New Roman" w:cs="Times New Roman"/>
          <w:sz w:val="24"/>
          <w:szCs w:val="24"/>
        </w:rPr>
        <w:t xml:space="preserve">rezultāta </w:t>
      </w:r>
      <w:r>
        <w:rPr>
          <w:rFonts w:ascii="Times New Roman" w:hAnsi="Times New Roman" w:cs="Times New Roman"/>
          <w:sz w:val="24"/>
          <w:szCs w:val="24"/>
        </w:rPr>
        <w:t>rādītāji</w:t>
      </w:r>
      <w:r w:rsidRPr="008C3B1D">
        <w:rPr>
          <w:rFonts w:ascii="Times New Roman" w:hAnsi="Times New Roman" w:cs="Times New Roman"/>
          <w:sz w:val="24"/>
          <w:szCs w:val="24"/>
        </w:rPr>
        <w:t xml:space="preserve">” projekta iesniedzējs norāda plānotos </w:t>
      </w:r>
      <w:r w:rsidR="0034730A">
        <w:rPr>
          <w:rFonts w:ascii="Times New Roman" w:hAnsi="Times New Roman" w:cs="Times New Roman"/>
          <w:sz w:val="24"/>
          <w:szCs w:val="24"/>
        </w:rPr>
        <w:t xml:space="preserve">rezultāta </w:t>
      </w:r>
      <w:r>
        <w:rPr>
          <w:rFonts w:ascii="Times New Roman" w:hAnsi="Times New Roman" w:cs="Times New Roman"/>
          <w:sz w:val="24"/>
          <w:szCs w:val="24"/>
        </w:rPr>
        <w:t xml:space="preserve">rādītājus atbilstoši projekta iesnieguma </w:t>
      </w:r>
      <w:r w:rsidR="00A75416">
        <w:rPr>
          <w:rFonts w:ascii="Times New Roman" w:hAnsi="Times New Roman" w:cs="Times New Roman"/>
          <w:sz w:val="24"/>
          <w:szCs w:val="24"/>
        </w:rPr>
        <w:t>sadaļā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35" w:name="_Hlk96415656"/>
      <w:r w:rsidR="009557A6" w:rsidRPr="009504F0">
        <w:rPr>
          <w:rFonts w:ascii="Times New Roman" w:hAnsi="Times New Roman" w:cs="Times New Roman"/>
          <w:sz w:val="24"/>
          <w:szCs w:val="24"/>
        </w:rPr>
        <w:t xml:space="preserve">makroekonomiskajiem pieņēmumiem un prognozēm </w:t>
      </w:r>
      <w:bookmarkEnd w:id="3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14:paraId="0DBA7CBE" w14:textId="77777777" w:rsidR="002068C2" w:rsidRPr="00F152A5" w:rsidRDefault="002068C2" w:rsidP="00F152A5">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6" w:name="_Toc152234057"/>
      <w:bookmarkStart w:id="37" w:name="_Toc152266407"/>
      <w:r w:rsidRPr="00596D47">
        <w:rPr>
          <w:rFonts w:ascii="Times New Roman" w:hAnsi="Times New Roman" w:cs="Times New Roman"/>
          <w:b/>
          <w:bCs/>
          <w:color w:val="auto"/>
          <w:sz w:val="28"/>
          <w:szCs w:val="28"/>
        </w:rPr>
        <w:t>Finanšu analīze</w:t>
      </w:r>
      <w:bookmarkEnd w:id="36"/>
      <w:bookmarkEnd w:id="37"/>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r w:rsidRPr="1C567C29">
        <w:rPr>
          <w:rFonts w:ascii="Times New Roman" w:hAnsi="Times New Roman" w:cs="Times New Roman"/>
          <w:sz w:val="24"/>
          <w:szCs w:val="24"/>
        </w:rPr>
        <w:t>FNPVc</w:t>
      </w:r>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(FRRk</w:t>
      </w:r>
      <w:r w:rsidR="00F85701" w:rsidRPr="1C567C29">
        <w:rPr>
          <w:rFonts w:ascii="Times New Roman" w:hAnsi="Times New Roman" w:cs="Times New Roman"/>
          <w:sz w:val="24"/>
          <w:szCs w:val="24"/>
        </w:rPr>
        <w:t>).</w:t>
      </w:r>
    </w:p>
    <w:p w14:paraId="2B8A0B6A" w14:textId="116197B0"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8" w:name="_Hlk96423944"/>
      <w:r w:rsidR="001D54D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w:t>
      </w:r>
      <w:r w:rsidR="00712A03">
        <w:rPr>
          <w:rFonts w:ascii="Times New Roman" w:hAnsi="Times New Roman" w:cs="Times New Roman"/>
          <w:sz w:val="24"/>
          <w:szCs w:val="24"/>
        </w:rPr>
        <w:t xml:space="preserve">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 xml:space="preserve"> un </w:t>
      </w:r>
      <w:r w:rsidR="00BA17B3" w:rsidRPr="00BA17B3">
        <w:rPr>
          <w:rFonts w:ascii="Times New Roman" w:hAnsi="Times New Roman" w:cs="Times New Roman"/>
          <w:sz w:val="24"/>
          <w:szCs w:val="24"/>
        </w:rPr>
        <w:t>“Naudas plūsmas pozīcijas” investīciju naudas plūsmai</w:t>
      </w:r>
      <w:r w:rsidR="00C65DB5">
        <w:rPr>
          <w:rFonts w:ascii="Times New Roman" w:hAnsi="Times New Roman" w:cs="Times New Roman"/>
          <w:sz w:val="24"/>
          <w:szCs w:val="24"/>
        </w:rPr>
        <w:t xml:space="preserve"> </w:t>
      </w:r>
      <w:r w:rsidR="00C65DB5" w:rsidRPr="00C65DB5">
        <w:rPr>
          <w:rFonts w:ascii="Times New Roman" w:hAnsi="Times New Roman" w:cs="Times New Roman"/>
          <w:sz w:val="24"/>
          <w:szCs w:val="24"/>
        </w:rPr>
        <w:t>darbībām atbilstoši 651/2014 regulas 56.pantam</w:t>
      </w:r>
      <w:r w:rsidR="00712A03">
        <w:rPr>
          <w:rFonts w:ascii="Times New Roman" w:hAnsi="Times New Roman" w:cs="Times New Roman"/>
          <w:sz w:val="24"/>
          <w:szCs w:val="24"/>
        </w:rPr>
        <w:t>.</w:t>
      </w:r>
    </w:p>
    <w:bookmarkEnd w:id="38"/>
    <w:p w14:paraId="2E4F6312" w14:textId="09948E7C"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2839DB">
        <w:rPr>
          <w:rFonts w:ascii="Times New Roman" w:hAnsi="Times New Roman" w:cs="Times New Roman"/>
          <w:sz w:val="24"/>
          <w:szCs w:val="24"/>
        </w:rPr>
        <w:t>5</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F152A5" w:rsidRDefault="00330C1A" w:rsidP="00F152A5">
      <w:pPr>
        <w:spacing w:before="120" w:after="120"/>
        <w:jc w:val="both"/>
        <w:rPr>
          <w:rFonts w:ascii="Times New Roman" w:hAnsi="Times New Roman" w:cs="Times New Roman"/>
          <w:sz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9" w:name="_Toc152234058"/>
      <w:bookmarkStart w:id="40" w:name="_Toc152266408"/>
      <w:r w:rsidRPr="00596D47">
        <w:rPr>
          <w:rFonts w:ascii="Times New Roman" w:hAnsi="Times New Roman" w:cs="Times New Roman"/>
          <w:b/>
          <w:bCs/>
          <w:color w:val="auto"/>
          <w:sz w:val="28"/>
          <w:szCs w:val="28"/>
        </w:rPr>
        <w:t>Sociālekonomiskās analīzes jutīguma analīze</w:t>
      </w:r>
      <w:bookmarkEnd w:id="39"/>
      <w:bookmarkEnd w:id="40"/>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0A6484B4" w:rsidR="00A70758" w:rsidRDefault="00A70758" w:rsidP="09584CB2">
      <w:pPr>
        <w:spacing w:before="120" w:after="120"/>
        <w:jc w:val="both"/>
        <w:rPr>
          <w:rFonts w:ascii="Times New Roman" w:hAnsi="Times New Roman" w:cs="Times New Roman"/>
          <w:sz w:val="24"/>
          <w:szCs w:val="24"/>
        </w:rPr>
      </w:pPr>
      <w:r w:rsidRPr="09584CB2">
        <w:rPr>
          <w:rFonts w:ascii="Times New Roman" w:hAnsi="Times New Roman" w:cs="Times New Roman"/>
          <w:sz w:val="24"/>
          <w:szCs w:val="24"/>
        </w:rPr>
        <w:t>Šajās izklājlapās pie norādītā mainīgā svārstības par 1%</w:t>
      </w:r>
      <w:r w:rsidR="2A1DD9ED" w:rsidRPr="09584CB2">
        <w:rPr>
          <w:rFonts w:ascii="Times New Roman" w:hAnsi="Times New Roman" w:cs="Times New Roman"/>
          <w:sz w:val="24"/>
          <w:szCs w:val="24"/>
        </w:rPr>
        <w:t>s</w:t>
      </w:r>
      <w:r w:rsidRPr="09584CB2">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“Goal seek”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F152A5" w:rsidRDefault="00C73ABA" w:rsidP="00F152A5">
      <w:pPr>
        <w:jc w:val="both"/>
        <w:rPr>
          <w:rFonts w:ascii="Times New Roman" w:hAnsi="Times New Roman" w:cs="Times New Roman"/>
          <w:sz w:val="24"/>
          <w:szCs w:val="24"/>
        </w:rPr>
      </w:pPr>
    </w:p>
    <w:p w14:paraId="6B48CD54" w14:textId="37FE0BD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1" w:name="_Toc152234059"/>
      <w:bookmarkStart w:id="42" w:name="_Toc152266409"/>
      <w:r w:rsidRPr="00596D47">
        <w:rPr>
          <w:rFonts w:ascii="Times New Roman" w:hAnsi="Times New Roman" w:cs="Times New Roman"/>
          <w:b/>
          <w:bCs/>
          <w:color w:val="auto"/>
          <w:sz w:val="28"/>
          <w:szCs w:val="28"/>
        </w:rPr>
        <w:t xml:space="preserve">Projekta iesnieguma </w:t>
      </w:r>
      <w:r w:rsidR="00D0082A">
        <w:rPr>
          <w:rFonts w:ascii="Times New Roman" w:hAnsi="Times New Roman" w:cs="Times New Roman"/>
          <w:b/>
          <w:bCs/>
          <w:color w:val="auto"/>
          <w:sz w:val="28"/>
          <w:szCs w:val="28"/>
        </w:rPr>
        <w:t>sa</w:t>
      </w:r>
      <w:r w:rsidR="00964367">
        <w:rPr>
          <w:rFonts w:ascii="Times New Roman" w:hAnsi="Times New Roman" w:cs="Times New Roman"/>
          <w:b/>
          <w:bCs/>
          <w:color w:val="auto"/>
          <w:sz w:val="28"/>
          <w:szCs w:val="28"/>
        </w:rPr>
        <w:t>daļa</w:t>
      </w:r>
      <w:r w:rsidRPr="00596D47">
        <w:rPr>
          <w:rFonts w:ascii="Times New Roman" w:hAnsi="Times New Roman" w:cs="Times New Roman"/>
          <w:b/>
          <w:bCs/>
          <w:color w:val="auto"/>
          <w:sz w:val="28"/>
          <w:szCs w:val="28"/>
        </w:rPr>
        <w:t xml:space="preserve"> “Finansē</w:t>
      </w:r>
      <w:r w:rsidR="006914F2">
        <w:rPr>
          <w:rFonts w:ascii="Times New Roman" w:hAnsi="Times New Roman" w:cs="Times New Roman"/>
          <w:b/>
          <w:bCs/>
          <w:color w:val="auto"/>
          <w:sz w:val="28"/>
          <w:szCs w:val="28"/>
        </w:rPr>
        <w:t>juma sadalījums pa avotiem</w:t>
      </w:r>
      <w:r w:rsidRPr="00596D47">
        <w:rPr>
          <w:rFonts w:ascii="Times New Roman" w:hAnsi="Times New Roman" w:cs="Times New Roman"/>
          <w:b/>
          <w:bCs/>
          <w:color w:val="auto"/>
          <w:sz w:val="28"/>
          <w:szCs w:val="28"/>
        </w:rPr>
        <w:t>”</w:t>
      </w:r>
      <w:bookmarkEnd w:id="41"/>
      <w:bookmarkEnd w:id="42"/>
    </w:p>
    <w:p w14:paraId="70C32497" w14:textId="7853D2E5" w:rsidR="00C73ABA" w:rsidRDefault="00D84C82" w:rsidP="00D84C82">
      <w:pPr>
        <w:jc w:val="both"/>
        <w:rPr>
          <w:rFonts w:ascii="Times New Roman" w:hAnsi="Times New Roman" w:cs="Times New Roman"/>
          <w:sz w:val="24"/>
          <w:szCs w:val="24"/>
        </w:rPr>
      </w:pPr>
      <w:bookmarkStart w:id="43"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6F6F4D">
        <w:rPr>
          <w:rFonts w:ascii="Times New Roman" w:hAnsi="Times New Roman" w:cs="Times New Roman"/>
          <w:sz w:val="24"/>
          <w:szCs w:val="24"/>
        </w:rPr>
        <w:t>Fin</w:t>
      </w:r>
      <w:r w:rsidR="00F72A57">
        <w:rPr>
          <w:rFonts w:ascii="Times New Roman" w:hAnsi="Times New Roman" w:cs="Times New Roman"/>
          <w:sz w:val="24"/>
          <w:szCs w:val="24"/>
        </w:rPr>
        <w:t>.plans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706606">
        <w:rPr>
          <w:rFonts w:ascii="Times New Roman" w:hAnsi="Times New Roman" w:cs="Times New Roman"/>
          <w:sz w:val="24"/>
          <w:szCs w:val="24"/>
        </w:rPr>
        <w:t xml:space="preserve">sadaļai </w:t>
      </w:r>
      <w:r>
        <w:rPr>
          <w:rFonts w:ascii="Times New Roman" w:hAnsi="Times New Roman" w:cs="Times New Roman"/>
          <w:sz w:val="24"/>
          <w:szCs w:val="24"/>
        </w:rPr>
        <w:t>“Finansē</w:t>
      </w:r>
      <w:r w:rsidR="00513B45">
        <w:rPr>
          <w:rFonts w:ascii="Times New Roman" w:hAnsi="Times New Roman" w:cs="Times New Roman"/>
          <w:sz w:val="24"/>
          <w:szCs w:val="24"/>
        </w:rPr>
        <w:t xml:space="preserve">juma sadalījums </w:t>
      </w:r>
      <w:r w:rsidR="006914F2">
        <w:rPr>
          <w:rFonts w:ascii="Times New Roman" w:hAnsi="Times New Roman" w:cs="Times New Roman"/>
          <w:sz w:val="24"/>
          <w:szCs w:val="24"/>
        </w:rPr>
        <w:t>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437A84">
        <w:rPr>
          <w:rFonts w:ascii="Times New Roman" w:hAnsi="Times New Roman" w:cs="Times New Roman"/>
          <w:sz w:val="24"/>
          <w:szCs w:val="24"/>
        </w:rPr>
        <w:t xml:space="preserve">komercdarbības </w:t>
      </w:r>
      <w:r w:rsidR="00925AFC">
        <w:rPr>
          <w:rFonts w:ascii="Times New Roman" w:hAnsi="Times New Roman" w:cs="Times New Roman"/>
          <w:sz w:val="24"/>
          <w:szCs w:val="24"/>
        </w:rPr>
        <w:t>atbalsta veidiem.</w:t>
      </w:r>
    </w:p>
    <w:bookmarkEnd w:id="4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1236DDA"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“9. DL PI </w:t>
      </w:r>
      <w:r w:rsidR="00E76964">
        <w:rPr>
          <w:rFonts w:ascii="Times New Roman" w:hAnsi="Times New Roman" w:cs="Times New Roman"/>
          <w:b/>
          <w:bCs/>
          <w:sz w:val="24"/>
          <w:szCs w:val="24"/>
        </w:rPr>
        <w:t>Fin.plans</w:t>
      </w:r>
      <w:r w:rsidRPr="00EF7BE3">
        <w:rPr>
          <w:rFonts w:ascii="Times New Roman" w:hAnsi="Times New Roman" w:cs="Times New Roman"/>
          <w:b/>
          <w:bCs/>
          <w:sz w:val="24"/>
          <w:szCs w:val="24"/>
        </w:rPr>
        <w:t>” aprēķinātais projekta kopējais finansēšanas plāns  atbilst projekta iesnieguma</w:t>
      </w:r>
      <w:r w:rsidR="00D20A93">
        <w:rPr>
          <w:rFonts w:ascii="Times New Roman" w:hAnsi="Times New Roman" w:cs="Times New Roman"/>
          <w:b/>
          <w:bCs/>
          <w:sz w:val="24"/>
          <w:szCs w:val="24"/>
        </w:rPr>
        <w:t xml:space="preserve"> </w:t>
      </w:r>
      <w:r w:rsidR="001A0A94">
        <w:rPr>
          <w:rFonts w:ascii="Times New Roman" w:hAnsi="Times New Roman" w:cs="Times New Roman"/>
          <w:b/>
          <w:bCs/>
          <w:sz w:val="24"/>
          <w:szCs w:val="24"/>
        </w:rPr>
        <w:t>sadaļai</w:t>
      </w:r>
      <w:r w:rsidRPr="00EF7BE3">
        <w:rPr>
          <w:rFonts w:ascii="Times New Roman" w:hAnsi="Times New Roman" w:cs="Times New Roman"/>
          <w:b/>
          <w:bCs/>
          <w:sz w:val="24"/>
          <w:szCs w:val="24"/>
        </w:rPr>
        <w:t xml:space="preserve"> “Finansē</w:t>
      </w:r>
      <w:r w:rsidR="00D67C80">
        <w:rPr>
          <w:rFonts w:ascii="Times New Roman" w:hAnsi="Times New Roman" w:cs="Times New Roman"/>
          <w:b/>
          <w:bCs/>
          <w:sz w:val="24"/>
          <w:szCs w:val="24"/>
        </w:rPr>
        <w:t>juma sad</w:t>
      </w:r>
      <w:r w:rsidR="00513B45">
        <w:rPr>
          <w:rFonts w:ascii="Times New Roman" w:hAnsi="Times New Roman" w:cs="Times New Roman"/>
          <w:b/>
          <w:bCs/>
          <w:sz w:val="24"/>
          <w:szCs w:val="24"/>
        </w:rPr>
        <w:t>alījums pa avotiem</w:t>
      </w:r>
      <w:r w:rsidRPr="00EF7BE3">
        <w:rPr>
          <w:rFonts w:ascii="Times New Roman" w:hAnsi="Times New Roman" w:cs="Times New Roman"/>
          <w:b/>
          <w:bCs/>
          <w:sz w:val="24"/>
          <w:szCs w:val="24"/>
        </w:rPr>
        <w:t>”.</w:t>
      </w:r>
    </w:p>
    <w:p w14:paraId="3B62DAEE" w14:textId="773A3EB3"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4" w:name="_Toc152234060"/>
      <w:bookmarkStart w:id="45" w:name="_Toc152266410"/>
      <w:r w:rsidRPr="00596D47">
        <w:rPr>
          <w:rFonts w:ascii="Times New Roman" w:hAnsi="Times New Roman" w:cs="Times New Roman"/>
          <w:b/>
          <w:bCs/>
          <w:color w:val="auto"/>
          <w:sz w:val="28"/>
          <w:szCs w:val="28"/>
        </w:rPr>
        <w:lastRenderedPageBreak/>
        <w:t xml:space="preserve">Projekta iesnieguma </w:t>
      </w:r>
      <w:r w:rsidR="00E959C1">
        <w:rPr>
          <w:rFonts w:ascii="Times New Roman" w:hAnsi="Times New Roman" w:cs="Times New Roman"/>
          <w:b/>
          <w:bCs/>
          <w:color w:val="auto"/>
          <w:sz w:val="28"/>
          <w:szCs w:val="28"/>
        </w:rPr>
        <w:t>sadaļa</w:t>
      </w:r>
      <w:r w:rsidRPr="00596D47">
        <w:rPr>
          <w:rFonts w:ascii="Times New Roman" w:hAnsi="Times New Roman" w:cs="Times New Roman"/>
          <w:b/>
          <w:bCs/>
          <w:color w:val="auto"/>
          <w:sz w:val="28"/>
          <w:szCs w:val="28"/>
        </w:rPr>
        <w:t xml:space="preserve"> “Projekta budžeta kopsavilkums”</w:t>
      </w:r>
      <w:bookmarkEnd w:id="44"/>
      <w:bookmarkEnd w:id="45"/>
    </w:p>
    <w:p w14:paraId="41966CD3" w14:textId="20A6F0C1"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2A3CA3">
        <w:rPr>
          <w:rFonts w:ascii="Times New Roman" w:hAnsi="Times New Roman" w:cs="Times New Roman"/>
          <w:sz w:val="24"/>
          <w:szCs w:val="24"/>
        </w:rPr>
        <w:t>Budz</w:t>
      </w:r>
      <w:r w:rsidR="00DA09A7">
        <w:rPr>
          <w:rFonts w:ascii="Times New Roman" w:hAnsi="Times New Roman" w:cs="Times New Roman"/>
          <w:sz w:val="24"/>
          <w:szCs w:val="24"/>
        </w:rPr>
        <w:t>.kops.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8B5CE7">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6833CA">
        <w:rPr>
          <w:rFonts w:ascii="Times New Roman" w:hAnsi="Times New Roman" w:cs="Times New Roman"/>
        </w:rPr>
        <w:t xml:space="preserve">projekta budžeta izmaksu pozīcijām un izmaksām </w:t>
      </w:r>
      <w:r w:rsidR="00DB1761" w:rsidRPr="008B5CE7">
        <w:rPr>
          <w:rFonts w:ascii="Times New Roman" w:hAnsi="Times New Roman" w:cs="Times New Roman"/>
          <w:sz w:val="24"/>
          <w:szCs w:val="24"/>
        </w:rPr>
        <w:t xml:space="preserve">projekta iesniedzējs neaizpilda, jo </w:t>
      </w:r>
      <w:r w:rsidRPr="008B5CE7">
        <w:rPr>
          <w:rFonts w:ascii="Times New Roman" w:hAnsi="Times New Roman" w:cs="Times New Roman"/>
          <w:sz w:val="24"/>
          <w:szCs w:val="24"/>
        </w:rPr>
        <w:t>tajās</w:t>
      </w:r>
      <w:r w:rsidR="00DB1761" w:rsidRPr="008B5CE7">
        <w:rPr>
          <w:rFonts w:ascii="Times New Roman" w:hAnsi="Times New Roman" w:cs="Times New Roman"/>
          <w:sz w:val="24"/>
          <w:szCs w:val="24"/>
        </w:rPr>
        <w:t xml:space="preserve"> automātiski ģenerējas iznākums, ņemot</w:t>
      </w:r>
      <w:r w:rsidR="00DB1761" w:rsidRPr="00DB1761">
        <w:rPr>
          <w:rFonts w:ascii="Times New Roman" w:hAnsi="Times New Roman" w:cs="Times New Roman"/>
          <w:sz w:val="24"/>
          <w:szCs w:val="24"/>
        </w:rPr>
        <w:t xml:space="preserve"> vērā izklājlapās par projekta budžetu norādītās projekta investīciju izmaksas</w:t>
      </w:r>
      <w:r>
        <w:rPr>
          <w:rFonts w:ascii="Times New Roman" w:hAnsi="Times New Roman" w:cs="Times New Roman"/>
          <w:sz w:val="24"/>
          <w:szCs w:val="24"/>
        </w:rPr>
        <w:t>.</w:t>
      </w:r>
    </w:p>
    <w:p w14:paraId="49BA24A1" w14:textId="3F6EECE3"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BF3FB4">
        <w:rPr>
          <w:rFonts w:ascii="Times New Roman" w:hAnsi="Times New Roman" w:cs="Times New Roman"/>
          <w:sz w:val="24"/>
          <w:szCs w:val="24"/>
        </w:rPr>
        <w:t>sadaļu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C88C0D4"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 </w:t>
      </w:r>
      <w:r w:rsidR="00DA09A7">
        <w:rPr>
          <w:rFonts w:ascii="Times New Roman" w:hAnsi="Times New Roman" w:cs="Times New Roman"/>
          <w:b/>
          <w:bCs/>
          <w:sz w:val="24"/>
          <w:szCs w:val="24"/>
        </w:rPr>
        <w:t>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A14B54">
        <w:rPr>
          <w:rFonts w:ascii="Times New Roman" w:hAnsi="Times New Roman" w:cs="Times New Roman"/>
          <w:b/>
          <w:bCs/>
          <w:sz w:val="24"/>
          <w:szCs w:val="24"/>
        </w:rPr>
        <w:t>sadaļai</w:t>
      </w:r>
      <w:r w:rsidRPr="00870FE0">
        <w:rPr>
          <w:rFonts w:ascii="Times New Roman" w:hAnsi="Times New Roman" w:cs="Times New Roman"/>
          <w:b/>
          <w:bCs/>
          <w:sz w:val="24"/>
          <w:szCs w:val="24"/>
        </w:rPr>
        <w:t xml:space="preserve">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B373836" w:rsidR="0060686B" w:rsidRPr="00596D47" w:rsidRDefault="00E152C8" w:rsidP="00596D47">
      <w:pPr>
        <w:pStyle w:val="Heading1"/>
        <w:numPr>
          <w:ilvl w:val="2"/>
          <w:numId w:val="32"/>
        </w:numPr>
        <w:rPr>
          <w:rFonts w:ascii="Times New Roman" w:hAnsi="Times New Roman" w:cs="Times New Roman"/>
          <w:b/>
          <w:bCs/>
          <w:color w:val="auto"/>
          <w:sz w:val="28"/>
          <w:szCs w:val="28"/>
        </w:rPr>
      </w:pPr>
      <w:bookmarkStart w:id="46" w:name="_Toc152234061"/>
      <w:bookmarkStart w:id="47" w:name="_Toc152266411"/>
      <w:r w:rsidRPr="00E152C8">
        <w:rPr>
          <w:rFonts w:ascii="Times New Roman" w:hAnsi="Times New Roman" w:cs="Times New Roman"/>
          <w:b/>
          <w:bCs/>
          <w:color w:val="auto"/>
          <w:sz w:val="28"/>
          <w:szCs w:val="28"/>
        </w:rPr>
        <w:t xml:space="preserve">MK noteikumu Nr.408 </w:t>
      </w:r>
      <w:r w:rsidR="00A82AF1">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46"/>
      <w:bookmarkEnd w:id="47"/>
    </w:p>
    <w:p w14:paraId="306B75A8" w14:textId="3ED3685B" w:rsidR="001D7536" w:rsidRDefault="001D7536" w:rsidP="001D7536">
      <w:pPr>
        <w:jc w:val="both"/>
        <w:rPr>
          <w:rFonts w:ascii="Times New Roman" w:hAnsi="Times New Roman" w:cs="Times New Roman"/>
          <w:sz w:val="24"/>
          <w:szCs w:val="24"/>
        </w:rPr>
      </w:pPr>
      <w:bookmarkStart w:id="48"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w:t>
      </w:r>
      <w:r w:rsidR="00935707">
        <w:rPr>
          <w:rFonts w:ascii="Times New Roman" w:hAnsi="Times New Roman" w:cs="Times New Roman"/>
          <w:sz w:val="24"/>
          <w:szCs w:val="24"/>
        </w:rPr>
        <w:t>s</w:t>
      </w:r>
      <w:r w:rsidR="004A38AD">
        <w:rPr>
          <w:rFonts w:ascii="Times New Roman" w:hAnsi="Times New Roman" w:cs="Times New Roman"/>
          <w:sz w:val="24"/>
          <w:szCs w:val="24"/>
        </w:rPr>
        <w:t xml:space="preserve"> </w:t>
      </w:r>
      <w:r w:rsidR="003D5F37" w:rsidRPr="003D5F37">
        <w:rPr>
          <w:rFonts w:ascii="Times New Roman" w:hAnsi="Times New Roman" w:cs="Times New Roman"/>
          <w:sz w:val="24"/>
          <w:szCs w:val="24"/>
        </w:rPr>
        <w:t>MK noteikumu Nr.408 4.</w:t>
      </w:r>
      <w:r w:rsidR="004442B8">
        <w:rPr>
          <w:rFonts w:ascii="Times New Roman" w:hAnsi="Times New Roman" w:cs="Times New Roman"/>
          <w:sz w:val="24"/>
          <w:szCs w:val="24"/>
        </w:rPr>
        <w:t>pielikums</w:t>
      </w:r>
      <w:r w:rsidR="004A38AD">
        <w:rPr>
          <w:rFonts w:ascii="Times New Roman" w:hAnsi="Times New Roman" w:cs="Times New Roman"/>
          <w:sz w:val="24"/>
          <w:szCs w:val="24"/>
        </w:rPr>
        <w:t xml:space="preserve"> </w:t>
      </w:r>
      <w:r w:rsidR="004A38AD" w:rsidRPr="004A38AD">
        <w:rPr>
          <w:rFonts w:ascii="Times New Roman" w:hAnsi="Times New Roman" w:cs="Times New Roman"/>
          <w:sz w:val="24"/>
          <w:szCs w:val="24"/>
        </w:rPr>
        <w:t>“Projekta izmaksu efektivitātes novērtējums”</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48"/>
      <w:r w:rsidRPr="001D7536">
        <w:rPr>
          <w:rFonts w:ascii="Times New Roman" w:hAnsi="Times New Roman" w:cs="Times New Roman"/>
          <w:sz w:val="24"/>
          <w:szCs w:val="24"/>
        </w:rPr>
        <w:t>.</w:t>
      </w:r>
      <w:r w:rsidR="0007791B">
        <w:rPr>
          <w:rFonts w:ascii="Times New Roman" w:hAnsi="Times New Roman"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000246A4"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1B2329" w:rsidRDefault="00D02536" w:rsidP="001B2329">
      <w:pPr>
        <w:pStyle w:val="ListParagraph"/>
        <w:numPr>
          <w:ilvl w:val="3"/>
          <w:numId w:val="5"/>
        </w:numPr>
        <w:jc w:val="right"/>
        <w:rPr>
          <w:rFonts w:ascii="Times New Roman" w:eastAsia="Calibri" w:hAnsi="Times New Roman" w:cs="Times New Roman"/>
          <w:sz w:val="24"/>
          <w:szCs w:val="24"/>
        </w:rPr>
      </w:pPr>
      <w:r w:rsidRPr="001B2329">
        <w:rPr>
          <w:rFonts w:ascii="Times New Roman" w:eastAsia="Calibri" w:hAnsi="Times New Roman" w:cs="Times New Roman"/>
          <w:sz w:val="24"/>
          <w:szCs w:val="24"/>
        </w:rPr>
        <w:t>attēls</w:t>
      </w:r>
    </w:p>
    <w:p w14:paraId="038630CD" w14:textId="136FE6F1" w:rsidR="008F7451" w:rsidRPr="00313AFE" w:rsidRDefault="00DA5B0C" w:rsidP="001D7536">
      <w:pPr>
        <w:jc w:val="both"/>
        <w:rPr>
          <w:rFonts w:ascii="Times New Roman" w:hAnsi="Times New Roman" w:cs="Times New Roman"/>
          <w:sz w:val="24"/>
        </w:rPr>
      </w:pPr>
      <w:r>
        <w:rPr>
          <w:noProof/>
        </w:rPr>
        <w:drawing>
          <wp:inline distT="0" distB="0" distL="0" distR="0" wp14:anchorId="46FB6924" wp14:editId="02B51398">
            <wp:extent cx="6119495" cy="1678940"/>
            <wp:effectExtent l="0" t="0" r="0" b="0"/>
            <wp:docPr id="1373462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218" name="Picture 1" descr="A screenshot of a computer&#10;&#10;Description automatically generated"/>
                    <pic:cNvPicPr/>
                  </pic:nvPicPr>
                  <pic:blipFill>
                    <a:blip r:embed="rId24"/>
                    <a:stretch>
                      <a:fillRect/>
                    </a:stretch>
                  </pic:blipFill>
                  <pic:spPr>
                    <a:xfrm>
                      <a:off x="0" y="0"/>
                      <a:ext cx="6119495" cy="1678940"/>
                    </a:xfrm>
                    <a:prstGeom prst="rect">
                      <a:avLst/>
                    </a:prstGeom>
                  </pic:spPr>
                </pic:pic>
              </a:graphicData>
            </a:graphic>
          </wp:inline>
        </w:drawing>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Ar projektu saistītās veiktās priekšizpētes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4D9091FA"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w:t>
      </w:r>
      <w:r w:rsidR="00B63DEF">
        <w:rPr>
          <w:rFonts w:ascii="Times New Roman" w:eastAsia="Calibri" w:hAnsi="Times New Roman" w:cs="Times New Roman"/>
          <w:sz w:val="24"/>
          <w:szCs w:val="24"/>
        </w:rPr>
        <w:lastRenderedPageBreak/>
        <w:t>projekta</w:t>
      </w:r>
      <w:r w:rsidR="00B63DEF"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līdzfinansējuma likme % un euro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72B3F4E6" w:rsidR="00EC754E" w:rsidRPr="00313AFE" w:rsidRDefault="006B31DF" w:rsidP="001D7536">
      <w:pPr>
        <w:jc w:val="both"/>
        <w:rPr>
          <w:rFonts w:ascii="Times New Roman" w:hAnsi="Times New Roman" w:cs="Times New Roman"/>
          <w:sz w:val="24"/>
          <w:szCs w:val="24"/>
        </w:rPr>
      </w:pPr>
      <w:r>
        <w:rPr>
          <w:noProof/>
        </w:rPr>
        <w:drawing>
          <wp:inline distT="0" distB="0" distL="0" distR="0" wp14:anchorId="7CC7202D" wp14:editId="1093205E">
            <wp:extent cx="6119495" cy="4608195"/>
            <wp:effectExtent l="0" t="0" r="0" b="1905"/>
            <wp:docPr id="810856082" name="Picture 8108560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6082" name="Picture 1" descr="A screenshot of a document&#10;&#10;Description automatically generated"/>
                    <pic:cNvPicPr/>
                  </pic:nvPicPr>
                  <pic:blipFill>
                    <a:blip r:embed="rId25"/>
                    <a:stretch>
                      <a:fillRect/>
                    </a:stretch>
                  </pic:blipFill>
                  <pic:spPr>
                    <a:xfrm>
                      <a:off x="0" y="0"/>
                      <a:ext cx="6119495" cy="4608195"/>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w:t>
      </w:r>
      <w:r w:rsidR="0058700C" w:rsidRPr="00313AFE">
        <w:rPr>
          <w:rFonts w:ascii="Times New Roman" w:hAnsi="Times New Roman" w:cs="Times New Roman"/>
          <w:sz w:val="24"/>
          <w:szCs w:val="24"/>
        </w:rPr>
        <w:lastRenderedPageBreak/>
        <w:t>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6CB2078F" w14:textId="77777777" w:rsidR="00483B8A" w:rsidRDefault="00483B8A" w:rsidP="00D763D5">
      <w:pPr>
        <w:jc w:val="right"/>
        <w:rPr>
          <w:rFonts w:ascii="Times New Roman" w:eastAsia="Calibri" w:hAnsi="Times New Roman" w:cs="Times New Roman"/>
          <w:sz w:val="24"/>
          <w:szCs w:val="24"/>
        </w:rPr>
      </w:pPr>
    </w:p>
    <w:p w14:paraId="071EBC16" w14:textId="77777777" w:rsidR="00252DCC" w:rsidRDefault="00252DCC" w:rsidP="00D763D5">
      <w:pPr>
        <w:jc w:val="right"/>
        <w:rPr>
          <w:rFonts w:ascii="Times New Roman" w:eastAsia="Calibri" w:hAnsi="Times New Roman" w:cs="Times New Roman"/>
          <w:sz w:val="24"/>
          <w:szCs w:val="24"/>
        </w:rPr>
      </w:pPr>
    </w:p>
    <w:p w14:paraId="59BC2307" w14:textId="77777777" w:rsidR="00252DCC" w:rsidRDefault="00252DCC" w:rsidP="00D763D5">
      <w:pPr>
        <w:jc w:val="right"/>
        <w:rPr>
          <w:rFonts w:ascii="Times New Roman" w:eastAsia="Calibri" w:hAnsi="Times New Roman" w:cs="Times New Roman"/>
          <w:sz w:val="24"/>
          <w:szCs w:val="24"/>
        </w:rPr>
      </w:pPr>
    </w:p>
    <w:p w14:paraId="763F5141" w14:textId="77777777" w:rsidR="00252DCC" w:rsidRDefault="00252DCC" w:rsidP="00D763D5">
      <w:pPr>
        <w:jc w:val="right"/>
        <w:rPr>
          <w:rFonts w:ascii="Times New Roman" w:eastAsia="Calibri" w:hAnsi="Times New Roman" w:cs="Times New Roman"/>
          <w:sz w:val="24"/>
          <w:szCs w:val="24"/>
        </w:rPr>
      </w:pPr>
    </w:p>
    <w:p w14:paraId="1FEBCAC8" w14:textId="77777777" w:rsidR="00483B8A" w:rsidRDefault="00483B8A" w:rsidP="00D763D5">
      <w:pPr>
        <w:jc w:val="right"/>
        <w:rPr>
          <w:rFonts w:ascii="Times New Roman" w:eastAsia="Calibri" w:hAnsi="Times New Roman" w:cs="Times New Roman"/>
          <w:sz w:val="24"/>
          <w:szCs w:val="24"/>
        </w:rPr>
      </w:pPr>
    </w:p>
    <w:p w14:paraId="49471F9B" w14:textId="77777777" w:rsidR="007B5C61" w:rsidRDefault="007B5C61" w:rsidP="00D763D5">
      <w:pPr>
        <w:jc w:val="right"/>
        <w:rPr>
          <w:rFonts w:ascii="Times New Roman" w:eastAsia="Calibri" w:hAnsi="Times New Roman" w:cs="Times New Roman"/>
          <w:sz w:val="24"/>
          <w:szCs w:val="24"/>
        </w:rPr>
      </w:pPr>
    </w:p>
    <w:p w14:paraId="2E23A910" w14:textId="77777777" w:rsidR="00483B8A" w:rsidRDefault="00483B8A"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5E6E8661" w14:textId="4336555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r w:rsidR="009A2FC8">
        <w:rPr>
          <w:rFonts w:ascii="Times New Roman" w:eastAsia="Calibri" w:hAnsi="Times New Roman" w:cs="Times New Roman"/>
          <w:sz w:val="24"/>
          <w:szCs w:val="24"/>
        </w:rPr>
        <w:t>.</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1D32F6B7"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08E2596C"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2274EE22"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9F3A08D" w14:textId="77777777" w:rsidR="003230B1" w:rsidRPr="00313AFE"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euro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euro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euro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36A5693"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B65FEC1" w14:textId="77777777" w:rsidR="00BB6C3A" w:rsidRPr="002C253D"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49" w:name="_Toc152234063"/>
      <w:bookmarkStart w:id="50" w:name="_Toc152266412"/>
      <w:r w:rsidRPr="00596D47">
        <w:rPr>
          <w:rFonts w:ascii="Times New Roman" w:hAnsi="Times New Roman" w:cs="Times New Roman"/>
          <w:b/>
          <w:bCs/>
          <w:color w:val="auto"/>
          <w:sz w:val="28"/>
          <w:szCs w:val="28"/>
        </w:rPr>
        <w:lastRenderedPageBreak/>
        <w:t>Kontroles lapa</w:t>
      </w:r>
      <w:bookmarkEnd w:id="49"/>
      <w:bookmarkEnd w:id="50"/>
    </w:p>
    <w:p w14:paraId="5463BB4B" w14:textId="5D53F28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51" w:name="_Hlk96433301"/>
      <w:r w:rsidRPr="00314781">
        <w:rPr>
          <w:rFonts w:ascii="Times New Roman" w:hAnsi="Times New Roman" w:cs="Times New Roman"/>
          <w:sz w:val="24"/>
        </w:rPr>
        <w:t>“1</w:t>
      </w:r>
      <w:r w:rsidR="00BB6C3A">
        <w:rPr>
          <w:rFonts w:ascii="Times New Roman" w:hAnsi="Times New Roman" w:cs="Times New Roman"/>
          <w:sz w:val="24"/>
        </w:rPr>
        <w:t>2</w:t>
      </w:r>
      <w:r w:rsidRPr="00314781">
        <w:rPr>
          <w:rFonts w:ascii="Times New Roman" w:hAnsi="Times New Roman" w:cs="Times New Roman"/>
          <w:sz w:val="24"/>
        </w:rPr>
        <w:t xml:space="preserve">. Kontroles lapa” </w:t>
      </w:r>
      <w:bookmarkEnd w:id="5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84F2B7F"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Izklājlapa “1</w:t>
      </w:r>
      <w:r w:rsidR="00BB6C3A">
        <w:rPr>
          <w:rFonts w:ascii="Times New Roman" w:hAnsi="Times New Roman" w:cs="Times New Roman"/>
          <w:sz w:val="24"/>
          <w:szCs w:val="24"/>
        </w:rPr>
        <w:t>2</w:t>
      </w:r>
      <w:r w:rsidRPr="1C567C29">
        <w:rPr>
          <w:rFonts w:ascii="Times New Roman" w:hAnsi="Times New Roman" w:cs="Times New Roman"/>
          <w:sz w:val="24"/>
          <w:szCs w:val="24"/>
        </w:rPr>
        <w:t xml:space="preserve">. Kontroles lapa” ir </w:t>
      </w:r>
      <w:r w:rsidR="00230A62">
        <w:rPr>
          <w:rFonts w:ascii="Times New Roman" w:hAnsi="Times New Roman" w:cs="Times New Roman"/>
          <w:sz w:val="24"/>
          <w:szCs w:val="24"/>
        </w:rPr>
        <w:t>norā</w:t>
      </w:r>
      <w:r w:rsidR="00500FB3">
        <w:rPr>
          <w:rFonts w:ascii="Times New Roman" w:hAnsi="Times New Roman" w:cs="Times New Roman"/>
          <w:sz w:val="24"/>
          <w:szCs w:val="24"/>
        </w:rPr>
        <w:t>dīta viena</w:t>
      </w:r>
      <w:r w:rsidRPr="1C567C29">
        <w:rPr>
          <w:rFonts w:ascii="Times New Roman" w:hAnsi="Times New Roman" w:cs="Times New Roman"/>
          <w:sz w:val="24"/>
          <w:szCs w:val="24"/>
        </w:rPr>
        <w:t xml:space="preserve"> </w:t>
      </w:r>
      <w:r w:rsidR="00500FB3">
        <w:rPr>
          <w:rFonts w:ascii="Times New Roman" w:hAnsi="Times New Roman" w:cs="Times New Roman"/>
          <w:sz w:val="24"/>
          <w:szCs w:val="24"/>
        </w:rPr>
        <w:t>sa</w:t>
      </w:r>
      <w:r w:rsidRPr="1C567C29">
        <w:rPr>
          <w:rFonts w:ascii="Times New Roman" w:hAnsi="Times New Roman" w:cs="Times New Roman"/>
          <w:sz w:val="24"/>
          <w:szCs w:val="24"/>
        </w:rPr>
        <w:t>daļ</w:t>
      </w:r>
      <w:r w:rsidR="00500FB3">
        <w:rPr>
          <w:rFonts w:ascii="Times New Roman" w:hAnsi="Times New Roman" w:cs="Times New Roman"/>
          <w:sz w:val="24"/>
          <w:szCs w:val="24"/>
        </w:rPr>
        <w:t>a</w:t>
      </w:r>
      <w:r w:rsidR="00FE09D8">
        <w:rPr>
          <w:rFonts w:ascii="Times New Roman" w:hAnsi="Times New Roman" w:cs="Times New Roman"/>
          <w:sz w:val="24"/>
          <w:szCs w:val="24"/>
        </w:rPr>
        <w:t>:</w:t>
      </w:r>
      <w:r w:rsidRPr="1C567C29">
        <w:rPr>
          <w:rFonts w:ascii="Times New Roman" w:hAnsi="Times New Roman" w:cs="Times New Roman"/>
          <w:sz w:val="24"/>
          <w:szCs w:val="24"/>
        </w:rPr>
        <w:t xml:space="preserve"> “Izmaksu un ieguvumu analīzes galvenie rezultāti”.</w:t>
      </w:r>
    </w:p>
    <w:p w14:paraId="5F33EF0F" w14:textId="2CE0040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714A8C">
        <w:rPr>
          <w:rFonts w:ascii="Times New Roman" w:hAnsi="Times New Roman" w:cs="Times New Roman"/>
          <w:sz w:val="24"/>
        </w:rPr>
        <w:t xml:space="preserve">ekonomiskās analīzes </w:t>
      </w:r>
      <w:r w:rsidR="000230B8">
        <w:rPr>
          <w:rFonts w:ascii="Times New Roman" w:hAnsi="Times New Roman" w:cs="Times New Roman"/>
          <w:sz w:val="24"/>
        </w:rPr>
        <w:t>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F152A5" w:rsidRDefault="00E8243F" w:rsidP="00F152A5">
      <w:pPr>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52" w:name="_Toc152234064"/>
      <w:bookmarkStart w:id="53" w:name="_Toc152266413"/>
      <w:r w:rsidRPr="00596D47">
        <w:rPr>
          <w:rFonts w:ascii="Times New Roman" w:hAnsi="Times New Roman" w:cs="Times New Roman"/>
          <w:b/>
          <w:bCs/>
          <w:color w:val="auto"/>
          <w:sz w:val="28"/>
          <w:szCs w:val="28"/>
        </w:rPr>
        <w:t>Pieņēmumi</w:t>
      </w:r>
      <w:bookmarkEnd w:id="52"/>
      <w:bookmarkEnd w:id="53"/>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6F7F10">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769C" w14:textId="77777777" w:rsidR="00A4612E" w:rsidRDefault="00A4612E" w:rsidP="00210D04">
      <w:pPr>
        <w:spacing w:after="0" w:line="240" w:lineRule="auto"/>
      </w:pPr>
      <w:r>
        <w:separator/>
      </w:r>
    </w:p>
  </w:endnote>
  <w:endnote w:type="continuationSeparator" w:id="0">
    <w:p w14:paraId="5D5B19BA" w14:textId="77777777" w:rsidR="00A4612E" w:rsidRDefault="00A4612E" w:rsidP="00210D04">
      <w:pPr>
        <w:spacing w:after="0" w:line="240" w:lineRule="auto"/>
      </w:pPr>
      <w:r>
        <w:continuationSeparator/>
      </w:r>
    </w:p>
  </w:endnote>
  <w:endnote w:type="continuationNotice" w:id="1">
    <w:p w14:paraId="3E360BD2" w14:textId="77777777" w:rsidR="00A4612E" w:rsidRDefault="00A46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CF4E" w14:textId="77777777" w:rsidR="00A4612E" w:rsidRDefault="00A4612E" w:rsidP="00210D04">
      <w:pPr>
        <w:spacing w:after="0" w:line="240" w:lineRule="auto"/>
      </w:pPr>
      <w:r>
        <w:separator/>
      </w:r>
    </w:p>
  </w:footnote>
  <w:footnote w:type="continuationSeparator" w:id="0">
    <w:p w14:paraId="214D0AAC" w14:textId="77777777" w:rsidR="00A4612E" w:rsidRDefault="00A4612E" w:rsidP="00210D04">
      <w:pPr>
        <w:spacing w:after="0" w:line="240" w:lineRule="auto"/>
      </w:pPr>
      <w:r>
        <w:continuationSeparator/>
      </w:r>
    </w:p>
  </w:footnote>
  <w:footnote w:type="continuationNotice" w:id="1">
    <w:p w14:paraId="2AD81457" w14:textId="77777777" w:rsidR="00A4612E" w:rsidRDefault="00A46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743018"/>
      <w:docPartObj>
        <w:docPartGallery w:val="Page Numbers (Top of Page)"/>
        <w:docPartUnique/>
      </w:docPartObj>
    </w:sdtPr>
    <w:sdtEnd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56DF"/>
    <w:rsid w:val="00097461"/>
    <w:rsid w:val="000A3643"/>
    <w:rsid w:val="000A36E7"/>
    <w:rsid w:val="000A62BC"/>
    <w:rsid w:val="000A66C8"/>
    <w:rsid w:val="000B0BD4"/>
    <w:rsid w:val="000B17A2"/>
    <w:rsid w:val="000B43C3"/>
    <w:rsid w:val="000C0AB7"/>
    <w:rsid w:val="000C148E"/>
    <w:rsid w:val="000C4C22"/>
    <w:rsid w:val="000D1B24"/>
    <w:rsid w:val="000D252A"/>
    <w:rsid w:val="000D35E7"/>
    <w:rsid w:val="000D7414"/>
    <w:rsid w:val="000E23A3"/>
    <w:rsid w:val="000E4496"/>
    <w:rsid w:val="000E5C0C"/>
    <w:rsid w:val="000F0356"/>
    <w:rsid w:val="000F4AC7"/>
    <w:rsid w:val="000F5D15"/>
    <w:rsid w:val="00103052"/>
    <w:rsid w:val="00106EAC"/>
    <w:rsid w:val="00110ADD"/>
    <w:rsid w:val="00111742"/>
    <w:rsid w:val="0011209D"/>
    <w:rsid w:val="00115EE6"/>
    <w:rsid w:val="001178AF"/>
    <w:rsid w:val="0012389A"/>
    <w:rsid w:val="00125A87"/>
    <w:rsid w:val="00130607"/>
    <w:rsid w:val="00131977"/>
    <w:rsid w:val="001358BC"/>
    <w:rsid w:val="00135AED"/>
    <w:rsid w:val="00137105"/>
    <w:rsid w:val="00155011"/>
    <w:rsid w:val="00160045"/>
    <w:rsid w:val="00161426"/>
    <w:rsid w:val="001628C8"/>
    <w:rsid w:val="00170648"/>
    <w:rsid w:val="00176C95"/>
    <w:rsid w:val="00180DE9"/>
    <w:rsid w:val="00181293"/>
    <w:rsid w:val="001812D6"/>
    <w:rsid w:val="00181B07"/>
    <w:rsid w:val="00183B8C"/>
    <w:rsid w:val="0018700A"/>
    <w:rsid w:val="00187FF4"/>
    <w:rsid w:val="00196CF5"/>
    <w:rsid w:val="00197985"/>
    <w:rsid w:val="001A02B2"/>
    <w:rsid w:val="001A0A94"/>
    <w:rsid w:val="001A219F"/>
    <w:rsid w:val="001A4065"/>
    <w:rsid w:val="001A53FA"/>
    <w:rsid w:val="001B2329"/>
    <w:rsid w:val="001B2EB7"/>
    <w:rsid w:val="001B500B"/>
    <w:rsid w:val="001C0B8D"/>
    <w:rsid w:val="001C0C66"/>
    <w:rsid w:val="001C1887"/>
    <w:rsid w:val="001C3D55"/>
    <w:rsid w:val="001C6462"/>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40C2"/>
    <w:rsid w:val="00276B6F"/>
    <w:rsid w:val="00276FAB"/>
    <w:rsid w:val="00277C5F"/>
    <w:rsid w:val="002801C8"/>
    <w:rsid w:val="002819D4"/>
    <w:rsid w:val="0028310C"/>
    <w:rsid w:val="002839DB"/>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AFE"/>
    <w:rsid w:val="00314781"/>
    <w:rsid w:val="003207BB"/>
    <w:rsid w:val="00320E77"/>
    <w:rsid w:val="003230B1"/>
    <w:rsid w:val="0032655B"/>
    <w:rsid w:val="00330C1A"/>
    <w:rsid w:val="00334B31"/>
    <w:rsid w:val="00336F9C"/>
    <w:rsid w:val="0034421F"/>
    <w:rsid w:val="00345006"/>
    <w:rsid w:val="0034730A"/>
    <w:rsid w:val="00347B81"/>
    <w:rsid w:val="003506BD"/>
    <w:rsid w:val="00350CCB"/>
    <w:rsid w:val="003522DD"/>
    <w:rsid w:val="00354092"/>
    <w:rsid w:val="003542B2"/>
    <w:rsid w:val="00355753"/>
    <w:rsid w:val="003560E8"/>
    <w:rsid w:val="00361FAC"/>
    <w:rsid w:val="003647A3"/>
    <w:rsid w:val="003663A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D1F6A"/>
    <w:rsid w:val="003D2960"/>
    <w:rsid w:val="003D3602"/>
    <w:rsid w:val="003D3C17"/>
    <w:rsid w:val="003D5F37"/>
    <w:rsid w:val="003E5082"/>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914B1"/>
    <w:rsid w:val="0049511F"/>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78C4"/>
    <w:rsid w:val="005A7958"/>
    <w:rsid w:val="005B28E5"/>
    <w:rsid w:val="005B6EDF"/>
    <w:rsid w:val="005C11EA"/>
    <w:rsid w:val="005C45CA"/>
    <w:rsid w:val="005C7D27"/>
    <w:rsid w:val="005D1A9A"/>
    <w:rsid w:val="005D451B"/>
    <w:rsid w:val="005E2064"/>
    <w:rsid w:val="005E3F01"/>
    <w:rsid w:val="005E4F49"/>
    <w:rsid w:val="005E5BE0"/>
    <w:rsid w:val="005E743E"/>
    <w:rsid w:val="005F04B3"/>
    <w:rsid w:val="005F1152"/>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4EE9"/>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4716"/>
    <w:rsid w:val="006C6F2C"/>
    <w:rsid w:val="006C7056"/>
    <w:rsid w:val="006C7518"/>
    <w:rsid w:val="006D0884"/>
    <w:rsid w:val="006D0C25"/>
    <w:rsid w:val="006D147B"/>
    <w:rsid w:val="006D2FC8"/>
    <w:rsid w:val="006D5EF6"/>
    <w:rsid w:val="006E00CD"/>
    <w:rsid w:val="006E46FF"/>
    <w:rsid w:val="006E54EB"/>
    <w:rsid w:val="006E5ACD"/>
    <w:rsid w:val="006F1392"/>
    <w:rsid w:val="006F293A"/>
    <w:rsid w:val="006F6642"/>
    <w:rsid w:val="006F6F4D"/>
    <w:rsid w:val="006F7F10"/>
    <w:rsid w:val="0070544B"/>
    <w:rsid w:val="00706606"/>
    <w:rsid w:val="00707CB2"/>
    <w:rsid w:val="00711F67"/>
    <w:rsid w:val="00712756"/>
    <w:rsid w:val="00712A03"/>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05AB"/>
    <w:rsid w:val="007865C9"/>
    <w:rsid w:val="00786640"/>
    <w:rsid w:val="0078763C"/>
    <w:rsid w:val="007911CC"/>
    <w:rsid w:val="00791B0C"/>
    <w:rsid w:val="00796626"/>
    <w:rsid w:val="007A025E"/>
    <w:rsid w:val="007A27CE"/>
    <w:rsid w:val="007A3C44"/>
    <w:rsid w:val="007A7DF7"/>
    <w:rsid w:val="007B03E0"/>
    <w:rsid w:val="007B3834"/>
    <w:rsid w:val="007B5C61"/>
    <w:rsid w:val="007B6CA2"/>
    <w:rsid w:val="007C06C8"/>
    <w:rsid w:val="007C0948"/>
    <w:rsid w:val="007C0ACF"/>
    <w:rsid w:val="007C7AD7"/>
    <w:rsid w:val="007D1B33"/>
    <w:rsid w:val="007D3500"/>
    <w:rsid w:val="007D46B9"/>
    <w:rsid w:val="007D5496"/>
    <w:rsid w:val="007D59BF"/>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6DB8"/>
    <w:rsid w:val="00877F31"/>
    <w:rsid w:val="00883B9A"/>
    <w:rsid w:val="0089077A"/>
    <w:rsid w:val="00891972"/>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2958"/>
    <w:rsid w:val="0090444B"/>
    <w:rsid w:val="00904558"/>
    <w:rsid w:val="00904AD1"/>
    <w:rsid w:val="009102D1"/>
    <w:rsid w:val="00925AFC"/>
    <w:rsid w:val="0092660F"/>
    <w:rsid w:val="0093287B"/>
    <w:rsid w:val="00934AB8"/>
    <w:rsid w:val="00935707"/>
    <w:rsid w:val="009441A1"/>
    <w:rsid w:val="0094491C"/>
    <w:rsid w:val="00944D94"/>
    <w:rsid w:val="0094684C"/>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762EB"/>
    <w:rsid w:val="0098023C"/>
    <w:rsid w:val="00983ECD"/>
    <w:rsid w:val="00984C73"/>
    <w:rsid w:val="00985B75"/>
    <w:rsid w:val="00991135"/>
    <w:rsid w:val="00992BCA"/>
    <w:rsid w:val="0099457F"/>
    <w:rsid w:val="009957C6"/>
    <w:rsid w:val="009A2D38"/>
    <w:rsid w:val="009A2FC8"/>
    <w:rsid w:val="009A3F6A"/>
    <w:rsid w:val="009A5683"/>
    <w:rsid w:val="009B26E4"/>
    <w:rsid w:val="009B297A"/>
    <w:rsid w:val="009B2BCC"/>
    <w:rsid w:val="009B2DF6"/>
    <w:rsid w:val="009B6824"/>
    <w:rsid w:val="009C140A"/>
    <w:rsid w:val="009C4C2D"/>
    <w:rsid w:val="009C5E1F"/>
    <w:rsid w:val="009C5EC0"/>
    <w:rsid w:val="009C7BFA"/>
    <w:rsid w:val="009D58AC"/>
    <w:rsid w:val="009E15C5"/>
    <w:rsid w:val="009E7D1D"/>
    <w:rsid w:val="009F061F"/>
    <w:rsid w:val="009F09A0"/>
    <w:rsid w:val="009F0D52"/>
    <w:rsid w:val="009F1D8B"/>
    <w:rsid w:val="009F4628"/>
    <w:rsid w:val="00A0767C"/>
    <w:rsid w:val="00A13555"/>
    <w:rsid w:val="00A13F49"/>
    <w:rsid w:val="00A14B54"/>
    <w:rsid w:val="00A245D5"/>
    <w:rsid w:val="00A261B2"/>
    <w:rsid w:val="00A26F0F"/>
    <w:rsid w:val="00A35D5B"/>
    <w:rsid w:val="00A44EF6"/>
    <w:rsid w:val="00A4502C"/>
    <w:rsid w:val="00A45208"/>
    <w:rsid w:val="00A4612E"/>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16A0"/>
    <w:rsid w:val="00A82AF1"/>
    <w:rsid w:val="00A92BD5"/>
    <w:rsid w:val="00A9317B"/>
    <w:rsid w:val="00A9369E"/>
    <w:rsid w:val="00A93B4C"/>
    <w:rsid w:val="00AA2C95"/>
    <w:rsid w:val="00AA4833"/>
    <w:rsid w:val="00AA5BD6"/>
    <w:rsid w:val="00AA68CD"/>
    <w:rsid w:val="00AA6DCC"/>
    <w:rsid w:val="00AB2D4F"/>
    <w:rsid w:val="00AB3161"/>
    <w:rsid w:val="00AB5F12"/>
    <w:rsid w:val="00AB6A33"/>
    <w:rsid w:val="00AC42BB"/>
    <w:rsid w:val="00AC7631"/>
    <w:rsid w:val="00AD43ED"/>
    <w:rsid w:val="00AD5364"/>
    <w:rsid w:val="00AD6E1D"/>
    <w:rsid w:val="00AE2162"/>
    <w:rsid w:val="00AE49D6"/>
    <w:rsid w:val="00AF07BC"/>
    <w:rsid w:val="00AF3989"/>
    <w:rsid w:val="00AF6A85"/>
    <w:rsid w:val="00AF7C10"/>
    <w:rsid w:val="00B02E44"/>
    <w:rsid w:val="00B069E6"/>
    <w:rsid w:val="00B141E4"/>
    <w:rsid w:val="00B14E02"/>
    <w:rsid w:val="00B1569C"/>
    <w:rsid w:val="00B20378"/>
    <w:rsid w:val="00B22A65"/>
    <w:rsid w:val="00B27FAB"/>
    <w:rsid w:val="00B318BF"/>
    <w:rsid w:val="00B326E7"/>
    <w:rsid w:val="00B32AAA"/>
    <w:rsid w:val="00B32FB2"/>
    <w:rsid w:val="00B34830"/>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BF7494"/>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5270"/>
    <w:rsid w:val="00CE6ABC"/>
    <w:rsid w:val="00CF06D8"/>
    <w:rsid w:val="00CF2391"/>
    <w:rsid w:val="00CF2920"/>
    <w:rsid w:val="00CF49E9"/>
    <w:rsid w:val="00CF64F4"/>
    <w:rsid w:val="00CF660B"/>
    <w:rsid w:val="00D0082A"/>
    <w:rsid w:val="00D02536"/>
    <w:rsid w:val="00D02F6D"/>
    <w:rsid w:val="00D03AD6"/>
    <w:rsid w:val="00D047EC"/>
    <w:rsid w:val="00D04812"/>
    <w:rsid w:val="00D04C6F"/>
    <w:rsid w:val="00D06463"/>
    <w:rsid w:val="00D06A41"/>
    <w:rsid w:val="00D07243"/>
    <w:rsid w:val="00D1184A"/>
    <w:rsid w:val="00D13522"/>
    <w:rsid w:val="00D14215"/>
    <w:rsid w:val="00D15786"/>
    <w:rsid w:val="00D16823"/>
    <w:rsid w:val="00D16A6D"/>
    <w:rsid w:val="00D1787C"/>
    <w:rsid w:val="00D20A93"/>
    <w:rsid w:val="00D20E85"/>
    <w:rsid w:val="00D2572A"/>
    <w:rsid w:val="00D30D60"/>
    <w:rsid w:val="00D32A2D"/>
    <w:rsid w:val="00D33F30"/>
    <w:rsid w:val="00D34C87"/>
    <w:rsid w:val="00D407E4"/>
    <w:rsid w:val="00D40DDA"/>
    <w:rsid w:val="00D410DD"/>
    <w:rsid w:val="00D43019"/>
    <w:rsid w:val="00D44EDE"/>
    <w:rsid w:val="00D46466"/>
    <w:rsid w:val="00D47D96"/>
    <w:rsid w:val="00D51B77"/>
    <w:rsid w:val="00D52E96"/>
    <w:rsid w:val="00D53851"/>
    <w:rsid w:val="00D54E47"/>
    <w:rsid w:val="00D56C04"/>
    <w:rsid w:val="00D62DC9"/>
    <w:rsid w:val="00D65DE5"/>
    <w:rsid w:val="00D67C80"/>
    <w:rsid w:val="00D72A98"/>
    <w:rsid w:val="00D763D5"/>
    <w:rsid w:val="00D7719D"/>
    <w:rsid w:val="00D7772C"/>
    <w:rsid w:val="00D81474"/>
    <w:rsid w:val="00D8314B"/>
    <w:rsid w:val="00D8477F"/>
    <w:rsid w:val="00D848D3"/>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C7952"/>
    <w:rsid w:val="00DD21F9"/>
    <w:rsid w:val="00DD2BF0"/>
    <w:rsid w:val="00DD2CAB"/>
    <w:rsid w:val="00DD58CE"/>
    <w:rsid w:val="00DD6EE9"/>
    <w:rsid w:val="00DE31B0"/>
    <w:rsid w:val="00DE4327"/>
    <w:rsid w:val="00DE43B1"/>
    <w:rsid w:val="00DE74FE"/>
    <w:rsid w:val="00DF3CA5"/>
    <w:rsid w:val="00DF5224"/>
    <w:rsid w:val="00DF580A"/>
    <w:rsid w:val="00E05378"/>
    <w:rsid w:val="00E05DE8"/>
    <w:rsid w:val="00E06BB1"/>
    <w:rsid w:val="00E135DD"/>
    <w:rsid w:val="00E13D18"/>
    <w:rsid w:val="00E152C8"/>
    <w:rsid w:val="00E16E23"/>
    <w:rsid w:val="00E17EA0"/>
    <w:rsid w:val="00E20FFC"/>
    <w:rsid w:val="00E22ABF"/>
    <w:rsid w:val="00E303A2"/>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76739"/>
    <w:rsid w:val="00F80A79"/>
    <w:rsid w:val="00F854AA"/>
    <w:rsid w:val="00F85701"/>
    <w:rsid w:val="00F85ECC"/>
    <w:rsid w:val="00F901CA"/>
    <w:rsid w:val="00F9735F"/>
    <w:rsid w:val="00F977A9"/>
    <w:rsid w:val="00FB227D"/>
    <w:rsid w:val="00FB3B65"/>
    <w:rsid w:val="00FB3DB1"/>
    <w:rsid w:val="00FB4070"/>
    <w:rsid w:val="00FB4F61"/>
    <w:rsid w:val="00FB7673"/>
    <w:rsid w:val="00FB7973"/>
    <w:rsid w:val="00FB7FB3"/>
    <w:rsid w:val="00FC1BAD"/>
    <w:rsid w:val="00FD155C"/>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1F02BD0E"/>
    <w:rsid w:val="207B4DC5"/>
    <w:rsid w:val="2411F275"/>
    <w:rsid w:val="25DBDCCD"/>
    <w:rsid w:val="29F7F8EA"/>
    <w:rsid w:val="2A1DD9ED"/>
    <w:rsid w:val="2A5AE2A9"/>
    <w:rsid w:val="2C5312EF"/>
    <w:rsid w:val="34EEC000"/>
    <w:rsid w:val="3516E7BD"/>
    <w:rsid w:val="37DAE4FC"/>
    <w:rsid w:val="38AC6D76"/>
    <w:rsid w:val="3A96C537"/>
    <w:rsid w:val="3E6D6A7D"/>
    <w:rsid w:val="45CE7995"/>
    <w:rsid w:val="49EF12CB"/>
    <w:rsid w:val="4C279C55"/>
    <w:rsid w:val="518E43D3"/>
    <w:rsid w:val="57171FD9"/>
    <w:rsid w:val="586DB2A1"/>
    <w:rsid w:val="59C200A2"/>
    <w:rsid w:val="5E37331D"/>
    <w:rsid w:val="611AF1DC"/>
    <w:rsid w:val="634F8994"/>
    <w:rsid w:val="667787A3"/>
    <w:rsid w:val="6776F5C7"/>
    <w:rsid w:val="6850C70F"/>
    <w:rsid w:val="6AC15939"/>
    <w:rsid w:val="6C4FB26C"/>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31CF204D-1C26-48B1-BA56-590E4FED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 w:type="character" w:styleId="Mention">
    <w:name w:val="Mention"/>
    <w:basedOn w:val="DefaultParagraphFont"/>
    <w:uiPriority w:val="99"/>
    <w:unhideWhenUsed/>
    <w:rsid w:val="00D538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21" Type="http://schemas.openxmlformats.org/officeDocument/2006/relationships/hyperlink" Target="https://lvceli.lv/celu-tikls/statistikas-dati/satiksmes-intensit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49214"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tehniskie-noteikumi-metodiskie-noradijumi/metodiskie-noradijumi/"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165AA-4DB6-4640-9ABA-DA6A68CB71DE}">
  <ds:schemaRefs>
    <ds:schemaRef ds:uri="http://purl.org/dc/elements/1.1/"/>
    <ds:schemaRef ds:uri="http://schemas.microsoft.com/office/2006/metadata/properties"/>
    <ds:schemaRef ds:uri="42144e59-5907-413f-b624-803f3a022d9b"/>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5a75a1d-8b78-49a6-8e4b-dbe94589a28d"/>
    <ds:schemaRef ds:uri="http://www.w3.org/XML/1998/namespace"/>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C572DB6C-32DE-4DFB-9256-211D7820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2E350-5B31-4655-803E-023616F91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31801</Words>
  <Characters>18128</Characters>
  <Application>Microsoft Office Word</Application>
  <DocSecurity>0</DocSecurity>
  <Lines>151</Lines>
  <Paragraphs>99</Paragraphs>
  <ScaleCrop>false</ScaleCrop>
  <Company>CFLA</Company>
  <LinksUpToDate>false</LinksUpToDate>
  <CharactersWithSpaces>49830</CharactersWithSpaces>
  <SharedDoc>false</SharedDoc>
  <HLinks>
    <vt:vector size="186" baseType="variant">
      <vt:variant>
        <vt:i4>720966</vt:i4>
      </vt:variant>
      <vt:variant>
        <vt:i4>150</vt:i4>
      </vt:variant>
      <vt:variant>
        <vt:i4>0</vt:i4>
      </vt:variant>
      <vt:variant>
        <vt:i4>5</vt:i4>
      </vt:variant>
      <vt:variant>
        <vt:lpwstr>https://www.fm.gov.lv/lv/makroekonomiskie-pienemumi-un-prognozes</vt:lpwstr>
      </vt:variant>
      <vt:variant>
        <vt:lpwstr/>
      </vt:variant>
      <vt:variant>
        <vt:i4>720966</vt:i4>
      </vt:variant>
      <vt:variant>
        <vt:i4>147</vt:i4>
      </vt:variant>
      <vt:variant>
        <vt:i4>0</vt:i4>
      </vt:variant>
      <vt:variant>
        <vt:i4>5</vt:i4>
      </vt:variant>
      <vt:variant>
        <vt:lpwstr>https://www.fm.gov.lv/lv/makroekonomiskie-pienemumi-un-prognozes</vt:lpwstr>
      </vt:variant>
      <vt:variant>
        <vt:lpwstr/>
      </vt:variant>
      <vt:variant>
        <vt:i4>1572929</vt:i4>
      </vt:variant>
      <vt:variant>
        <vt:i4>144</vt:i4>
      </vt:variant>
      <vt:variant>
        <vt:i4>0</vt:i4>
      </vt:variant>
      <vt:variant>
        <vt:i4>5</vt:i4>
      </vt:variant>
      <vt:variant>
        <vt:lpwstr>https://lvceli.lv/celu-tikls/statistikas-dati/satiksmes-intensitate/</vt:lpwstr>
      </vt:variant>
      <vt:variant>
        <vt:lpwstr/>
      </vt:variant>
      <vt:variant>
        <vt:i4>4194369</vt:i4>
      </vt:variant>
      <vt:variant>
        <vt:i4>141</vt:i4>
      </vt:variant>
      <vt:variant>
        <vt:i4>0</vt:i4>
      </vt:variant>
      <vt:variant>
        <vt:i4>5</vt:i4>
      </vt:variant>
      <vt:variant>
        <vt:lpwstr>https://lvceli.lv/celu-tikls/tehniskie-noteikumi-metodiskie-noradijumi/metodiskie-noradijumi/</vt:lpwstr>
      </vt:variant>
      <vt:variant>
        <vt:lpwstr/>
      </vt:variant>
      <vt:variant>
        <vt:i4>524309</vt:i4>
      </vt:variant>
      <vt:variant>
        <vt:i4>138</vt:i4>
      </vt:variant>
      <vt:variant>
        <vt:i4>0</vt:i4>
      </vt:variant>
      <vt:variant>
        <vt:i4>5</vt:i4>
      </vt:variant>
      <vt:variant>
        <vt:lpwstr>https://op.europa.eu/en/publication-detail/-/publication/120c6fcc-3841-4596-9256-4fd709c49ae4</vt:lpwstr>
      </vt:variant>
      <vt:variant>
        <vt:lpwstr/>
      </vt:variant>
      <vt:variant>
        <vt:i4>524309</vt:i4>
      </vt:variant>
      <vt:variant>
        <vt:i4>135</vt:i4>
      </vt:variant>
      <vt:variant>
        <vt:i4>0</vt:i4>
      </vt:variant>
      <vt:variant>
        <vt:i4>5</vt:i4>
      </vt:variant>
      <vt:variant>
        <vt:lpwstr>https://op.europa.eu/en/publication-detail/-/publication/120c6fcc-3841-4596-9256-4fd709c49ae4</vt:lpwstr>
      </vt:variant>
      <vt:variant>
        <vt:lpwstr/>
      </vt:variant>
      <vt:variant>
        <vt:i4>524309</vt:i4>
      </vt:variant>
      <vt:variant>
        <vt:i4>132</vt:i4>
      </vt:variant>
      <vt:variant>
        <vt:i4>0</vt:i4>
      </vt:variant>
      <vt:variant>
        <vt:i4>5</vt:i4>
      </vt:variant>
      <vt:variant>
        <vt:lpwstr>https://op.europa.eu/en/publication-detail/-/publication/120c6fcc-3841-4596-9256-4fd709c49ae4</vt:lpwstr>
      </vt:variant>
      <vt:variant>
        <vt:lpwstr/>
      </vt:variant>
      <vt:variant>
        <vt:i4>7602298</vt:i4>
      </vt:variant>
      <vt:variant>
        <vt:i4>129</vt:i4>
      </vt:variant>
      <vt:variant>
        <vt:i4>0</vt:i4>
      </vt:variant>
      <vt:variant>
        <vt:i4>5</vt:i4>
      </vt:variant>
      <vt:variant>
        <vt:lpwstr>https://eur-lex.europa.eu/legal-content/LV/TXT/?uri=celex%3A32014R0651</vt:lpwstr>
      </vt:variant>
      <vt:variant>
        <vt:lpwstr/>
      </vt:variant>
      <vt:variant>
        <vt:i4>5832831</vt:i4>
      </vt:variant>
      <vt:variant>
        <vt:i4>126</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123</vt:i4>
      </vt:variant>
      <vt:variant>
        <vt:i4>0</vt:i4>
      </vt:variant>
      <vt:variant>
        <vt:i4>5</vt:i4>
      </vt:variant>
      <vt:variant>
        <vt:lpwstr>https://op.europa.eu/en/publication-detail/-/publication/120c6fcc-3841-4596-9256-4fd709c49ae4</vt:lpwstr>
      </vt:variant>
      <vt:variant>
        <vt:lpwstr/>
      </vt:variant>
      <vt:variant>
        <vt:i4>3276918</vt:i4>
      </vt:variant>
      <vt:variant>
        <vt:i4>120</vt:i4>
      </vt:variant>
      <vt:variant>
        <vt:i4>0</vt:i4>
      </vt:variant>
      <vt:variant>
        <vt:i4>5</vt:i4>
      </vt:variant>
      <vt:variant>
        <vt:lpwstr>https://likumi.lv/ta/id/349214</vt:lpwstr>
      </vt:variant>
      <vt:variant>
        <vt:lpwstr/>
      </vt:variant>
      <vt:variant>
        <vt:i4>3866751</vt:i4>
      </vt:variant>
      <vt:variant>
        <vt:i4>117</vt:i4>
      </vt:variant>
      <vt:variant>
        <vt:i4>0</vt:i4>
      </vt:variant>
      <vt:variant>
        <vt:i4>5</vt:i4>
      </vt:variant>
      <vt:variant>
        <vt:lpwstr>https://likumi.lv/ta/id/343827</vt:lpwstr>
      </vt:variant>
      <vt:variant>
        <vt:lpwstr/>
      </vt:variant>
      <vt:variant>
        <vt:i4>1507377</vt:i4>
      </vt:variant>
      <vt:variant>
        <vt:i4>110</vt:i4>
      </vt:variant>
      <vt:variant>
        <vt:i4>0</vt:i4>
      </vt:variant>
      <vt:variant>
        <vt:i4>5</vt:i4>
      </vt:variant>
      <vt:variant>
        <vt:lpwstr/>
      </vt:variant>
      <vt:variant>
        <vt:lpwstr>_Toc152266413</vt:lpwstr>
      </vt:variant>
      <vt:variant>
        <vt:i4>1507377</vt:i4>
      </vt:variant>
      <vt:variant>
        <vt:i4>104</vt:i4>
      </vt:variant>
      <vt:variant>
        <vt:i4>0</vt:i4>
      </vt:variant>
      <vt:variant>
        <vt:i4>5</vt:i4>
      </vt:variant>
      <vt:variant>
        <vt:lpwstr/>
      </vt:variant>
      <vt:variant>
        <vt:lpwstr>_Toc152266412</vt:lpwstr>
      </vt:variant>
      <vt:variant>
        <vt:i4>1507377</vt:i4>
      </vt:variant>
      <vt:variant>
        <vt:i4>98</vt:i4>
      </vt:variant>
      <vt:variant>
        <vt:i4>0</vt:i4>
      </vt:variant>
      <vt:variant>
        <vt:i4>5</vt:i4>
      </vt:variant>
      <vt:variant>
        <vt:lpwstr/>
      </vt:variant>
      <vt:variant>
        <vt:lpwstr>_Toc152266411</vt:lpwstr>
      </vt:variant>
      <vt:variant>
        <vt:i4>1507377</vt:i4>
      </vt:variant>
      <vt:variant>
        <vt:i4>92</vt:i4>
      </vt:variant>
      <vt:variant>
        <vt:i4>0</vt:i4>
      </vt:variant>
      <vt:variant>
        <vt:i4>5</vt:i4>
      </vt:variant>
      <vt:variant>
        <vt:lpwstr/>
      </vt:variant>
      <vt:variant>
        <vt:lpwstr>_Toc152266410</vt:lpwstr>
      </vt:variant>
      <vt:variant>
        <vt:i4>1441841</vt:i4>
      </vt:variant>
      <vt:variant>
        <vt:i4>86</vt:i4>
      </vt:variant>
      <vt:variant>
        <vt:i4>0</vt:i4>
      </vt:variant>
      <vt:variant>
        <vt:i4>5</vt:i4>
      </vt:variant>
      <vt:variant>
        <vt:lpwstr/>
      </vt:variant>
      <vt:variant>
        <vt:lpwstr>_Toc152266409</vt:lpwstr>
      </vt:variant>
      <vt:variant>
        <vt:i4>1441841</vt:i4>
      </vt:variant>
      <vt:variant>
        <vt:i4>80</vt:i4>
      </vt:variant>
      <vt:variant>
        <vt:i4>0</vt:i4>
      </vt:variant>
      <vt:variant>
        <vt:i4>5</vt:i4>
      </vt:variant>
      <vt:variant>
        <vt:lpwstr/>
      </vt:variant>
      <vt:variant>
        <vt:lpwstr>_Toc152266408</vt:lpwstr>
      </vt:variant>
      <vt:variant>
        <vt:i4>1441841</vt:i4>
      </vt:variant>
      <vt:variant>
        <vt:i4>74</vt:i4>
      </vt:variant>
      <vt:variant>
        <vt:i4>0</vt:i4>
      </vt:variant>
      <vt:variant>
        <vt:i4>5</vt:i4>
      </vt:variant>
      <vt:variant>
        <vt:lpwstr/>
      </vt:variant>
      <vt:variant>
        <vt:lpwstr>_Toc152266407</vt:lpwstr>
      </vt:variant>
      <vt:variant>
        <vt:i4>1441841</vt:i4>
      </vt:variant>
      <vt:variant>
        <vt:i4>68</vt:i4>
      </vt:variant>
      <vt:variant>
        <vt:i4>0</vt:i4>
      </vt:variant>
      <vt:variant>
        <vt:i4>5</vt:i4>
      </vt:variant>
      <vt:variant>
        <vt:lpwstr/>
      </vt:variant>
      <vt:variant>
        <vt:lpwstr>_Toc152266406</vt:lpwstr>
      </vt:variant>
      <vt:variant>
        <vt:i4>1441841</vt:i4>
      </vt:variant>
      <vt:variant>
        <vt:i4>62</vt:i4>
      </vt:variant>
      <vt:variant>
        <vt:i4>0</vt:i4>
      </vt:variant>
      <vt:variant>
        <vt:i4>5</vt:i4>
      </vt:variant>
      <vt:variant>
        <vt:lpwstr/>
      </vt:variant>
      <vt:variant>
        <vt:lpwstr>_Toc152266405</vt:lpwstr>
      </vt:variant>
      <vt:variant>
        <vt:i4>1441841</vt:i4>
      </vt:variant>
      <vt:variant>
        <vt:i4>56</vt:i4>
      </vt:variant>
      <vt:variant>
        <vt:i4>0</vt:i4>
      </vt:variant>
      <vt:variant>
        <vt:i4>5</vt:i4>
      </vt:variant>
      <vt:variant>
        <vt:lpwstr/>
      </vt:variant>
      <vt:variant>
        <vt:lpwstr>_Toc152266404</vt:lpwstr>
      </vt:variant>
      <vt:variant>
        <vt:i4>1441841</vt:i4>
      </vt:variant>
      <vt:variant>
        <vt:i4>50</vt:i4>
      </vt:variant>
      <vt:variant>
        <vt:i4>0</vt:i4>
      </vt:variant>
      <vt:variant>
        <vt:i4>5</vt:i4>
      </vt:variant>
      <vt:variant>
        <vt:lpwstr/>
      </vt:variant>
      <vt:variant>
        <vt:lpwstr>_Toc152266403</vt:lpwstr>
      </vt:variant>
      <vt:variant>
        <vt:i4>1441841</vt:i4>
      </vt:variant>
      <vt:variant>
        <vt:i4>44</vt:i4>
      </vt:variant>
      <vt:variant>
        <vt:i4>0</vt:i4>
      </vt:variant>
      <vt:variant>
        <vt:i4>5</vt:i4>
      </vt:variant>
      <vt:variant>
        <vt:lpwstr/>
      </vt:variant>
      <vt:variant>
        <vt:lpwstr>_Toc152266402</vt:lpwstr>
      </vt:variant>
      <vt:variant>
        <vt:i4>1441841</vt:i4>
      </vt:variant>
      <vt:variant>
        <vt:i4>38</vt:i4>
      </vt:variant>
      <vt:variant>
        <vt:i4>0</vt:i4>
      </vt:variant>
      <vt:variant>
        <vt:i4>5</vt:i4>
      </vt:variant>
      <vt:variant>
        <vt:lpwstr/>
      </vt:variant>
      <vt:variant>
        <vt:lpwstr>_Toc152266401</vt:lpwstr>
      </vt:variant>
      <vt:variant>
        <vt:i4>1441841</vt:i4>
      </vt:variant>
      <vt:variant>
        <vt:i4>32</vt:i4>
      </vt:variant>
      <vt:variant>
        <vt:i4>0</vt:i4>
      </vt:variant>
      <vt:variant>
        <vt:i4>5</vt:i4>
      </vt:variant>
      <vt:variant>
        <vt:lpwstr/>
      </vt:variant>
      <vt:variant>
        <vt:lpwstr>_Toc152266400</vt:lpwstr>
      </vt:variant>
      <vt:variant>
        <vt:i4>2031670</vt:i4>
      </vt:variant>
      <vt:variant>
        <vt:i4>26</vt:i4>
      </vt:variant>
      <vt:variant>
        <vt:i4>0</vt:i4>
      </vt:variant>
      <vt:variant>
        <vt:i4>5</vt:i4>
      </vt:variant>
      <vt:variant>
        <vt:lpwstr/>
      </vt:variant>
      <vt:variant>
        <vt:lpwstr>_Toc152266399</vt:lpwstr>
      </vt:variant>
      <vt:variant>
        <vt:i4>2031670</vt:i4>
      </vt:variant>
      <vt:variant>
        <vt:i4>20</vt:i4>
      </vt:variant>
      <vt:variant>
        <vt:i4>0</vt:i4>
      </vt:variant>
      <vt:variant>
        <vt:i4>5</vt:i4>
      </vt:variant>
      <vt:variant>
        <vt:lpwstr/>
      </vt:variant>
      <vt:variant>
        <vt:lpwstr>_Toc152266398</vt:lpwstr>
      </vt:variant>
      <vt:variant>
        <vt:i4>2031670</vt:i4>
      </vt:variant>
      <vt:variant>
        <vt:i4>14</vt:i4>
      </vt:variant>
      <vt:variant>
        <vt:i4>0</vt:i4>
      </vt:variant>
      <vt:variant>
        <vt:i4>5</vt:i4>
      </vt:variant>
      <vt:variant>
        <vt:lpwstr/>
      </vt:variant>
      <vt:variant>
        <vt:lpwstr>_Toc152266397</vt:lpwstr>
      </vt:variant>
      <vt:variant>
        <vt:i4>2031670</vt:i4>
      </vt:variant>
      <vt:variant>
        <vt:i4>8</vt:i4>
      </vt:variant>
      <vt:variant>
        <vt:i4>0</vt:i4>
      </vt:variant>
      <vt:variant>
        <vt:i4>5</vt:i4>
      </vt:variant>
      <vt:variant>
        <vt:lpwstr/>
      </vt:variant>
      <vt:variant>
        <vt:lpwstr>_Toc152266396</vt:lpwstr>
      </vt:variant>
      <vt:variant>
        <vt:i4>2031670</vt:i4>
      </vt:variant>
      <vt:variant>
        <vt:i4>2</vt:i4>
      </vt:variant>
      <vt:variant>
        <vt:i4>0</vt:i4>
      </vt:variant>
      <vt:variant>
        <vt:i4>5</vt:i4>
      </vt:variant>
      <vt:variant>
        <vt:lpwstr/>
      </vt:variant>
      <vt:variant>
        <vt:lpwstr>_Toc152266395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Madara Upeniece</cp:lastModifiedBy>
  <cp:revision>13</cp:revision>
  <dcterms:created xsi:type="dcterms:W3CDTF">2024-06-05T04:48:00Z</dcterms:created>
  <dcterms:modified xsi:type="dcterms:W3CDTF">2024-09-24T14:05:00Z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