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11DF1" w14:textId="68CD5CD2" w:rsidR="007D376A" w:rsidRPr="00567EB8" w:rsidRDefault="00E43928" w:rsidP="00E43928">
      <w:pPr>
        <w:spacing w:after="240" w:line="240" w:lineRule="auto"/>
        <w:jc w:val="center"/>
        <w:rPr>
          <w:b/>
          <w:sz w:val="24"/>
          <w:szCs w:val="24"/>
        </w:rPr>
      </w:pPr>
      <w:r w:rsidRPr="00567EB8">
        <w:rPr>
          <w:b/>
          <w:bCs/>
          <w:sz w:val="24"/>
          <w:szCs w:val="24"/>
        </w:rPr>
        <w:t xml:space="preserve">Eiropas Savienības kohēzijas politikas programmas 2021.–2027. gadam 1.1.1. specifiskā atbalsta mērķa “Pētniecības un inovāciju kapacitātes stiprināšana un progresīvu tehnoloģiju ieviešana kopējā P&amp;A sistēmā” 1.1.1.5. pasākuma “Latvijas pilnvērtīga dalība Apvārsnis Eiropa programmā, tajā skaitā nodrošinot kompleksu atbalsta instrumentu klāstu un sasaisti ar RIS3 specializācijas jomu attīstīšanu” otrās projektu iesniegumu atlases kārtas </w:t>
      </w:r>
      <w:r w:rsidR="00333206" w:rsidRPr="00567EB8">
        <w:rPr>
          <w:b/>
          <w:bCs/>
          <w:sz w:val="24"/>
          <w:szCs w:val="24"/>
        </w:rPr>
        <w:br/>
      </w:r>
      <w:r w:rsidRPr="00567EB8">
        <w:rPr>
          <w:b/>
          <w:bCs/>
          <w:sz w:val="24"/>
          <w:szCs w:val="24"/>
        </w:rPr>
        <w:t>seminār</w:t>
      </w:r>
      <w:r w:rsidR="00333206" w:rsidRPr="00567EB8">
        <w:rPr>
          <w:b/>
          <w:bCs/>
          <w:sz w:val="24"/>
          <w:szCs w:val="24"/>
        </w:rPr>
        <w:t>ā</w:t>
      </w:r>
      <w:r w:rsidRPr="00567EB8">
        <w:rPr>
          <w:b/>
          <w:bCs/>
          <w:sz w:val="24"/>
          <w:szCs w:val="24"/>
        </w:rPr>
        <w:t xml:space="preserve"> ietvaros uzdotie jautājumi un atbildes uz tiem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65"/>
        <w:gridCol w:w="4685"/>
      </w:tblGrid>
      <w:tr w:rsidR="007D376A" w:rsidRPr="00BC65EA" w14:paraId="4175E5D4" w14:textId="77777777" w:rsidTr="55BCAE5C">
        <w:tc>
          <w:tcPr>
            <w:tcW w:w="4665" w:type="dxa"/>
          </w:tcPr>
          <w:p w14:paraId="4BFDBEA3" w14:textId="1B2C425F" w:rsidR="007D376A" w:rsidRPr="00BC65EA" w:rsidRDefault="00BC65EA">
            <w:pPr>
              <w:rPr>
                <w:b/>
                <w:bCs/>
              </w:rPr>
            </w:pPr>
            <w:r w:rsidRPr="00BC65EA">
              <w:rPr>
                <w:b/>
                <w:bCs/>
              </w:rPr>
              <w:t>Jautājums</w:t>
            </w:r>
          </w:p>
        </w:tc>
        <w:tc>
          <w:tcPr>
            <w:tcW w:w="4685" w:type="dxa"/>
          </w:tcPr>
          <w:p w14:paraId="60874BDA" w14:textId="30B4D35E" w:rsidR="007D376A" w:rsidRPr="00BC65EA" w:rsidRDefault="00BC65EA">
            <w:pPr>
              <w:rPr>
                <w:b/>
                <w:bCs/>
              </w:rPr>
            </w:pPr>
            <w:r w:rsidRPr="00BC65EA">
              <w:rPr>
                <w:b/>
                <w:bCs/>
              </w:rPr>
              <w:t>Atbilde</w:t>
            </w:r>
          </w:p>
        </w:tc>
      </w:tr>
      <w:tr w:rsidR="007D376A" w:rsidRPr="00BC65EA" w14:paraId="6D7D6339" w14:textId="77777777" w:rsidTr="55BCAE5C">
        <w:tc>
          <w:tcPr>
            <w:tcW w:w="4665" w:type="dxa"/>
          </w:tcPr>
          <w:p w14:paraId="03BF86AD" w14:textId="1550C683" w:rsidR="007D376A" w:rsidRPr="00BC65EA" w:rsidRDefault="47D80112" w:rsidP="55BCAE5C">
            <w:pPr>
              <w:spacing w:line="259" w:lineRule="auto"/>
              <w:rPr>
                <w:rFonts w:ascii="Aptos" w:eastAsia="Aptos" w:hAnsi="Aptos" w:cs="Aptos"/>
              </w:rPr>
            </w:pPr>
            <w:r w:rsidRPr="55BCAE5C">
              <w:rPr>
                <w:rFonts w:ascii="Aptos" w:eastAsia="Aptos" w:hAnsi="Aptos" w:cs="Aptos"/>
                <w:color w:val="000000" w:themeColor="text1"/>
                <w:lang w:val="en-US"/>
              </w:rPr>
              <w:t>Vai tiks saglabāts tas pats projekta finansējums kā piem. Consolidator grantiem?</w:t>
            </w:r>
          </w:p>
          <w:p w14:paraId="62FEC49D" w14:textId="645C4EFC" w:rsidR="007D376A" w:rsidRPr="00BC65EA" w:rsidRDefault="007D376A" w:rsidP="00BC65EA">
            <w:pPr>
              <w:jc w:val="both"/>
            </w:pPr>
          </w:p>
        </w:tc>
        <w:tc>
          <w:tcPr>
            <w:tcW w:w="4685" w:type="dxa"/>
          </w:tcPr>
          <w:p w14:paraId="62C9A9A1" w14:textId="29A8286C" w:rsidR="007D376A" w:rsidRPr="00BC65EA" w:rsidRDefault="00377E57" w:rsidP="00BC65EA">
            <w:pPr>
              <w:jc w:val="both"/>
            </w:pPr>
            <w:r w:rsidRPr="00377E57">
              <w:t>Ņemot vērā, ka projekti 1.1.1.5.pasākuma 2.kārtā tiks pārfinansēti, tad finansējum</w:t>
            </w:r>
            <w:r w:rsidR="00726F38">
              <w:t xml:space="preserve">a apjoms </w:t>
            </w:r>
            <w:r w:rsidRPr="00377E57">
              <w:t xml:space="preserve">būs </w:t>
            </w:r>
            <w:r w:rsidR="00726F38">
              <w:t>nemainīga</w:t>
            </w:r>
            <w:r w:rsidRPr="00377E57">
              <w:t xml:space="preserve">, bet, ja projekta īstenošanas termiņš tiks saīsināts, tad </w:t>
            </w:r>
            <w:r w:rsidR="00726F38">
              <w:t xml:space="preserve">katra situācija </w:t>
            </w:r>
            <w:r w:rsidR="009676E5">
              <w:t>tiks vērtēta individuāli</w:t>
            </w:r>
            <w:r w:rsidR="000A244F">
              <w:t xml:space="preserve"> (vai izmaksas </w:t>
            </w:r>
            <w:r w:rsidR="00FE6DE8">
              <w:t>ir</w:t>
            </w:r>
            <w:r w:rsidR="000A244F">
              <w:t xml:space="preserve"> </w:t>
            </w:r>
            <w:r w:rsidRPr="00377E57">
              <w:t xml:space="preserve">jāsamazina vai </w:t>
            </w:r>
            <w:r w:rsidR="00FE6DE8">
              <w:t>tomēr</w:t>
            </w:r>
            <w:r w:rsidRPr="00377E57">
              <w:t xml:space="preserve"> nē</w:t>
            </w:r>
            <w:r w:rsidR="000A244F">
              <w:t>)</w:t>
            </w:r>
            <w:r w:rsidRPr="00377E57">
              <w:t>.</w:t>
            </w:r>
          </w:p>
        </w:tc>
      </w:tr>
      <w:tr w:rsidR="007D376A" w:rsidRPr="00BC65EA" w14:paraId="19DBC29B" w14:textId="77777777" w:rsidTr="55BCAE5C">
        <w:tc>
          <w:tcPr>
            <w:tcW w:w="4665" w:type="dxa"/>
          </w:tcPr>
          <w:p w14:paraId="7E546476" w14:textId="0218F185" w:rsidR="007D376A" w:rsidRPr="00BC65EA" w:rsidRDefault="00C059D0" w:rsidP="55BCAE5C">
            <w:pPr>
              <w:jc w:val="both"/>
              <w:rPr>
                <w:rStyle w:val="ui-provider"/>
              </w:rPr>
            </w:pPr>
            <w:r w:rsidRPr="00C059D0">
              <w:rPr>
                <w:rStyle w:val="ui-provider"/>
              </w:rPr>
              <w:t>Vai apliecinājumi ir jāparaksta vēl ar e-parakstu? Vai arī pietiek ar KPVIS apstiprinājumu?</w:t>
            </w:r>
          </w:p>
        </w:tc>
        <w:tc>
          <w:tcPr>
            <w:tcW w:w="4685" w:type="dxa"/>
          </w:tcPr>
          <w:p w14:paraId="069EEC4C" w14:textId="029713CA" w:rsidR="007D376A" w:rsidRPr="00BC65EA" w:rsidRDefault="001E71F2" w:rsidP="004202BA">
            <w:pPr>
              <w:jc w:val="both"/>
            </w:pPr>
            <w:r>
              <w:t>P</w:t>
            </w:r>
            <w:r w:rsidR="00871049" w:rsidRPr="00871049">
              <w:t>rojekta iesniedzēja apliecinājum</w:t>
            </w:r>
            <w:r w:rsidR="0011028A">
              <w:t>s</w:t>
            </w:r>
            <w:r w:rsidR="00871049" w:rsidRPr="00871049">
              <w:t xml:space="preserve"> par atbilstību pētniecības un zināšanu izplatīšanas organizācijai (</w:t>
            </w:r>
            <w:r w:rsidR="00871049" w:rsidRPr="0011028A">
              <w:rPr>
                <w:i/>
                <w:iCs/>
              </w:rPr>
              <w:t>atbilstoši atlases nolikuma 4.pielikuma veidlapai)</w:t>
            </w:r>
            <w:r w:rsidRPr="0011028A">
              <w:rPr>
                <w:i/>
                <w:iCs/>
              </w:rPr>
              <w:t>,</w:t>
            </w:r>
            <w:r>
              <w:t xml:space="preserve"> kā arī s</w:t>
            </w:r>
            <w:r w:rsidRPr="001E71F2">
              <w:t>adarbības partnera apliecinājum</w:t>
            </w:r>
            <w:r w:rsidR="0011028A">
              <w:t>s</w:t>
            </w:r>
            <w:r w:rsidRPr="001E71F2">
              <w:t xml:space="preserve"> par informētību attiecībā uz interešu konflikta jautājumu regulējumu un to integrāciju iekšējās kontroles sistēmā (</w:t>
            </w:r>
            <w:r w:rsidRPr="00022AEA">
              <w:rPr>
                <w:i/>
                <w:iCs/>
              </w:rPr>
              <w:t>atbilstoši atlases nolikuma 5.pielikuma veidlapai</w:t>
            </w:r>
            <w:r w:rsidR="004202BA">
              <w:t>)</w:t>
            </w:r>
            <w:r w:rsidR="008D4751">
              <w:t>, kas tiek pievienot</w:t>
            </w:r>
            <w:r w:rsidR="006D194F">
              <w:t>i</w:t>
            </w:r>
            <w:r w:rsidR="008D4751">
              <w:t xml:space="preserve"> KPVIS</w:t>
            </w:r>
            <w:r w:rsidR="00FC1BFB">
              <w:t xml:space="preserve">, skaitās kā </w:t>
            </w:r>
            <w:r w:rsidR="00562071">
              <w:t xml:space="preserve">daļa no projekta iesnieguma un tie nav atsevišķi jāparaksta. </w:t>
            </w:r>
          </w:p>
        </w:tc>
      </w:tr>
      <w:tr w:rsidR="007D376A" w:rsidRPr="00BC65EA" w14:paraId="41EE9E6C" w14:textId="77777777" w:rsidTr="55BCAE5C">
        <w:tc>
          <w:tcPr>
            <w:tcW w:w="4665" w:type="dxa"/>
          </w:tcPr>
          <w:p w14:paraId="1EC5611E" w14:textId="707F5A8D" w:rsidR="007D376A" w:rsidRPr="00BC65EA" w:rsidRDefault="00AE78D2" w:rsidP="55BCAE5C">
            <w:pPr>
              <w:rPr>
                <w:rFonts w:ascii="Aptos" w:eastAsia="Aptos" w:hAnsi="Aptos" w:cs="Aptos"/>
              </w:rPr>
            </w:pPr>
            <w:r w:rsidRPr="00AE78D2">
              <w:rPr>
                <w:rFonts w:ascii="Aptos" w:eastAsia="Aptos" w:hAnsi="Aptos" w:cs="Aptos"/>
              </w:rPr>
              <w:t>Vai secība mainās, ja veic pieteikumiem kvalitātes uzlabošanu?</w:t>
            </w:r>
          </w:p>
        </w:tc>
        <w:tc>
          <w:tcPr>
            <w:tcW w:w="4685" w:type="dxa"/>
          </w:tcPr>
          <w:p w14:paraId="152B8734" w14:textId="226E8E88" w:rsidR="007D376A" w:rsidRPr="00BC65EA" w:rsidRDefault="00AE78D2" w:rsidP="00022AEA">
            <w:pPr>
              <w:jc w:val="both"/>
            </w:pPr>
            <w:r>
              <w:t xml:space="preserve">Nē, secība nemainās, </w:t>
            </w:r>
            <w:r w:rsidR="005341F8">
              <w:t xml:space="preserve">ja projekta iesniegums saņem </w:t>
            </w:r>
            <w:r w:rsidR="00C92296">
              <w:t>lēmumu “jā, ar nosacījumu</w:t>
            </w:r>
            <w:r w:rsidR="00E32808">
              <w:t>”</w:t>
            </w:r>
            <w:r w:rsidR="00C92296">
              <w:t xml:space="preserve">, </w:t>
            </w:r>
            <w:r>
              <w:t>bet mainās gadījumā</w:t>
            </w:r>
            <w:r w:rsidR="00C92296">
              <w:t>,</w:t>
            </w:r>
            <w:r>
              <w:t xml:space="preserve"> </w:t>
            </w:r>
            <w:r w:rsidR="00DD3510">
              <w:t xml:space="preserve">ja </w:t>
            </w:r>
            <w:r w:rsidR="00071D11">
              <w:t>projekts tiek noraidīts</w:t>
            </w:r>
            <w:r w:rsidR="00C92296">
              <w:t>.</w:t>
            </w:r>
          </w:p>
        </w:tc>
      </w:tr>
      <w:tr w:rsidR="007D376A" w:rsidRPr="00BC65EA" w14:paraId="3A656390" w14:textId="77777777" w:rsidTr="55BCAE5C">
        <w:tc>
          <w:tcPr>
            <w:tcW w:w="4665" w:type="dxa"/>
          </w:tcPr>
          <w:p w14:paraId="7A40687A" w14:textId="7061C4D5" w:rsidR="007D376A" w:rsidRPr="00BC65EA" w:rsidRDefault="00212B78">
            <w:r w:rsidRPr="00212B78">
              <w:t>Vai var netulkotot pielikumus? Tas maksā un aizņem laiku.</w:t>
            </w:r>
          </w:p>
        </w:tc>
        <w:tc>
          <w:tcPr>
            <w:tcW w:w="4685" w:type="dxa"/>
          </w:tcPr>
          <w:p w14:paraId="13F508F5" w14:textId="2DB3A007" w:rsidR="00D505F9" w:rsidRPr="00BC65EA" w:rsidRDefault="00212B78" w:rsidP="001163E2">
            <w:pPr>
              <w:jc w:val="both"/>
            </w:pPr>
            <w:r>
              <w:t xml:space="preserve">Nav jātulko </w:t>
            </w:r>
            <w:hyperlink r:id="rId8" w:history="1">
              <w:r w:rsidRPr="000B4D4C">
                <w:rPr>
                  <w:rStyle w:val="Hyperlink"/>
                </w:rPr>
                <w:t>atlases nolikum</w:t>
              </w:r>
              <w:r w:rsidR="007434D4">
                <w:rPr>
                  <w:rStyle w:val="Hyperlink"/>
                </w:rPr>
                <w:t>a</w:t>
              </w:r>
            </w:hyperlink>
            <w:r>
              <w:t xml:space="preserve"> </w:t>
            </w:r>
            <w:r w:rsidR="007F0B90">
              <w:t xml:space="preserve">7.3. un 7.4. punktā </w:t>
            </w:r>
            <w:r>
              <w:t>noteik</w:t>
            </w:r>
            <w:r w:rsidR="00DE68A1">
              <w:t xml:space="preserve">tie </w:t>
            </w:r>
            <w:r w:rsidR="00022AEA">
              <w:t>pielikumi</w:t>
            </w:r>
            <w:r w:rsidR="00FB1F77">
              <w:t>.</w:t>
            </w:r>
          </w:p>
        </w:tc>
      </w:tr>
      <w:tr w:rsidR="007D376A" w:rsidRPr="00BC65EA" w14:paraId="51F05E3C" w14:textId="77777777" w:rsidTr="55BCAE5C">
        <w:tc>
          <w:tcPr>
            <w:tcW w:w="4665" w:type="dxa"/>
          </w:tcPr>
          <w:p w14:paraId="5EA96CDE" w14:textId="726339E1" w:rsidR="007D376A" w:rsidRPr="00BC65EA" w:rsidRDefault="00E307ED">
            <w:r w:rsidRPr="00E307ED">
              <w:t>Apotuvenmi kad ir plānota 1115k vērtēšanas komisija?</w:t>
            </w:r>
          </w:p>
        </w:tc>
        <w:tc>
          <w:tcPr>
            <w:tcW w:w="4685" w:type="dxa"/>
          </w:tcPr>
          <w:p w14:paraId="24C26D85" w14:textId="2C06C877" w:rsidR="007D376A" w:rsidRPr="00BC65EA" w:rsidRDefault="00E307ED" w:rsidP="001163E2">
            <w:pPr>
              <w:jc w:val="both"/>
            </w:pPr>
            <w:r>
              <w:t>Katrs projekts tiks vērtēts to iesniegšanas kārtībā</w:t>
            </w:r>
            <w:r w:rsidR="00293CED">
              <w:t>, projekta vērtēšanu jāpabeidz maksimāli 3.mēnešus pēc projekta iesniegšanas.</w:t>
            </w:r>
          </w:p>
        </w:tc>
      </w:tr>
      <w:tr w:rsidR="007D376A" w:rsidRPr="00BC65EA" w14:paraId="2F1E297A" w14:textId="77777777" w:rsidTr="55BCAE5C">
        <w:tc>
          <w:tcPr>
            <w:tcW w:w="4665" w:type="dxa"/>
          </w:tcPr>
          <w:p w14:paraId="0D5BF240" w14:textId="494EE3AC" w:rsidR="007D376A" w:rsidRPr="00BC65EA" w:rsidRDefault="008B4F7D">
            <w:r w:rsidRPr="008B4F7D">
              <w:t>Kuri ir noraidāmie kritēriji?</w:t>
            </w:r>
          </w:p>
        </w:tc>
        <w:tc>
          <w:tcPr>
            <w:tcW w:w="4685" w:type="dxa"/>
          </w:tcPr>
          <w:p w14:paraId="51B5A0D2" w14:textId="0B5A0267" w:rsidR="0039156C" w:rsidRDefault="00102550" w:rsidP="000A2AAB">
            <w:pPr>
              <w:jc w:val="both"/>
            </w:pPr>
            <w:r>
              <w:t xml:space="preserve">Kritēriji, kuru iespējamais vērtējums ir tikai </w:t>
            </w:r>
            <w:r w:rsidR="00DD4F68">
              <w:br/>
            </w:r>
            <w:r>
              <w:t>“jā vai nē” jeb tā sauktie noraidāmie</w:t>
            </w:r>
            <w:r w:rsidR="00BD0DE5">
              <w:t xml:space="preserve"> kritēriji </w:t>
            </w:r>
            <w:r>
              <w:t>ir</w:t>
            </w:r>
            <w:r w:rsidR="00FA6EDA">
              <w:t>:</w:t>
            </w:r>
          </w:p>
          <w:p w14:paraId="318E3F69" w14:textId="3FE767F0" w:rsidR="007D376A" w:rsidRDefault="00102550" w:rsidP="0039156C">
            <w:pPr>
              <w:pStyle w:val="ListParagraph"/>
              <w:numPr>
                <w:ilvl w:val="0"/>
                <w:numId w:val="3"/>
              </w:numPr>
              <w:ind w:left="327"/>
              <w:jc w:val="both"/>
            </w:pPr>
            <w:r>
              <w:t>3.1.kritērijs “</w:t>
            </w:r>
            <w:r w:rsidRPr="00102550">
              <w:t>Projekta iesniegums atbilst SAMP MK noteikumos noteiktajām un SAMP  ietvaros atbalstāmajām Eiropas Savienības pētniecības un inovācijas pamatprogrammas “Apvārsnis Eiropa” (turpmāk – programma "Apvārsnis Eiropa") un 10. Ietvara programmas apakšprogrammām.</w:t>
            </w:r>
            <w:r w:rsidR="00FA6EDA">
              <w:t>”</w:t>
            </w:r>
            <w:r w:rsidR="0014646D">
              <w:t>;</w:t>
            </w:r>
          </w:p>
          <w:p w14:paraId="7B643A4C" w14:textId="77777777" w:rsidR="0014646D" w:rsidRDefault="0014646D" w:rsidP="0039156C">
            <w:pPr>
              <w:pStyle w:val="ListParagraph"/>
              <w:numPr>
                <w:ilvl w:val="0"/>
                <w:numId w:val="3"/>
              </w:numPr>
              <w:ind w:left="327"/>
              <w:jc w:val="both"/>
            </w:pPr>
            <w:r>
              <w:t>3.2.</w:t>
            </w:r>
            <w:r w:rsidR="00D7461F">
              <w:t>kritērijs “</w:t>
            </w:r>
            <w:r w:rsidRPr="0014646D">
              <w:t xml:space="preserve">Projekta pieteikums ir pārvarējis noteikto kvalitātes slieksni </w:t>
            </w:r>
            <w:r w:rsidRPr="0014646D">
              <w:lastRenderedPageBreak/>
              <w:t>programmas "Apvārsnis Eiropa" projektu pieteikumu vērtēšanā.</w:t>
            </w:r>
            <w:r w:rsidR="00D7461F">
              <w:t>”</w:t>
            </w:r>
          </w:p>
          <w:p w14:paraId="1C1171D4" w14:textId="77777777" w:rsidR="0039156C" w:rsidRDefault="0039156C" w:rsidP="0039156C">
            <w:pPr>
              <w:pStyle w:val="ListParagraph"/>
              <w:ind w:left="327"/>
              <w:jc w:val="both"/>
            </w:pPr>
          </w:p>
          <w:p w14:paraId="1B693B8C" w14:textId="5F629B08" w:rsidR="007D376A" w:rsidRPr="00BC65EA" w:rsidRDefault="00D7461F" w:rsidP="000A2AAB">
            <w:pPr>
              <w:jc w:val="both"/>
            </w:pPr>
            <w:r>
              <w:t xml:space="preserve">Lūdzu skatīt </w:t>
            </w:r>
            <w:hyperlink r:id="rId9" w:history="1">
              <w:r w:rsidR="00557A4E" w:rsidRPr="00567EB8">
                <w:rPr>
                  <w:rStyle w:val="Hyperlink"/>
                </w:rPr>
                <w:t>2. pielikumu projektu iesniegumu atlases nolikumam “Projekta iesnieguma vērtēšanas kritēriju piemērošanas metodika</w:t>
              </w:r>
            </w:hyperlink>
            <w:r w:rsidR="00557A4E">
              <w:t>”</w:t>
            </w:r>
          </w:p>
        </w:tc>
      </w:tr>
    </w:tbl>
    <w:p w14:paraId="00B8A0FB" w14:textId="64E25D18" w:rsidR="007D376A" w:rsidRDefault="007D376A" w:rsidP="007D376A"/>
    <w:sectPr w:rsidR="007D3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F57AF"/>
    <w:multiLevelType w:val="hybridMultilevel"/>
    <w:tmpl w:val="36524F7C"/>
    <w:lvl w:ilvl="0" w:tplc="4238B9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419A6"/>
    <w:multiLevelType w:val="hybridMultilevel"/>
    <w:tmpl w:val="E29ABE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E4965"/>
    <w:multiLevelType w:val="hybridMultilevel"/>
    <w:tmpl w:val="45D6A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6180">
    <w:abstractNumId w:val="2"/>
  </w:num>
  <w:num w:numId="2" w16cid:durableId="898175596">
    <w:abstractNumId w:val="1"/>
  </w:num>
  <w:num w:numId="3" w16cid:durableId="168381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6A"/>
    <w:rsid w:val="00022AEA"/>
    <w:rsid w:val="00041676"/>
    <w:rsid w:val="00071D11"/>
    <w:rsid w:val="00072ECD"/>
    <w:rsid w:val="000A244F"/>
    <w:rsid w:val="000A2AAB"/>
    <w:rsid w:val="000B4D4C"/>
    <w:rsid w:val="000B5B98"/>
    <w:rsid w:val="00102550"/>
    <w:rsid w:val="0011028A"/>
    <w:rsid w:val="001163E2"/>
    <w:rsid w:val="001170CD"/>
    <w:rsid w:val="00124973"/>
    <w:rsid w:val="0014646D"/>
    <w:rsid w:val="00146988"/>
    <w:rsid w:val="00172F8D"/>
    <w:rsid w:val="00185244"/>
    <w:rsid w:val="00193657"/>
    <w:rsid w:val="001D22BF"/>
    <w:rsid w:val="001D2A04"/>
    <w:rsid w:val="001E71F2"/>
    <w:rsid w:val="001F56F2"/>
    <w:rsid w:val="00211642"/>
    <w:rsid w:val="00212B78"/>
    <w:rsid w:val="00274075"/>
    <w:rsid w:val="00293CED"/>
    <w:rsid w:val="002A2C1A"/>
    <w:rsid w:val="002B0806"/>
    <w:rsid w:val="002D6B71"/>
    <w:rsid w:val="0031795A"/>
    <w:rsid w:val="00331FE7"/>
    <w:rsid w:val="00333206"/>
    <w:rsid w:val="00377E57"/>
    <w:rsid w:val="0039156C"/>
    <w:rsid w:val="00397FAD"/>
    <w:rsid w:val="003A1742"/>
    <w:rsid w:val="003D0BD2"/>
    <w:rsid w:val="003E209E"/>
    <w:rsid w:val="003E2849"/>
    <w:rsid w:val="004202BA"/>
    <w:rsid w:val="004905C6"/>
    <w:rsid w:val="004B3D50"/>
    <w:rsid w:val="004B74A6"/>
    <w:rsid w:val="005341F8"/>
    <w:rsid w:val="005449A3"/>
    <w:rsid w:val="00550121"/>
    <w:rsid w:val="00557A4E"/>
    <w:rsid w:val="00562071"/>
    <w:rsid w:val="00567EB8"/>
    <w:rsid w:val="00596E96"/>
    <w:rsid w:val="005D67FD"/>
    <w:rsid w:val="005F3C24"/>
    <w:rsid w:val="00617672"/>
    <w:rsid w:val="006A61B3"/>
    <w:rsid w:val="006D194F"/>
    <w:rsid w:val="00713160"/>
    <w:rsid w:val="00726F38"/>
    <w:rsid w:val="007415E4"/>
    <w:rsid w:val="007434D4"/>
    <w:rsid w:val="0077387A"/>
    <w:rsid w:val="007D30FF"/>
    <w:rsid w:val="007D376A"/>
    <w:rsid w:val="007F0B90"/>
    <w:rsid w:val="0084204D"/>
    <w:rsid w:val="00871049"/>
    <w:rsid w:val="0089039E"/>
    <w:rsid w:val="008B0839"/>
    <w:rsid w:val="008B4F7D"/>
    <w:rsid w:val="008D4751"/>
    <w:rsid w:val="009417BA"/>
    <w:rsid w:val="009676E5"/>
    <w:rsid w:val="0098109B"/>
    <w:rsid w:val="00993F83"/>
    <w:rsid w:val="009F5367"/>
    <w:rsid w:val="00A35090"/>
    <w:rsid w:val="00A52C6B"/>
    <w:rsid w:val="00A84097"/>
    <w:rsid w:val="00A8680B"/>
    <w:rsid w:val="00AB5A58"/>
    <w:rsid w:val="00AE78D2"/>
    <w:rsid w:val="00B15F05"/>
    <w:rsid w:val="00B61CB9"/>
    <w:rsid w:val="00B961AA"/>
    <w:rsid w:val="00BC2E3F"/>
    <w:rsid w:val="00BC65EA"/>
    <w:rsid w:val="00BD0DE5"/>
    <w:rsid w:val="00BD3FAB"/>
    <w:rsid w:val="00BF5EE8"/>
    <w:rsid w:val="00C059D0"/>
    <w:rsid w:val="00C5684C"/>
    <w:rsid w:val="00C63FBA"/>
    <w:rsid w:val="00C92296"/>
    <w:rsid w:val="00C946BE"/>
    <w:rsid w:val="00CA526B"/>
    <w:rsid w:val="00CA7821"/>
    <w:rsid w:val="00D505F9"/>
    <w:rsid w:val="00D55A7E"/>
    <w:rsid w:val="00D62D6A"/>
    <w:rsid w:val="00D7461F"/>
    <w:rsid w:val="00D907D0"/>
    <w:rsid w:val="00DB5A65"/>
    <w:rsid w:val="00DD3510"/>
    <w:rsid w:val="00DD4F68"/>
    <w:rsid w:val="00DE68A1"/>
    <w:rsid w:val="00E307ED"/>
    <w:rsid w:val="00E3175A"/>
    <w:rsid w:val="00E32808"/>
    <w:rsid w:val="00E43928"/>
    <w:rsid w:val="00E454E9"/>
    <w:rsid w:val="00E4790F"/>
    <w:rsid w:val="00E640E6"/>
    <w:rsid w:val="00E70D6C"/>
    <w:rsid w:val="00E86BD9"/>
    <w:rsid w:val="00EC4D13"/>
    <w:rsid w:val="00ED6587"/>
    <w:rsid w:val="00EE29D6"/>
    <w:rsid w:val="00EE687E"/>
    <w:rsid w:val="00F96D21"/>
    <w:rsid w:val="00FA1AF7"/>
    <w:rsid w:val="00FA6EDA"/>
    <w:rsid w:val="00FB1F77"/>
    <w:rsid w:val="00FC08B6"/>
    <w:rsid w:val="00FC1BFB"/>
    <w:rsid w:val="00FE6DE8"/>
    <w:rsid w:val="00FF009E"/>
    <w:rsid w:val="162FFE42"/>
    <w:rsid w:val="2140F2D3"/>
    <w:rsid w:val="2927308F"/>
    <w:rsid w:val="2D19AAAF"/>
    <w:rsid w:val="3456C079"/>
    <w:rsid w:val="3ED25425"/>
    <w:rsid w:val="3FF020CB"/>
    <w:rsid w:val="47D80112"/>
    <w:rsid w:val="534D588E"/>
    <w:rsid w:val="55BCAE5C"/>
    <w:rsid w:val="56702B37"/>
    <w:rsid w:val="5DC151D7"/>
    <w:rsid w:val="66F01A73"/>
    <w:rsid w:val="68700D70"/>
    <w:rsid w:val="79A22AD2"/>
    <w:rsid w:val="7FC4C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BEA25"/>
  <w15:chartTrackingRefBased/>
  <w15:docId w15:val="{7E816375-A1AA-46A2-8041-52B56B09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D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172F8D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4D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la.gov.lv/lv/media/16419/download?attach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fla.gov.lv/lv/media/16425/download?attach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081EF947-B5C0-4319-92F7-4ECC3CD63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CC615-040D-448E-95C3-A3E8FD4D0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E53F7-53DB-4DEE-9741-0EFF5B4231E5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1735</Words>
  <Characters>990</Characters>
  <Application>Microsoft Office Word</Application>
  <DocSecurity>0</DocSecurity>
  <Lines>8</Lines>
  <Paragraphs>5</Paragraphs>
  <ScaleCrop>false</ScaleCrop>
  <Company/>
  <LinksUpToDate>false</LinksUpToDate>
  <CharactersWithSpaces>2720</CharactersWithSpaces>
  <SharedDoc>false</SharedDoc>
  <HLinks>
    <vt:vector size="12" baseType="variant">
      <vt:variant>
        <vt:i4>8257634</vt:i4>
      </vt:variant>
      <vt:variant>
        <vt:i4>3</vt:i4>
      </vt:variant>
      <vt:variant>
        <vt:i4>0</vt:i4>
      </vt:variant>
      <vt:variant>
        <vt:i4>5</vt:i4>
      </vt:variant>
      <vt:variant>
        <vt:lpwstr>https://www.cfla.gov.lv/lv/media/16425/download?attachment</vt:lpwstr>
      </vt:variant>
      <vt:variant>
        <vt:lpwstr/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https://www.cfla.gov.lv/lv/media/16419/download?attachment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Boboviča</dc:creator>
  <cp:keywords/>
  <dc:description/>
  <cp:lastModifiedBy>Solvita Šurma</cp:lastModifiedBy>
  <cp:revision>2</cp:revision>
  <dcterms:created xsi:type="dcterms:W3CDTF">2024-09-18T12:29:00Z</dcterms:created>
  <dcterms:modified xsi:type="dcterms:W3CDTF">2024-09-18T12:29:00Z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