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7493BFA6"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B25938">
        <w:rPr>
          <w:rFonts w:ascii="Times New Roman" w:hAnsi="Times New Roman" w:cs="Times New Roman"/>
          <w:b/>
          <w:sz w:val="40"/>
          <w:szCs w:val="40"/>
        </w:rPr>
        <w:t>3.1.1</w:t>
      </w:r>
      <w:r w:rsidRPr="00BC2C4B">
        <w:rPr>
          <w:rFonts w:ascii="Times New Roman" w:hAnsi="Times New Roman" w:cs="Times New Roman"/>
          <w:b/>
          <w:sz w:val="40"/>
          <w:szCs w:val="40"/>
        </w:rPr>
        <w:t>. specifiskā atbalsta mērķa "</w:t>
      </w:r>
      <w:r w:rsidR="00B47A5F" w:rsidRPr="00B47A5F">
        <w:rPr>
          <w:rFonts w:ascii="Times New Roman" w:hAnsi="Times New Roman" w:cs="Times New Roman"/>
          <w:b/>
          <w:sz w:val="40"/>
          <w:szCs w:val="40"/>
        </w:rPr>
        <w:t>Attīstīt ilgtspējīgu, pret klimatu izturīgu, inteliģentu, drošu un vairākveidu TEN-T infrastruktūru</w:t>
      </w:r>
      <w:r w:rsidRPr="00BC2C4B">
        <w:rPr>
          <w:rFonts w:ascii="Times New Roman" w:hAnsi="Times New Roman" w:cs="Times New Roman"/>
          <w:b/>
          <w:sz w:val="40"/>
          <w:szCs w:val="40"/>
        </w:rPr>
        <w:t xml:space="preserve">" </w:t>
      </w:r>
      <w:r w:rsidR="00B47A5F">
        <w:rPr>
          <w:rFonts w:ascii="Times New Roman" w:hAnsi="Times New Roman" w:cs="Times New Roman"/>
          <w:b/>
          <w:sz w:val="40"/>
          <w:szCs w:val="40"/>
        </w:rPr>
        <w:t>3.1.1.6</w:t>
      </w:r>
      <w:r w:rsidRPr="00BC2C4B">
        <w:rPr>
          <w:rFonts w:ascii="Times New Roman" w:hAnsi="Times New Roman" w:cs="Times New Roman"/>
          <w:b/>
          <w:sz w:val="40"/>
          <w:szCs w:val="40"/>
        </w:rPr>
        <w:t>. pasākuma "</w:t>
      </w:r>
      <w:r w:rsidR="006A3241" w:rsidRPr="006A3241">
        <w:rPr>
          <w:rFonts w:ascii="Times New Roman" w:hAnsi="Times New Roman" w:cs="Times New Roman"/>
          <w:b/>
          <w:sz w:val="40"/>
          <w:szCs w:val="40"/>
        </w:rPr>
        <w:t>Lielo ostu publiskās infrastruktūras attīstība</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10F59835" w14:textId="38DCF17C" w:rsidR="0024051E" w:rsidRDefault="0024051E"/>
    <w:p w14:paraId="12D76BFA" w14:textId="77777777" w:rsidR="006A3241" w:rsidRDefault="006A3241"/>
    <w:p w14:paraId="0C5FDDE6" w14:textId="54D071A2" w:rsidR="0024051E" w:rsidRDefault="0024051E"/>
    <w:p w14:paraId="5BA42CB7" w14:textId="445452A7" w:rsidR="0024051E" w:rsidRDefault="0024051E"/>
    <w:p w14:paraId="570FBD86" w14:textId="1892BB94"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6A3241">
        <w:rPr>
          <w:rFonts w:ascii="Times New Roman" w:hAnsi="Times New Roman" w:cs="Times New Roman"/>
          <w:b/>
          <w:sz w:val="28"/>
          <w:szCs w:val="28"/>
        </w:rPr>
        <w:t>8</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3E20001C" w14:textId="5BA0205C" w:rsidR="00CE00D0"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7780899" w:history="1">
            <w:r w:rsidR="00CE00D0" w:rsidRPr="00EA0304">
              <w:rPr>
                <w:rStyle w:val="Hyperlink"/>
                <w:rFonts w:ascii="Times New Roman" w:hAnsi="Times New Roman" w:cs="Times New Roman"/>
                <w:b/>
                <w:bCs/>
                <w:noProof/>
              </w:rPr>
              <w:t>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Vispārīgā informācija</w:t>
            </w:r>
            <w:r w:rsidR="00CE00D0">
              <w:rPr>
                <w:noProof/>
                <w:webHidden/>
              </w:rPr>
              <w:tab/>
            </w:r>
            <w:r w:rsidR="00CE00D0">
              <w:rPr>
                <w:noProof/>
                <w:webHidden/>
              </w:rPr>
              <w:fldChar w:fldCharType="begin"/>
            </w:r>
            <w:r w:rsidR="00CE00D0">
              <w:rPr>
                <w:noProof/>
                <w:webHidden/>
              </w:rPr>
              <w:instrText xml:space="preserve"> PAGEREF _Toc167780899 \h </w:instrText>
            </w:r>
            <w:r w:rsidR="00CE00D0">
              <w:rPr>
                <w:noProof/>
                <w:webHidden/>
              </w:rPr>
            </w:r>
            <w:r w:rsidR="00CE00D0">
              <w:rPr>
                <w:noProof/>
                <w:webHidden/>
              </w:rPr>
              <w:fldChar w:fldCharType="separate"/>
            </w:r>
            <w:r w:rsidR="00CE00D0">
              <w:rPr>
                <w:noProof/>
                <w:webHidden/>
              </w:rPr>
              <w:t>3</w:t>
            </w:r>
            <w:r w:rsidR="00CE00D0">
              <w:rPr>
                <w:noProof/>
                <w:webHidden/>
              </w:rPr>
              <w:fldChar w:fldCharType="end"/>
            </w:r>
          </w:hyperlink>
        </w:p>
        <w:p w14:paraId="6CB11560" w14:textId="2EDB4575"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0" w:history="1">
            <w:r w:rsidR="00CE00D0" w:rsidRPr="00EA0304">
              <w:rPr>
                <w:rStyle w:val="Hyperlink"/>
                <w:rFonts w:ascii="Times New Roman" w:hAnsi="Times New Roman" w:cs="Times New Roman"/>
                <w:b/>
                <w:bCs/>
                <w:noProof/>
              </w:rPr>
              <w:t>1.1.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Normatīvo aktu bāze izmaksu un ieguvumu analīzes izstrādei</w:t>
            </w:r>
            <w:r w:rsidR="00CE00D0">
              <w:rPr>
                <w:noProof/>
                <w:webHidden/>
              </w:rPr>
              <w:tab/>
            </w:r>
            <w:r w:rsidR="00CE00D0">
              <w:rPr>
                <w:noProof/>
                <w:webHidden/>
              </w:rPr>
              <w:fldChar w:fldCharType="begin"/>
            </w:r>
            <w:r w:rsidR="00CE00D0">
              <w:rPr>
                <w:noProof/>
                <w:webHidden/>
              </w:rPr>
              <w:instrText xml:space="preserve"> PAGEREF _Toc167780900 \h </w:instrText>
            </w:r>
            <w:r w:rsidR="00CE00D0">
              <w:rPr>
                <w:noProof/>
                <w:webHidden/>
              </w:rPr>
            </w:r>
            <w:r w:rsidR="00CE00D0">
              <w:rPr>
                <w:noProof/>
                <w:webHidden/>
              </w:rPr>
              <w:fldChar w:fldCharType="separate"/>
            </w:r>
            <w:r w:rsidR="00CE00D0">
              <w:rPr>
                <w:noProof/>
                <w:webHidden/>
              </w:rPr>
              <w:t>3</w:t>
            </w:r>
            <w:r w:rsidR="00CE00D0">
              <w:rPr>
                <w:noProof/>
                <w:webHidden/>
              </w:rPr>
              <w:fldChar w:fldCharType="end"/>
            </w:r>
          </w:hyperlink>
        </w:p>
        <w:p w14:paraId="608DF098" w14:textId="69700BA7"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1" w:history="1">
            <w:r w:rsidR="00CE00D0" w:rsidRPr="00EA0304">
              <w:rPr>
                <w:rStyle w:val="Hyperlink"/>
                <w:rFonts w:ascii="Times New Roman" w:hAnsi="Times New Roman" w:cs="Times New Roman"/>
                <w:b/>
                <w:bCs/>
                <w:noProof/>
              </w:rPr>
              <w:t>1.2.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Izmaksu un ieguvumu analīzes būtība, mērķi un pamatprincipi</w:t>
            </w:r>
            <w:r w:rsidR="00CE00D0">
              <w:rPr>
                <w:noProof/>
                <w:webHidden/>
              </w:rPr>
              <w:tab/>
            </w:r>
            <w:r w:rsidR="00CE00D0">
              <w:rPr>
                <w:noProof/>
                <w:webHidden/>
              </w:rPr>
              <w:fldChar w:fldCharType="begin"/>
            </w:r>
            <w:r w:rsidR="00CE00D0">
              <w:rPr>
                <w:noProof/>
                <w:webHidden/>
              </w:rPr>
              <w:instrText xml:space="preserve"> PAGEREF _Toc167780901 \h </w:instrText>
            </w:r>
            <w:r w:rsidR="00CE00D0">
              <w:rPr>
                <w:noProof/>
                <w:webHidden/>
              </w:rPr>
            </w:r>
            <w:r w:rsidR="00CE00D0">
              <w:rPr>
                <w:noProof/>
                <w:webHidden/>
              </w:rPr>
              <w:fldChar w:fldCharType="separate"/>
            </w:r>
            <w:r w:rsidR="00CE00D0">
              <w:rPr>
                <w:noProof/>
                <w:webHidden/>
              </w:rPr>
              <w:t>3</w:t>
            </w:r>
            <w:r w:rsidR="00CE00D0">
              <w:rPr>
                <w:noProof/>
                <w:webHidden/>
              </w:rPr>
              <w:fldChar w:fldCharType="end"/>
            </w:r>
          </w:hyperlink>
        </w:p>
        <w:p w14:paraId="4053E6A3" w14:textId="71CA8059" w:rsidR="00CE00D0" w:rsidRDefault="00000000">
          <w:pPr>
            <w:pStyle w:val="TOC1"/>
            <w:tabs>
              <w:tab w:val="left" w:pos="480"/>
              <w:tab w:val="right" w:leader="dot" w:pos="9627"/>
            </w:tabs>
            <w:rPr>
              <w:rFonts w:eastAsiaTheme="minorEastAsia"/>
              <w:noProof/>
              <w:kern w:val="2"/>
              <w:sz w:val="24"/>
              <w:szCs w:val="24"/>
              <w:lang w:eastAsia="lv-LV"/>
              <w14:ligatures w14:val="standardContextual"/>
            </w:rPr>
          </w:pPr>
          <w:hyperlink w:anchor="_Toc167780902" w:history="1">
            <w:r w:rsidR="00CE00D0" w:rsidRPr="00EA0304">
              <w:rPr>
                <w:rStyle w:val="Hyperlink"/>
                <w:rFonts w:ascii="Times New Roman" w:hAnsi="Times New Roman" w:cs="Times New Roman"/>
                <w:b/>
                <w:bCs/>
                <w:noProof/>
              </w:rPr>
              <w:t>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Izmaksu un ieguvumu analīzes izstrāde un saturs</w:t>
            </w:r>
            <w:r w:rsidR="00CE00D0">
              <w:rPr>
                <w:noProof/>
                <w:webHidden/>
              </w:rPr>
              <w:tab/>
            </w:r>
            <w:r w:rsidR="00CE00D0">
              <w:rPr>
                <w:noProof/>
                <w:webHidden/>
              </w:rPr>
              <w:fldChar w:fldCharType="begin"/>
            </w:r>
            <w:r w:rsidR="00CE00D0">
              <w:rPr>
                <w:noProof/>
                <w:webHidden/>
              </w:rPr>
              <w:instrText xml:space="preserve"> PAGEREF _Toc167780902 \h </w:instrText>
            </w:r>
            <w:r w:rsidR="00CE00D0">
              <w:rPr>
                <w:noProof/>
                <w:webHidden/>
              </w:rPr>
            </w:r>
            <w:r w:rsidR="00CE00D0">
              <w:rPr>
                <w:noProof/>
                <w:webHidden/>
              </w:rPr>
              <w:fldChar w:fldCharType="separate"/>
            </w:r>
            <w:r w:rsidR="00CE00D0">
              <w:rPr>
                <w:noProof/>
                <w:webHidden/>
              </w:rPr>
              <w:t>4</w:t>
            </w:r>
            <w:r w:rsidR="00CE00D0">
              <w:rPr>
                <w:noProof/>
                <w:webHidden/>
              </w:rPr>
              <w:fldChar w:fldCharType="end"/>
            </w:r>
          </w:hyperlink>
        </w:p>
        <w:p w14:paraId="6DC3D8DF" w14:textId="651F3436"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3" w:history="1">
            <w:r w:rsidR="00CE00D0" w:rsidRPr="00EA0304">
              <w:rPr>
                <w:rStyle w:val="Hyperlink"/>
                <w:rFonts w:ascii="Times New Roman" w:hAnsi="Times New Roman" w:cs="Times New Roman"/>
                <w:b/>
                <w:bCs/>
                <w:noProof/>
              </w:rPr>
              <w:t>2.1.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Vispārīgā informācija</w:t>
            </w:r>
            <w:r w:rsidR="00CE00D0">
              <w:rPr>
                <w:noProof/>
                <w:webHidden/>
              </w:rPr>
              <w:tab/>
            </w:r>
            <w:r w:rsidR="00CE00D0">
              <w:rPr>
                <w:noProof/>
                <w:webHidden/>
              </w:rPr>
              <w:fldChar w:fldCharType="begin"/>
            </w:r>
            <w:r w:rsidR="00CE00D0">
              <w:rPr>
                <w:noProof/>
                <w:webHidden/>
              </w:rPr>
              <w:instrText xml:space="preserve"> PAGEREF _Toc167780903 \h </w:instrText>
            </w:r>
            <w:r w:rsidR="00CE00D0">
              <w:rPr>
                <w:noProof/>
                <w:webHidden/>
              </w:rPr>
            </w:r>
            <w:r w:rsidR="00CE00D0">
              <w:rPr>
                <w:noProof/>
                <w:webHidden/>
              </w:rPr>
              <w:fldChar w:fldCharType="separate"/>
            </w:r>
            <w:r w:rsidR="00CE00D0">
              <w:rPr>
                <w:noProof/>
                <w:webHidden/>
              </w:rPr>
              <w:t>4</w:t>
            </w:r>
            <w:r w:rsidR="00CE00D0">
              <w:rPr>
                <w:noProof/>
                <w:webHidden/>
              </w:rPr>
              <w:fldChar w:fldCharType="end"/>
            </w:r>
          </w:hyperlink>
        </w:p>
        <w:p w14:paraId="0D63E52A" w14:textId="51E71C8C" w:rsidR="00CE00D0" w:rsidRDefault="00000000">
          <w:pPr>
            <w:pStyle w:val="TOC1"/>
            <w:tabs>
              <w:tab w:val="left" w:pos="720"/>
              <w:tab w:val="right" w:leader="dot" w:pos="9627"/>
            </w:tabs>
            <w:rPr>
              <w:rFonts w:eastAsiaTheme="minorEastAsia"/>
              <w:noProof/>
              <w:kern w:val="2"/>
              <w:sz w:val="24"/>
              <w:szCs w:val="24"/>
              <w:lang w:eastAsia="lv-LV"/>
              <w14:ligatures w14:val="standardContextual"/>
            </w:rPr>
          </w:pPr>
          <w:hyperlink w:anchor="_Toc167780904" w:history="1">
            <w:r w:rsidR="00CE00D0" w:rsidRPr="00EA0304">
              <w:rPr>
                <w:rStyle w:val="Hyperlink"/>
                <w:rFonts w:ascii="Times New Roman" w:hAnsi="Times New Roman" w:cs="Times New Roman"/>
                <w:b/>
                <w:bCs/>
                <w:noProof/>
              </w:rPr>
              <w:t>2.2.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Izmaksu un ieguvumu analīzes aprēķinu izklājlapās norādāmā informācija</w:t>
            </w:r>
            <w:r w:rsidR="00CE00D0">
              <w:rPr>
                <w:noProof/>
                <w:webHidden/>
              </w:rPr>
              <w:tab/>
            </w:r>
            <w:r w:rsidR="00CE00D0">
              <w:rPr>
                <w:noProof/>
                <w:webHidden/>
              </w:rPr>
              <w:fldChar w:fldCharType="begin"/>
            </w:r>
            <w:r w:rsidR="00CE00D0">
              <w:rPr>
                <w:noProof/>
                <w:webHidden/>
              </w:rPr>
              <w:instrText xml:space="preserve"> PAGEREF _Toc167780904 \h </w:instrText>
            </w:r>
            <w:r w:rsidR="00CE00D0">
              <w:rPr>
                <w:noProof/>
                <w:webHidden/>
              </w:rPr>
            </w:r>
            <w:r w:rsidR="00CE00D0">
              <w:rPr>
                <w:noProof/>
                <w:webHidden/>
              </w:rPr>
              <w:fldChar w:fldCharType="separate"/>
            </w:r>
            <w:r w:rsidR="00CE00D0">
              <w:rPr>
                <w:noProof/>
                <w:webHidden/>
              </w:rPr>
              <w:t>5</w:t>
            </w:r>
            <w:r w:rsidR="00CE00D0">
              <w:rPr>
                <w:noProof/>
                <w:webHidden/>
              </w:rPr>
              <w:fldChar w:fldCharType="end"/>
            </w:r>
          </w:hyperlink>
        </w:p>
        <w:p w14:paraId="4C5B435D" w14:textId="2E983398"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5" w:history="1">
            <w:r w:rsidR="00CE00D0" w:rsidRPr="00EA0304">
              <w:rPr>
                <w:rStyle w:val="Hyperlink"/>
                <w:rFonts w:ascii="Times New Roman" w:hAnsi="Times New Roman" w:cs="Times New Roman"/>
                <w:b/>
                <w:bCs/>
                <w:noProof/>
              </w:rPr>
              <w:t>2.2.1.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Dati</w:t>
            </w:r>
            <w:r w:rsidR="00CE00D0">
              <w:rPr>
                <w:noProof/>
                <w:webHidden/>
              </w:rPr>
              <w:tab/>
            </w:r>
            <w:r w:rsidR="00CE00D0">
              <w:rPr>
                <w:noProof/>
                <w:webHidden/>
              </w:rPr>
              <w:fldChar w:fldCharType="begin"/>
            </w:r>
            <w:r w:rsidR="00CE00D0">
              <w:rPr>
                <w:noProof/>
                <w:webHidden/>
              </w:rPr>
              <w:instrText xml:space="preserve"> PAGEREF _Toc167780905 \h </w:instrText>
            </w:r>
            <w:r w:rsidR="00CE00D0">
              <w:rPr>
                <w:noProof/>
                <w:webHidden/>
              </w:rPr>
            </w:r>
            <w:r w:rsidR="00CE00D0">
              <w:rPr>
                <w:noProof/>
                <w:webHidden/>
              </w:rPr>
              <w:fldChar w:fldCharType="separate"/>
            </w:r>
            <w:r w:rsidR="00CE00D0">
              <w:rPr>
                <w:noProof/>
                <w:webHidden/>
              </w:rPr>
              <w:t>5</w:t>
            </w:r>
            <w:r w:rsidR="00CE00D0">
              <w:rPr>
                <w:noProof/>
                <w:webHidden/>
              </w:rPr>
              <w:fldChar w:fldCharType="end"/>
            </w:r>
          </w:hyperlink>
        </w:p>
        <w:p w14:paraId="64342F15" w14:textId="2A68EE75"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6" w:history="1">
            <w:r w:rsidR="00CE00D0" w:rsidRPr="00EA0304">
              <w:rPr>
                <w:rStyle w:val="Hyperlink"/>
                <w:rFonts w:ascii="Times New Roman" w:hAnsi="Times New Roman" w:cs="Times New Roman"/>
                <w:b/>
                <w:bCs/>
                <w:noProof/>
              </w:rPr>
              <w:t>2.2.2.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Dati par projektu</w:t>
            </w:r>
            <w:r w:rsidR="00CE00D0">
              <w:rPr>
                <w:noProof/>
                <w:webHidden/>
              </w:rPr>
              <w:tab/>
            </w:r>
            <w:r w:rsidR="00CE00D0">
              <w:rPr>
                <w:noProof/>
                <w:webHidden/>
              </w:rPr>
              <w:fldChar w:fldCharType="begin"/>
            </w:r>
            <w:r w:rsidR="00CE00D0">
              <w:rPr>
                <w:noProof/>
                <w:webHidden/>
              </w:rPr>
              <w:instrText xml:space="preserve"> PAGEREF _Toc167780906 \h </w:instrText>
            </w:r>
            <w:r w:rsidR="00CE00D0">
              <w:rPr>
                <w:noProof/>
                <w:webHidden/>
              </w:rPr>
            </w:r>
            <w:r w:rsidR="00CE00D0">
              <w:rPr>
                <w:noProof/>
                <w:webHidden/>
              </w:rPr>
              <w:fldChar w:fldCharType="separate"/>
            </w:r>
            <w:r w:rsidR="00CE00D0">
              <w:rPr>
                <w:noProof/>
                <w:webHidden/>
              </w:rPr>
              <w:t>5</w:t>
            </w:r>
            <w:r w:rsidR="00CE00D0">
              <w:rPr>
                <w:noProof/>
                <w:webHidden/>
              </w:rPr>
              <w:fldChar w:fldCharType="end"/>
            </w:r>
          </w:hyperlink>
        </w:p>
        <w:p w14:paraId="40FF32D6" w14:textId="7F691AFB"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7" w:history="1">
            <w:r w:rsidR="00CE00D0" w:rsidRPr="00EA0304">
              <w:rPr>
                <w:rStyle w:val="Hyperlink"/>
                <w:rFonts w:ascii="Times New Roman" w:hAnsi="Times New Roman" w:cs="Times New Roman"/>
                <w:b/>
                <w:bCs/>
                <w:noProof/>
              </w:rPr>
              <w:t>2.2.3.</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Projekta investīciju izmaksas</w:t>
            </w:r>
            <w:r w:rsidR="00CE00D0">
              <w:rPr>
                <w:noProof/>
                <w:webHidden/>
              </w:rPr>
              <w:tab/>
            </w:r>
            <w:r w:rsidR="00CE00D0">
              <w:rPr>
                <w:noProof/>
                <w:webHidden/>
              </w:rPr>
              <w:fldChar w:fldCharType="begin"/>
            </w:r>
            <w:r w:rsidR="00CE00D0">
              <w:rPr>
                <w:noProof/>
                <w:webHidden/>
              </w:rPr>
              <w:instrText xml:space="preserve"> PAGEREF _Toc167780907 \h </w:instrText>
            </w:r>
            <w:r w:rsidR="00CE00D0">
              <w:rPr>
                <w:noProof/>
                <w:webHidden/>
              </w:rPr>
            </w:r>
            <w:r w:rsidR="00CE00D0">
              <w:rPr>
                <w:noProof/>
                <w:webHidden/>
              </w:rPr>
              <w:fldChar w:fldCharType="separate"/>
            </w:r>
            <w:r w:rsidR="00CE00D0">
              <w:rPr>
                <w:noProof/>
                <w:webHidden/>
              </w:rPr>
              <w:t>7</w:t>
            </w:r>
            <w:r w:rsidR="00CE00D0">
              <w:rPr>
                <w:noProof/>
                <w:webHidden/>
              </w:rPr>
              <w:fldChar w:fldCharType="end"/>
            </w:r>
          </w:hyperlink>
        </w:p>
        <w:p w14:paraId="194E1F66" w14:textId="0FC01895"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8" w:history="1">
            <w:r w:rsidR="00CE00D0" w:rsidRPr="00EA0304">
              <w:rPr>
                <w:rStyle w:val="Hyperlink"/>
                <w:rFonts w:ascii="Times New Roman" w:hAnsi="Times New Roman" w:cs="Times New Roman"/>
                <w:b/>
                <w:bCs/>
                <w:noProof/>
              </w:rPr>
              <w:t>2.2.4.</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Investīciju naudas plūsma bez projekta</w:t>
            </w:r>
            <w:r w:rsidR="00CE00D0">
              <w:rPr>
                <w:noProof/>
                <w:webHidden/>
              </w:rPr>
              <w:tab/>
            </w:r>
            <w:r w:rsidR="00CE00D0">
              <w:rPr>
                <w:noProof/>
                <w:webHidden/>
              </w:rPr>
              <w:fldChar w:fldCharType="begin"/>
            </w:r>
            <w:r w:rsidR="00CE00D0">
              <w:rPr>
                <w:noProof/>
                <w:webHidden/>
              </w:rPr>
              <w:instrText xml:space="preserve"> PAGEREF _Toc167780908 \h </w:instrText>
            </w:r>
            <w:r w:rsidR="00CE00D0">
              <w:rPr>
                <w:noProof/>
                <w:webHidden/>
              </w:rPr>
            </w:r>
            <w:r w:rsidR="00CE00D0">
              <w:rPr>
                <w:noProof/>
                <w:webHidden/>
              </w:rPr>
              <w:fldChar w:fldCharType="separate"/>
            </w:r>
            <w:r w:rsidR="00CE00D0">
              <w:rPr>
                <w:noProof/>
                <w:webHidden/>
              </w:rPr>
              <w:t>8</w:t>
            </w:r>
            <w:r w:rsidR="00CE00D0">
              <w:rPr>
                <w:noProof/>
                <w:webHidden/>
              </w:rPr>
              <w:fldChar w:fldCharType="end"/>
            </w:r>
          </w:hyperlink>
        </w:p>
        <w:p w14:paraId="651755DB" w14:textId="19764F86"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09" w:history="1">
            <w:r w:rsidR="00CE00D0" w:rsidRPr="00EA0304">
              <w:rPr>
                <w:rStyle w:val="Hyperlink"/>
                <w:rFonts w:ascii="Times New Roman" w:hAnsi="Times New Roman" w:cs="Times New Roman"/>
                <w:b/>
                <w:bCs/>
                <w:noProof/>
              </w:rPr>
              <w:t>2.2.5.</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Investīciju naudas plūsma ar projektu</w:t>
            </w:r>
            <w:r w:rsidR="00CE00D0">
              <w:rPr>
                <w:noProof/>
                <w:webHidden/>
              </w:rPr>
              <w:tab/>
            </w:r>
            <w:r w:rsidR="00CE00D0">
              <w:rPr>
                <w:noProof/>
                <w:webHidden/>
              </w:rPr>
              <w:fldChar w:fldCharType="begin"/>
            </w:r>
            <w:r w:rsidR="00CE00D0">
              <w:rPr>
                <w:noProof/>
                <w:webHidden/>
              </w:rPr>
              <w:instrText xml:space="preserve"> PAGEREF _Toc167780909 \h </w:instrText>
            </w:r>
            <w:r w:rsidR="00CE00D0">
              <w:rPr>
                <w:noProof/>
                <w:webHidden/>
              </w:rPr>
            </w:r>
            <w:r w:rsidR="00CE00D0">
              <w:rPr>
                <w:noProof/>
                <w:webHidden/>
              </w:rPr>
              <w:fldChar w:fldCharType="separate"/>
            </w:r>
            <w:r w:rsidR="00CE00D0">
              <w:rPr>
                <w:noProof/>
                <w:webHidden/>
              </w:rPr>
              <w:t>9</w:t>
            </w:r>
            <w:r w:rsidR="00CE00D0">
              <w:rPr>
                <w:noProof/>
                <w:webHidden/>
              </w:rPr>
              <w:fldChar w:fldCharType="end"/>
            </w:r>
          </w:hyperlink>
        </w:p>
        <w:p w14:paraId="4B45AF8A" w14:textId="7C11A900"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0" w:history="1">
            <w:r w:rsidR="00CE00D0" w:rsidRPr="00EA0304">
              <w:rPr>
                <w:rStyle w:val="Hyperlink"/>
                <w:rFonts w:ascii="Times New Roman" w:hAnsi="Times New Roman" w:cs="Times New Roman"/>
                <w:b/>
                <w:bCs/>
                <w:noProof/>
              </w:rPr>
              <w:t>2.2.6.</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Finansiālā ilgtspēja</w:t>
            </w:r>
            <w:r w:rsidR="00CE00D0">
              <w:rPr>
                <w:noProof/>
                <w:webHidden/>
              </w:rPr>
              <w:tab/>
            </w:r>
            <w:r w:rsidR="00CE00D0">
              <w:rPr>
                <w:noProof/>
                <w:webHidden/>
              </w:rPr>
              <w:fldChar w:fldCharType="begin"/>
            </w:r>
            <w:r w:rsidR="00CE00D0">
              <w:rPr>
                <w:noProof/>
                <w:webHidden/>
              </w:rPr>
              <w:instrText xml:space="preserve"> PAGEREF _Toc167780910 \h </w:instrText>
            </w:r>
            <w:r w:rsidR="00CE00D0">
              <w:rPr>
                <w:noProof/>
                <w:webHidden/>
              </w:rPr>
            </w:r>
            <w:r w:rsidR="00CE00D0">
              <w:rPr>
                <w:noProof/>
                <w:webHidden/>
              </w:rPr>
              <w:fldChar w:fldCharType="separate"/>
            </w:r>
            <w:r w:rsidR="00CE00D0">
              <w:rPr>
                <w:noProof/>
                <w:webHidden/>
              </w:rPr>
              <w:t>10</w:t>
            </w:r>
            <w:r w:rsidR="00CE00D0">
              <w:rPr>
                <w:noProof/>
                <w:webHidden/>
              </w:rPr>
              <w:fldChar w:fldCharType="end"/>
            </w:r>
          </w:hyperlink>
        </w:p>
        <w:p w14:paraId="4B6C1A13" w14:textId="7E32A9FB"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1" w:history="1">
            <w:r w:rsidR="00CE00D0" w:rsidRPr="00EA0304">
              <w:rPr>
                <w:rStyle w:val="Hyperlink"/>
                <w:rFonts w:ascii="Times New Roman" w:hAnsi="Times New Roman" w:cs="Times New Roman"/>
                <w:b/>
                <w:bCs/>
                <w:noProof/>
              </w:rPr>
              <w:t>2.2.7.</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Sociālekonomiskā analīze</w:t>
            </w:r>
            <w:r w:rsidR="00CE00D0">
              <w:rPr>
                <w:noProof/>
                <w:webHidden/>
              </w:rPr>
              <w:tab/>
            </w:r>
            <w:r w:rsidR="00CE00D0">
              <w:rPr>
                <w:noProof/>
                <w:webHidden/>
              </w:rPr>
              <w:fldChar w:fldCharType="begin"/>
            </w:r>
            <w:r w:rsidR="00CE00D0">
              <w:rPr>
                <w:noProof/>
                <w:webHidden/>
              </w:rPr>
              <w:instrText xml:space="preserve"> PAGEREF _Toc167780911 \h </w:instrText>
            </w:r>
            <w:r w:rsidR="00CE00D0">
              <w:rPr>
                <w:noProof/>
                <w:webHidden/>
              </w:rPr>
            </w:r>
            <w:r w:rsidR="00CE00D0">
              <w:rPr>
                <w:noProof/>
                <w:webHidden/>
              </w:rPr>
              <w:fldChar w:fldCharType="separate"/>
            </w:r>
            <w:r w:rsidR="00CE00D0">
              <w:rPr>
                <w:noProof/>
                <w:webHidden/>
              </w:rPr>
              <w:t>11</w:t>
            </w:r>
            <w:r w:rsidR="00CE00D0">
              <w:rPr>
                <w:noProof/>
                <w:webHidden/>
              </w:rPr>
              <w:fldChar w:fldCharType="end"/>
            </w:r>
          </w:hyperlink>
        </w:p>
        <w:p w14:paraId="0D3115AF" w14:textId="667FE842"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2" w:history="1">
            <w:r w:rsidR="00CE00D0" w:rsidRPr="00EA0304">
              <w:rPr>
                <w:rStyle w:val="Hyperlink"/>
                <w:rFonts w:ascii="Times New Roman" w:hAnsi="Times New Roman" w:cs="Times New Roman"/>
                <w:b/>
                <w:bCs/>
                <w:noProof/>
              </w:rPr>
              <w:t>2.2.8.</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Finanšu analīze</w:t>
            </w:r>
            <w:r w:rsidR="00CE00D0">
              <w:rPr>
                <w:noProof/>
                <w:webHidden/>
              </w:rPr>
              <w:tab/>
            </w:r>
            <w:r w:rsidR="00CE00D0">
              <w:rPr>
                <w:noProof/>
                <w:webHidden/>
              </w:rPr>
              <w:fldChar w:fldCharType="begin"/>
            </w:r>
            <w:r w:rsidR="00CE00D0">
              <w:rPr>
                <w:noProof/>
                <w:webHidden/>
              </w:rPr>
              <w:instrText xml:space="preserve"> PAGEREF _Toc167780912 \h </w:instrText>
            </w:r>
            <w:r w:rsidR="00CE00D0">
              <w:rPr>
                <w:noProof/>
                <w:webHidden/>
              </w:rPr>
            </w:r>
            <w:r w:rsidR="00CE00D0">
              <w:rPr>
                <w:noProof/>
                <w:webHidden/>
              </w:rPr>
              <w:fldChar w:fldCharType="separate"/>
            </w:r>
            <w:r w:rsidR="00CE00D0">
              <w:rPr>
                <w:noProof/>
                <w:webHidden/>
              </w:rPr>
              <w:t>13</w:t>
            </w:r>
            <w:r w:rsidR="00CE00D0">
              <w:rPr>
                <w:noProof/>
                <w:webHidden/>
              </w:rPr>
              <w:fldChar w:fldCharType="end"/>
            </w:r>
          </w:hyperlink>
        </w:p>
        <w:p w14:paraId="2F1998B1" w14:textId="3BFEF560"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3" w:history="1">
            <w:r w:rsidR="00CE00D0" w:rsidRPr="00EA0304">
              <w:rPr>
                <w:rStyle w:val="Hyperlink"/>
                <w:rFonts w:ascii="Times New Roman" w:hAnsi="Times New Roman" w:cs="Times New Roman"/>
                <w:b/>
                <w:bCs/>
                <w:noProof/>
              </w:rPr>
              <w:t>2.2.9.</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Jutīguma analīze</w:t>
            </w:r>
            <w:r w:rsidR="00CE00D0">
              <w:rPr>
                <w:noProof/>
                <w:webHidden/>
              </w:rPr>
              <w:tab/>
            </w:r>
            <w:r w:rsidR="00CE00D0">
              <w:rPr>
                <w:noProof/>
                <w:webHidden/>
              </w:rPr>
              <w:fldChar w:fldCharType="begin"/>
            </w:r>
            <w:r w:rsidR="00CE00D0">
              <w:rPr>
                <w:noProof/>
                <w:webHidden/>
              </w:rPr>
              <w:instrText xml:space="preserve"> PAGEREF _Toc167780913 \h </w:instrText>
            </w:r>
            <w:r w:rsidR="00CE00D0">
              <w:rPr>
                <w:noProof/>
                <w:webHidden/>
              </w:rPr>
            </w:r>
            <w:r w:rsidR="00CE00D0">
              <w:rPr>
                <w:noProof/>
                <w:webHidden/>
              </w:rPr>
              <w:fldChar w:fldCharType="separate"/>
            </w:r>
            <w:r w:rsidR="00CE00D0">
              <w:rPr>
                <w:noProof/>
                <w:webHidden/>
              </w:rPr>
              <w:t>13</w:t>
            </w:r>
            <w:r w:rsidR="00CE00D0">
              <w:rPr>
                <w:noProof/>
                <w:webHidden/>
              </w:rPr>
              <w:fldChar w:fldCharType="end"/>
            </w:r>
          </w:hyperlink>
        </w:p>
        <w:p w14:paraId="04038809" w14:textId="6C4C5B74"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4" w:history="1">
            <w:r w:rsidR="00CE00D0" w:rsidRPr="00EA0304">
              <w:rPr>
                <w:rStyle w:val="Hyperlink"/>
                <w:rFonts w:ascii="Times New Roman" w:hAnsi="Times New Roman" w:cs="Times New Roman"/>
                <w:b/>
                <w:bCs/>
                <w:noProof/>
              </w:rPr>
              <w:t>2.2.10.</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Projekta iesnieguma sadaļa “Finansējuma sadalījums pa avotiem”</w:t>
            </w:r>
            <w:r w:rsidR="00CE00D0">
              <w:rPr>
                <w:noProof/>
                <w:webHidden/>
              </w:rPr>
              <w:tab/>
            </w:r>
            <w:r w:rsidR="00CE00D0">
              <w:rPr>
                <w:noProof/>
                <w:webHidden/>
              </w:rPr>
              <w:fldChar w:fldCharType="begin"/>
            </w:r>
            <w:r w:rsidR="00CE00D0">
              <w:rPr>
                <w:noProof/>
                <w:webHidden/>
              </w:rPr>
              <w:instrText xml:space="preserve"> PAGEREF _Toc167780914 \h </w:instrText>
            </w:r>
            <w:r w:rsidR="00CE00D0">
              <w:rPr>
                <w:noProof/>
                <w:webHidden/>
              </w:rPr>
            </w:r>
            <w:r w:rsidR="00CE00D0">
              <w:rPr>
                <w:noProof/>
                <w:webHidden/>
              </w:rPr>
              <w:fldChar w:fldCharType="separate"/>
            </w:r>
            <w:r w:rsidR="00CE00D0">
              <w:rPr>
                <w:noProof/>
                <w:webHidden/>
              </w:rPr>
              <w:t>14</w:t>
            </w:r>
            <w:r w:rsidR="00CE00D0">
              <w:rPr>
                <w:noProof/>
                <w:webHidden/>
              </w:rPr>
              <w:fldChar w:fldCharType="end"/>
            </w:r>
          </w:hyperlink>
        </w:p>
        <w:p w14:paraId="16866A8F" w14:textId="6B42F02D"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5" w:history="1">
            <w:r w:rsidR="00CE00D0" w:rsidRPr="00EA0304">
              <w:rPr>
                <w:rStyle w:val="Hyperlink"/>
                <w:rFonts w:ascii="Times New Roman" w:hAnsi="Times New Roman" w:cs="Times New Roman"/>
                <w:b/>
                <w:bCs/>
                <w:noProof/>
              </w:rPr>
              <w:t>2.2.11.</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Projekta iesnieguma sadaļa “Projekta budžeta kopsavilkums”</w:t>
            </w:r>
            <w:r w:rsidR="00CE00D0">
              <w:rPr>
                <w:noProof/>
                <w:webHidden/>
              </w:rPr>
              <w:tab/>
            </w:r>
            <w:r w:rsidR="00CE00D0">
              <w:rPr>
                <w:noProof/>
                <w:webHidden/>
              </w:rPr>
              <w:fldChar w:fldCharType="begin"/>
            </w:r>
            <w:r w:rsidR="00CE00D0">
              <w:rPr>
                <w:noProof/>
                <w:webHidden/>
              </w:rPr>
              <w:instrText xml:space="preserve"> PAGEREF _Toc167780915 \h </w:instrText>
            </w:r>
            <w:r w:rsidR="00CE00D0">
              <w:rPr>
                <w:noProof/>
                <w:webHidden/>
              </w:rPr>
            </w:r>
            <w:r w:rsidR="00CE00D0">
              <w:rPr>
                <w:noProof/>
                <w:webHidden/>
              </w:rPr>
              <w:fldChar w:fldCharType="separate"/>
            </w:r>
            <w:r w:rsidR="00CE00D0">
              <w:rPr>
                <w:noProof/>
                <w:webHidden/>
              </w:rPr>
              <w:t>15</w:t>
            </w:r>
            <w:r w:rsidR="00CE00D0">
              <w:rPr>
                <w:noProof/>
                <w:webHidden/>
              </w:rPr>
              <w:fldChar w:fldCharType="end"/>
            </w:r>
          </w:hyperlink>
        </w:p>
        <w:p w14:paraId="3DB2A6A6" w14:textId="51FAB8DC"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6" w:history="1">
            <w:r w:rsidR="00CE00D0" w:rsidRPr="00EA0304">
              <w:rPr>
                <w:rStyle w:val="Hyperlink"/>
                <w:rFonts w:ascii="Times New Roman" w:hAnsi="Times New Roman" w:cs="Times New Roman"/>
                <w:b/>
                <w:bCs/>
                <w:noProof/>
              </w:rPr>
              <w:t>2.2.12.</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MK noteikumu Nr.408 4.pielikums “Projekta izmaksu efektivitātes novērtējums”</w:t>
            </w:r>
            <w:r w:rsidR="00CE00D0">
              <w:rPr>
                <w:noProof/>
                <w:webHidden/>
              </w:rPr>
              <w:tab/>
            </w:r>
            <w:r w:rsidR="00CE00D0">
              <w:rPr>
                <w:noProof/>
                <w:webHidden/>
              </w:rPr>
              <w:fldChar w:fldCharType="begin"/>
            </w:r>
            <w:r w:rsidR="00CE00D0">
              <w:rPr>
                <w:noProof/>
                <w:webHidden/>
              </w:rPr>
              <w:instrText xml:space="preserve"> PAGEREF _Toc167780916 \h </w:instrText>
            </w:r>
            <w:r w:rsidR="00CE00D0">
              <w:rPr>
                <w:noProof/>
                <w:webHidden/>
              </w:rPr>
            </w:r>
            <w:r w:rsidR="00CE00D0">
              <w:rPr>
                <w:noProof/>
                <w:webHidden/>
              </w:rPr>
              <w:fldChar w:fldCharType="separate"/>
            </w:r>
            <w:r w:rsidR="00CE00D0">
              <w:rPr>
                <w:noProof/>
                <w:webHidden/>
              </w:rPr>
              <w:t>15</w:t>
            </w:r>
            <w:r w:rsidR="00CE00D0">
              <w:rPr>
                <w:noProof/>
                <w:webHidden/>
              </w:rPr>
              <w:fldChar w:fldCharType="end"/>
            </w:r>
          </w:hyperlink>
        </w:p>
        <w:p w14:paraId="09AFF8B6" w14:textId="583A6D66"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7" w:history="1">
            <w:r w:rsidR="00CE00D0" w:rsidRPr="00EA0304">
              <w:rPr>
                <w:rStyle w:val="Hyperlink"/>
                <w:rFonts w:ascii="Times New Roman" w:hAnsi="Times New Roman" w:cs="Times New Roman"/>
                <w:b/>
                <w:bCs/>
                <w:noProof/>
              </w:rPr>
              <w:t>2.2.13.</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Kontroles lapa</w:t>
            </w:r>
            <w:r w:rsidR="00CE00D0">
              <w:rPr>
                <w:noProof/>
                <w:webHidden/>
              </w:rPr>
              <w:tab/>
            </w:r>
            <w:r w:rsidR="00CE00D0">
              <w:rPr>
                <w:noProof/>
                <w:webHidden/>
              </w:rPr>
              <w:fldChar w:fldCharType="begin"/>
            </w:r>
            <w:r w:rsidR="00CE00D0">
              <w:rPr>
                <w:noProof/>
                <w:webHidden/>
              </w:rPr>
              <w:instrText xml:space="preserve"> PAGEREF _Toc167780917 \h </w:instrText>
            </w:r>
            <w:r w:rsidR="00CE00D0">
              <w:rPr>
                <w:noProof/>
                <w:webHidden/>
              </w:rPr>
            </w:r>
            <w:r w:rsidR="00CE00D0">
              <w:rPr>
                <w:noProof/>
                <w:webHidden/>
              </w:rPr>
              <w:fldChar w:fldCharType="separate"/>
            </w:r>
            <w:r w:rsidR="00CE00D0">
              <w:rPr>
                <w:noProof/>
                <w:webHidden/>
              </w:rPr>
              <w:t>20</w:t>
            </w:r>
            <w:r w:rsidR="00CE00D0">
              <w:rPr>
                <w:noProof/>
                <w:webHidden/>
              </w:rPr>
              <w:fldChar w:fldCharType="end"/>
            </w:r>
          </w:hyperlink>
        </w:p>
        <w:p w14:paraId="3EE51FC1" w14:textId="6426ECBF" w:rsidR="00CE00D0" w:rsidRDefault="00000000">
          <w:pPr>
            <w:pStyle w:val="TOC1"/>
            <w:tabs>
              <w:tab w:val="left" w:pos="960"/>
              <w:tab w:val="right" w:leader="dot" w:pos="9627"/>
            </w:tabs>
            <w:rPr>
              <w:rFonts w:eastAsiaTheme="minorEastAsia"/>
              <w:noProof/>
              <w:kern w:val="2"/>
              <w:sz w:val="24"/>
              <w:szCs w:val="24"/>
              <w:lang w:eastAsia="lv-LV"/>
              <w14:ligatures w14:val="standardContextual"/>
            </w:rPr>
          </w:pPr>
          <w:hyperlink w:anchor="_Toc167780918" w:history="1">
            <w:r w:rsidR="00CE00D0" w:rsidRPr="00EA0304">
              <w:rPr>
                <w:rStyle w:val="Hyperlink"/>
                <w:rFonts w:ascii="Times New Roman" w:hAnsi="Times New Roman" w:cs="Times New Roman"/>
                <w:b/>
                <w:bCs/>
                <w:noProof/>
              </w:rPr>
              <w:t>2.2.14.</w:t>
            </w:r>
            <w:r w:rsidR="00CE00D0">
              <w:rPr>
                <w:rFonts w:eastAsiaTheme="minorEastAsia"/>
                <w:noProof/>
                <w:kern w:val="2"/>
                <w:sz w:val="24"/>
                <w:szCs w:val="24"/>
                <w:lang w:eastAsia="lv-LV"/>
                <w14:ligatures w14:val="standardContextual"/>
              </w:rPr>
              <w:tab/>
            </w:r>
            <w:r w:rsidR="00CE00D0" w:rsidRPr="00EA0304">
              <w:rPr>
                <w:rStyle w:val="Hyperlink"/>
                <w:rFonts w:ascii="Times New Roman" w:hAnsi="Times New Roman" w:cs="Times New Roman"/>
                <w:b/>
                <w:bCs/>
                <w:noProof/>
              </w:rPr>
              <w:t>Pieņēmumi</w:t>
            </w:r>
            <w:r w:rsidR="00CE00D0">
              <w:rPr>
                <w:noProof/>
                <w:webHidden/>
              </w:rPr>
              <w:tab/>
            </w:r>
            <w:r w:rsidR="00CE00D0">
              <w:rPr>
                <w:noProof/>
                <w:webHidden/>
              </w:rPr>
              <w:fldChar w:fldCharType="begin"/>
            </w:r>
            <w:r w:rsidR="00CE00D0">
              <w:rPr>
                <w:noProof/>
                <w:webHidden/>
              </w:rPr>
              <w:instrText xml:space="preserve"> PAGEREF _Toc167780918 \h </w:instrText>
            </w:r>
            <w:r w:rsidR="00CE00D0">
              <w:rPr>
                <w:noProof/>
                <w:webHidden/>
              </w:rPr>
            </w:r>
            <w:r w:rsidR="00CE00D0">
              <w:rPr>
                <w:noProof/>
                <w:webHidden/>
              </w:rPr>
              <w:fldChar w:fldCharType="separate"/>
            </w:r>
            <w:r w:rsidR="00CE00D0">
              <w:rPr>
                <w:noProof/>
                <w:webHidden/>
              </w:rPr>
              <w:t>20</w:t>
            </w:r>
            <w:r w:rsidR="00CE00D0">
              <w:rPr>
                <w:noProof/>
                <w:webHidden/>
              </w:rPr>
              <w:fldChar w:fldCharType="end"/>
            </w:r>
          </w:hyperlink>
        </w:p>
        <w:p w14:paraId="0993A44F" w14:textId="77000D72"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7780899"/>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7780900"/>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4756C1E4"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00A54901" w:rsidRPr="00393DF6">
        <w:rPr>
          <w:rFonts w:ascii="Times New Roman" w:hAnsi="Times New Roman" w:cs="Times New Roman"/>
          <w:sz w:val="24"/>
          <w:szCs w:val="24"/>
        </w:rPr>
        <w:t>2023.gada 1</w:t>
      </w:r>
      <w:r w:rsidR="00A54901">
        <w:rPr>
          <w:rFonts w:ascii="Times New Roman" w:hAnsi="Times New Roman" w:cs="Times New Roman"/>
          <w:sz w:val="24"/>
          <w:szCs w:val="24"/>
        </w:rPr>
        <w:t>3</w:t>
      </w:r>
      <w:r w:rsidR="00A54901" w:rsidRPr="00393DF6">
        <w:rPr>
          <w:rFonts w:ascii="Times New Roman" w:hAnsi="Times New Roman" w:cs="Times New Roman"/>
          <w:sz w:val="24"/>
          <w:szCs w:val="24"/>
        </w:rPr>
        <w:t xml:space="preserve">.jūlija noteikumiem Nr.408 </w:t>
      </w:r>
      <w:r w:rsidR="00A54901">
        <w:rPr>
          <w:rFonts w:ascii="Times New Roman" w:hAnsi="Times New Roman" w:cs="Times New Roman"/>
          <w:sz w:val="24"/>
          <w:szCs w:val="24"/>
        </w:rPr>
        <w:t>“</w:t>
      </w:r>
      <w:r w:rsidR="00A54901" w:rsidRPr="00393DF6">
        <w:rPr>
          <w:rFonts w:ascii="Times New Roman" w:hAnsi="Times New Roman" w:cs="Times New Roman"/>
          <w:sz w:val="24"/>
          <w:szCs w:val="24"/>
        </w:rPr>
        <w:t xml:space="preserve">Kārtība, kādā Eiropas Savienības fondu vadībā iesaistītās institūcijas nodrošina šo fondu ieviešanu 2021.–2027. gada </w:t>
      </w:r>
      <w:r w:rsidR="00A54901" w:rsidRPr="000959AB">
        <w:rPr>
          <w:rFonts w:ascii="Times New Roman" w:hAnsi="Times New Roman" w:cs="Times New Roman"/>
          <w:sz w:val="24"/>
          <w:szCs w:val="24"/>
        </w:rPr>
        <w:t>plānošanas periodā</w:t>
      </w:r>
      <w:r w:rsidR="00A54901">
        <w:rPr>
          <w:rFonts w:ascii="Times New Roman" w:hAnsi="Times New Roman" w:cs="Times New Roman"/>
          <w:sz w:val="24"/>
          <w:szCs w:val="24"/>
        </w:rPr>
        <w:t>”</w:t>
      </w:r>
      <w:r w:rsidR="00A54901" w:rsidRPr="000959AB">
        <w:rPr>
          <w:rFonts w:ascii="Times New Roman" w:hAnsi="Times New Roman" w:cs="Times New Roman"/>
          <w:sz w:val="24"/>
          <w:szCs w:val="24"/>
        </w:rPr>
        <w:t xml:space="preserve"> (turpmāk – MK noteikumi Nr.408) (pieejami tīmekļa vietnē </w:t>
      </w:r>
      <w:hyperlink r:id="rId11" w:history="1">
        <w:r w:rsidR="00A54901" w:rsidRPr="00476B29">
          <w:rPr>
            <w:rStyle w:val="Hyperlink"/>
            <w:rFonts w:ascii="Times New Roman" w:hAnsi="Times New Roman" w:cs="Times New Roman"/>
            <w:sz w:val="24"/>
            <w:szCs w:val="24"/>
          </w:rPr>
          <w:t>https://likumi.lv/ta/id/343827</w:t>
        </w:r>
      </w:hyperlink>
      <w:r w:rsidR="00A54901" w:rsidRPr="000959AB">
        <w:rPr>
          <w:rFonts w:ascii="Times New Roman" w:hAnsi="Times New Roman" w:cs="Times New Roman"/>
          <w:sz w:val="24"/>
          <w:szCs w:val="24"/>
        </w:rPr>
        <w:t>);</w:t>
      </w:r>
    </w:p>
    <w:p w14:paraId="0E2E48C5" w14:textId="5DD4B543"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D43BB7">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A648ED">
        <w:rPr>
          <w:rFonts w:ascii="Times New Roman" w:hAnsi="Times New Roman" w:cs="Times New Roman"/>
          <w:sz w:val="24"/>
          <w:szCs w:val="24"/>
        </w:rPr>
        <w:t>13</w:t>
      </w:r>
      <w:r w:rsidRPr="000959AB">
        <w:rPr>
          <w:rFonts w:ascii="Times New Roman" w:hAnsi="Times New Roman" w:cs="Times New Roman"/>
          <w:sz w:val="24"/>
          <w:szCs w:val="24"/>
        </w:rPr>
        <w:t>.</w:t>
      </w:r>
      <w:r w:rsidR="00A648ED">
        <w:rPr>
          <w:rFonts w:ascii="Times New Roman" w:hAnsi="Times New Roman" w:cs="Times New Roman"/>
          <w:sz w:val="24"/>
          <w:szCs w:val="24"/>
        </w:rPr>
        <w:t>augusta</w:t>
      </w:r>
      <w:r w:rsidRPr="000959AB">
        <w:rPr>
          <w:rFonts w:ascii="Times New Roman" w:hAnsi="Times New Roman" w:cs="Times New Roman"/>
          <w:sz w:val="24"/>
          <w:szCs w:val="24"/>
        </w:rPr>
        <w:t xml:space="preserve"> noteikumiem Nr.</w:t>
      </w:r>
      <w:r w:rsidR="009346CF">
        <w:rPr>
          <w:rFonts w:ascii="Times New Roman" w:hAnsi="Times New Roman" w:cs="Times New Roman"/>
          <w:sz w:val="24"/>
          <w:szCs w:val="24"/>
        </w:rPr>
        <w:t>538</w:t>
      </w:r>
      <w:r w:rsidRPr="000959AB">
        <w:rPr>
          <w:rFonts w:ascii="Times New Roman" w:hAnsi="Times New Roman" w:cs="Times New Roman"/>
          <w:sz w:val="24"/>
          <w:szCs w:val="24"/>
        </w:rPr>
        <w:t xml:space="preserve"> ”Eiropas Savienības kohēzijas politikas programmas 2021.–2027. gadam </w:t>
      </w:r>
      <w:r w:rsidR="00686E8B" w:rsidRPr="00686E8B">
        <w:rPr>
          <w:rFonts w:ascii="Times New Roman" w:hAnsi="Times New Roman" w:cs="Times New Roman"/>
          <w:sz w:val="24"/>
          <w:szCs w:val="24"/>
        </w:rPr>
        <w:t>3.1. prioritātes "Ilgtspējīga TEN-T infrastruktūra" 3.1.1. specifiskā atbalsta mērķa "Attīstīt ilgtspējīgu, pret klimatu izturīgu, inteliģentu, drošu un vairākveidu TEN-T infrastruktūru" 3.1.1.6. pasākuma "Lielo ostu publiskās infrastruktūras attīstība" īstenošanas</w:t>
      </w:r>
      <w:r w:rsidRPr="000959AB">
        <w:rPr>
          <w:rFonts w:ascii="Times New Roman" w:hAnsi="Times New Roman" w:cs="Times New Roman"/>
          <w:sz w:val="24"/>
          <w:szCs w:val="24"/>
        </w:rPr>
        <w:t xml:space="preserve"> noteikumi” (turpmāk – SAM MK noteikumi)</w:t>
      </w:r>
      <w:r w:rsidR="009B5465" w:rsidRPr="000959AB">
        <w:rPr>
          <w:rFonts w:ascii="Times New Roman" w:hAnsi="Times New Roman" w:cs="Times New Roman"/>
          <w:sz w:val="24"/>
          <w:szCs w:val="24"/>
        </w:rPr>
        <w:t xml:space="preserve"> (pieejami tīmekļa vietnē </w:t>
      </w:r>
      <w:hyperlink r:id="rId12" w:history="1">
        <w:r w:rsidR="00187361" w:rsidRPr="00CF7453">
          <w:rPr>
            <w:rStyle w:val="Hyperlink"/>
            <w:rFonts w:ascii="Times New Roman" w:hAnsi="Times New Roman" w:cs="Times New Roman"/>
            <w:sz w:val="24"/>
            <w:szCs w:val="24"/>
          </w:rPr>
          <w:t>https://likumi.lv/ta/id/354281</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7780901"/>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7780902"/>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7780903"/>
      <w:r w:rsidRPr="00447B69">
        <w:rPr>
          <w:rFonts w:ascii="Times New Roman" w:hAnsi="Times New Roman" w:cs="Times New Roman"/>
          <w:b/>
          <w:bCs/>
          <w:color w:val="auto"/>
          <w:sz w:val="28"/>
          <w:szCs w:val="28"/>
        </w:rPr>
        <w:t>Vispārīgā informācija</w:t>
      </w:r>
      <w:bookmarkEnd w:id="7"/>
      <w:bookmarkEnd w:id="8"/>
    </w:p>
    <w:p w14:paraId="5EA7E929" w14:textId="18B6CEB8"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115970">
        <w:rPr>
          <w:rFonts w:ascii="Times New Roman" w:hAnsi="Times New Roman" w:cs="Times New Roman"/>
          <w:sz w:val="24"/>
          <w:szCs w:val="24"/>
        </w:rPr>
        <w:t>ts</w:t>
      </w:r>
      <w:r w:rsidR="00C47E05">
        <w:rPr>
          <w:rFonts w:ascii="Times New Roman" w:hAnsi="Times New Roman" w:cs="Times New Roman"/>
          <w:sz w:val="24"/>
          <w:szCs w:val="24"/>
        </w:rPr>
        <w:t xml:space="preserve"> </w:t>
      </w:r>
      <w:r w:rsidR="00020C5E" w:rsidRPr="00020C5E">
        <w:rPr>
          <w:rFonts w:ascii="Times New Roman" w:hAnsi="Times New Roman" w:cs="Times New Roman"/>
          <w:sz w:val="24"/>
          <w:szCs w:val="24"/>
        </w:rPr>
        <w:t>3.1.1.6. pasākuma "Lielo ostu publiskās infrastruktūras attīstība"</w:t>
      </w:r>
      <w:r w:rsidR="00C47E05">
        <w:rPr>
          <w:rFonts w:ascii="Times New Roman" w:hAnsi="Times New Roman" w:cs="Times New Roman"/>
          <w:sz w:val="24"/>
          <w:szCs w:val="24"/>
        </w:rPr>
        <w:t xml:space="preserve">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0C55223"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1B38A0">
        <w:rPr>
          <w:rFonts w:ascii="Times New Roman" w:hAnsi="Times New Roman" w:cs="Times New Roman"/>
          <w:sz w:val="24"/>
          <w:szCs w:val="24"/>
        </w:rPr>
        <w:t>13</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D37170B" w:rsidR="00CF06D8" w:rsidRPr="00CF06D8" w:rsidRDefault="00FB692F"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divas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6EA77261"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r w:rsidR="00FB692F">
        <w:rPr>
          <w:rFonts w:ascii="Times New Roman" w:hAnsi="Times New Roman" w:cs="Times New Roman"/>
          <w:sz w:val="24"/>
          <w:szCs w:val="24"/>
        </w:rPr>
        <w:t xml:space="preserve"> un</w:t>
      </w:r>
      <w:r w:rsidRPr="00CF06D8">
        <w:rPr>
          <w:rFonts w:ascii="Times New Roman" w:hAnsi="Times New Roman" w:cs="Times New Roman"/>
          <w:sz w:val="24"/>
          <w:szCs w:val="24"/>
        </w:rPr>
        <w:t xml:space="preserve"> 1.1.B. Iesniedzējs;</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67780904"/>
      <w:r w:rsidRPr="00596D47">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67780906"/>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4CD46344"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87963">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59B2B03B"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887963">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528C36D6"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887963">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000000" w:rsidP="008E7ED8">
            <w:pPr>
              <w:spacing w:after="0" w:line="240" w:lineRule="auto"/>
              <w:rPr>
                <w:rFonts w:ascii="Times New Roman" w:eastAsia="Times New Roman" w:hAnsi="Times New Roman" w:cs="Times New Roman"/>
                <w:sz w:val="24"/>
                <w:szCs w:val="24"/>
                <w:lang w:eastAsia="lv-LV"/>
              </w:rPr>
            </w:pPr>
            <w:hyperlink r:id="rId16"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42BE1123"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87963">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6E39C03A"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887963">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lastRenderedPageBreak/>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67780907"/>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49DE2F7B"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w:t>
      </w:r>
      <w:r w:rsidR="00887963">
        <w:rPr>
          <w:rFonts w:ascii="Times New Roman" w:hAnsi="Times New Roman" w:cs="Times New Roman"/>
          <w:sz w:val="24"/>
          <w:szCs w:val="24"/>
        </w:rPr>
        <w:t xml:space="preserve"> un</w:t>
      </w:r>
      <w:r w:rsidR="00F00566" w:rsidRPr="003F7DE7">
        <w:rPr>
          <w:rFonts w:ascii="Times New Roman" w:hAnsi="Times New Roman" w:cs="Times New Roman"/>
          <w:sz w:val="24"/>
          <w:szCs w:val="24"/>
        </w:rPr>
        <w:t xml:space="preserve"> 1.1.B.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191EE5">
        <w:rPr>
          <w:rFonts w:ascii="Times New Roman" w:hAnsi="Times New Roman" w:cs="Times New Roman"/>
          <w:sz w:val="24"/>
          <w:szCs w:val="24"/>
        </w:rPr>
        <w:t>Speciālās ekonomiskās zonas pārvalde</w:t>
      </w:r>
      <w:r w:rsidR="007D46B9" w:rsidRPr="007D46B9">
        <w:rPr>
          <w:rFonts w:ascii="Times New Roman" w:hAnsi="Times New Roman" w:cs="Times New Roman"/>
          <w:sz w:val="24"/>
          <w:szCs w:val="24"/>
        </w:rPr>
        <w:t xml:space="preserve"> vai </w:t>
      </w:r>
      <w:r w:rsidR="00B87D42">
        <w:rPr>
          <w:rFonts w:ascii="Times New Roman" w:hAnsi="Times New Roman" w:cs="Times New Roman"/>
          <w:sz w:val="24"/>
          <w:szCs w:val="24"/>
        </w:rPr>
        <w:t>Brīvostas</w:t>
      </w:r>
      <w:r w:rsidR="00246FFB">
        <w:rPr>
          <w:rFonts w:ascii="Times New Roman" w:hAnsi="Times New Roman" w:cs="Times New Roman"/>
          <w:sz w:val="24"/>
          <w:szCs w:val="24"/>
        </w:rPr>
        <w:t xml:space="preserve"> pārvalde)</w:t>
      </w:r>
      <w:r w:rsidR="007D46B9">
        <w:rPr>
          <w:rFonts w:ascii="Times New Roman" w:hAnsi="Times New Roman" w:cs="Times New Roman"/>
          <w:sz w:val="24"/>
          <w:szCs w:val="24"/>
        </w:rPr>
        <w:t xml:space="preserve"> projektā plānotajām investīciju izmaksām.</w:t>
      </w:r>
    </w:p>
    <w:p w14:paraId="0F2A0E75" w14:textId="71FDD9BD"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Projekta iesniedzēja</w:t>
      </w:r>
      <w:r w:rsidR="00B8044B">
        <w:rPr>
          <w:rFonts w:ascii="Times New Roman" w:hAnsi="Times New Roman" w:cs="Times New Roman"/>
          <w:sz w:val="24"/>
          <w:szCs w:val="24"/>
        </w:rPr>
        <w:t xml:space="preserve"> projekta dar</w:t>
      </w:r>
      <w:r w:rsidR="00A969DA">
        <w:rPr>
          <w:rFonts w:ascii="Times New Roman" w:hAnsi="Times New Roman" w:cs="Times New Roman"/>
          <w:sz w:val="24"/>
          <w:szCs w:val="24"/>
        </w:rPr>
        <w:t xml:space="preserve">bībām </w:t>
      </w:r>
      <w:r w:rsidRPr="000A36E7">
        <w:rPr>
          <w:rFonts w:ascii="Times New Roman" w:hAnsi="Times New Roman" w:cs="Times New Roman"/>
          <w:sz w:val="24"/>
          <w:szCs w:val="24"/>
        </w:rPr>
        <w:t xml:space="preserve">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14:paraId="63D94B59" w14:textId="5D73EBDB"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00A969D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216EF198" w14:textId="1C40F1D0" w:rsidR="000A36E7" w:rsidRDefault="004D19CA"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sidR="00A969DA">
        <w:rPr>
          <w:rFonts w:ascii="Times New Roman" w:hAnsi="Times New Roman" w:cs="Times New Roman"/>
          <w:sz w:val="24"/>
          <w:szCs w:val="24"/>
        </w:rPr>
        <w:t xml:space="preserve"> </w:t>
      </w:r>
      <w:r w:rsidRPr="004D19CA">
        <w:rPr>
          <w:rFonts w:ascii="Times New Roman" w:hAnsi="Times New Roman" w:cs="Times New Roman"/>
          <w:sz w:val="24"/>
          <w:szCs w:val="24"/>
        </w:rPr>
        <w:t xml:space="preserve">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sidR="0067727E">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sidR="00724068">
        <w:rPr>
          <w:rFonts w:ascii="Times New Roman" w:hAnsi="Times New Roman" w:cs="Times New Roman"/>
          <w:sz w:val="24"/>
          <w:szCs w:val="24"/>
        </w:rPr>
        <w:t xml:space="preserve"> (</w:t>
      </w:r>
      <w:r w:rsidR="00724068" w:rsidRPr="00724068">
        <w:rPr>
          <w:rFonts w:ascii="Times New Roman" w:hAnsi="Times New Roman" w:cs="Times New Roman"/>
          <w:sz w:val="24"/>
          <w:szCs w:val="24"/>
        </w:rPr>
        <w:t>KOMISIJAS REGULA</w:t>
      </w:r>
      <w:r w:rsidR="00724068">
        <w:rPr>
          <w:rFonts w:ascii="Times New Roman" w:hAnsi="Times New Roman" w:cs="Times New Roman"/>
          <w:sz w:val="24"/>
          <w:szCs w:val="24"/>
        </w:rPr>
        <w:t>S</w:t>
      </w:r>
      <w:r w:rsidR="00724068" w:rsidRPr="00724068">
        <w:rPr>
          <w:rFonts w:ascii="Times New Roman" w:hAnsi="Times New Roman" w:cs="Times New Roman"/>
          <w:sz w:val="24"/>
          <w:szCs w:val="24"/>
        </w:rPr>
        <w:t xml:space="preserve"> (ES) Nr. 651/2014</w:t>
      </w:r>
      <w:r w:rsidR="00724068">
        <w:rPr>
          <w:rFonts w:ascii="Times New Roman" w:hAnsi="Times New Roman" w:cs="Times New Roman"/>
          <w:sz w:val="24"/>
          <w:szCs w:val="24"/>
        </w:rPr>
        <w:t xml:space="preserve"> 56.pants)</w:t>
      </w:r>
      <w:r w:rsidR="00846997">
        <w:rPr>
          <w:rFonts w:ascii="Times New Roman" w:hAnsi="Times New Roman" w:cs="Times New Roman"/>
          <w:sz w:val="24"/>
          <w:szCs w:val="24"/>
        </w:rPr>
        <w:t>.</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67780908"/>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lastRenderedPageBreak/>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67780909"/>
      <w:r w:rsidRPr="00596D47">
        <w:rPr>
          <w:rFonts w:ascii="Times New Roman" w:hAnsi="Times New Roman" w:cs="Times New Roman"/>
          <w:b/>
          <w:bCs/>
          <w:color w:val="auto"/>
          <w:sz w:val="28"/>
          <w:szCs w:val="28"/>
        </w:rPr>
        <w:t>Investīciju naudas plūsma ar projektu</w:t>
      </w:r>
      <w:bookmarkEnd w:id="16"/>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lastRenderedPageBreak/>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67780910"/>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3363756A" w14:textId="121BE2A2" w:rsidR="004201D0" w:rsidRDefault="00433050"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w:t>
      </w:r>
      <w:r w:rsidR="003D4DB4">
        <w:rPr>
          <w:rFonts w:ascii="Times New Roman" w:hAnsi="Times New Roman" w:cs="Times New Roman"/>
          <w:sz w:val="24"/>
          <w:szCs w:val="24"/>
        </w:rPr>
        <w:t>3</w:t>
      </w:r>
      <w:r w:rsidR="00796626">
        <w:rPr>
          <w:rFonts w:ascii="Times New Roman" w:hAnsi="Times New Roman" w:cs="Times New Roman"/>
          <w:sz w:val="24"/>
          <w:szCs w:val="24"/>
        </w:rPr>
        <w:t>. P</w:t>
      </w:r>
      <w:r w:rsidR="004201D0">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sidR="004201D0">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46D092CF"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433050">
        <w:rPr>
          <w:rFonts w:ascii="Times New Roman" w:hAnsi="Times New Roman" w:cs="Times New Roman"/>
          <w:sz w:val="24"/>
          <w:szCs w:val="24"/>
        </w:rPr>
        <w:t>u</w:t>
      </w:r>
      <w:r w:rsidRPr="00C1129F">
        <w:rPr>
          <w:rFonts w:ascii="Times New Roman" w:hAnsi="Times New Roman" w:cs="Times New Roman"/>
          <w:sz w:val="24"/>
          <w:szCs w:val="24"/>
        </w:rPr>
        <w:t xml:space="preserve"> “1.</w:t>
      </w:r>
      <w:r w:rsidR="00042AD6">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433050">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6EF3DFA6"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907712">
        <w:rPr>
          <w:rFonts w:ascii="Times New Roman" w:hAnsi="Times New Roman" w:cs="Times New Roman"/>
          <w:sz w:val="24"/>
          <w:szCs w:val="24"/>
        </w:rPr>
        <w:t>5</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67780911"/>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commentRangeStart w:id="23"/>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commentRangeEnd w:id="23"/>
      <w:r w:rsidR="005B5B28">
        <w:rPr>
          <w:rStyle w:val="CommentReference"/>
        </w:rPr>
        <w:commentReference w:id="23"/>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w:t>
      </w:r>
      <w:r>
        <w:rPr>
          <w:rFonts w:ascii="Times New Roman" w:hAnsi="Times New Roman" w:cs="Times New Roman"/>
          <w:sz w:val="24"/>
          <w:szCs w:val="24"/>
        </w:rPr>
        <w:lastRenderedPageBreak/>
        <w:t xml:space="preserve">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9EBFF61"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4" w:name="_Hlk95923640"/>
      <w:r w:rsidR="006F293A" w:rsidRPr="00F2781D">
        <w:rPr>
          <w:rFonts w:ascii="Times New Roman" w:hAnsi="Times New Roman" w:cs="Times New Roman"/>
          <w:b/>
          <w:bCs/>
          <w:sz w:val="24"/>
          <w:szCs w:val="24"/>
        </w:rPr>
        <w:t xml:space="preserve">projekta investīciju ieviešanas periodā </w:t>
      </w:r>
      <w:bookmarkEnd w:id="24"/>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5"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6" w:name="_Hlk96415656"/>
      <w:r w:rsidR="009557A6" w:rsidRPr="009504F0">
        <w:rPr>
          <w:rFonts w:ascii="Times New Roman" w:hAnsi="Times New Roman" w:cs="Times New Roman"/>
          <w:sz w:val="24"/>
          <w:szCs w:val="24"/>
        </w:rPr>
        <w:t xml:space="preserve">makroekonomiskajiem pieņēmumiem un prognozēm </w:t>
      </w:r>
      <w:bookmarkEnd w:id="26"/>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4"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14:paraId="0DBA7CBE" w14:textId="77777777" w:rsidR="002068C2" w:rsidRPr="002068C2" w:rsidRDefault="002068C2"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7" w:name="_Toc167780912"/>
      <w:r w:rsidRPr="00596D47">
        <w:rPr>
          <w:rFonts w:ascii="Times New Roman" w:hAnsi="Times New Roman" w:cs="Times New Roman"/>
          <w:b/>
          <w:bCs/>
          <w:color w:val="auto"/>
          <w:sz w:val="28"/>
          <w:szCs w:val="28"/>
        </w:rPr>
        <w:t>Finanšu analīze</w:t>
      </w:r>
      <w:bookmarkEnd w:id="27"/>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8"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8"/>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5"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9" w:name="_Toc167780914"/>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9"/>
    </w:p>
    <w:p w14:paraId="70C32497" w14:textId="13EAE9AA" w:rsidR="00C73ABA" w:rsidRDefault="00D84C82" w:rsidP="00D84C82">
      <w:pPr>
        <w:jc w:val="both"/>
        <w:rPr>
          <w:rFonts w:ascii="Times New Roman" w:hAnsi="Times New Roman" w:cs="Times New Roman"/>
          <w:sz w:val="24"/>
          <w:szCs w:val="24"/>
        </w:rPr>
      </w:pPr>
      <w:bookmarkStart w:id="30"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0"/>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34F26FD7"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līdzfinansējumu katram sadarbības partnerim proporcionāli sākotnēji aprēķinātajam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līdzfinansējumam</w:t>
      </w:r>
      <w:r w:rsidR="00EF7BE3">
        <w:rPr>
          <w:rFonts w:ascii="Times New Roman" w:hAnsi="Times New Roman" w:cs="Times New Roman"/>
          <w:sz w:val="24"/>
          <w:szCs w:val="24"/>
        </w:rPr>
        <w:t>.</w:t>
      </w:r>
    </w:p>
    <w:p w14:paraId="2286928C" w14:textId="466D88DD"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lastRenderedPageBreak/>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67780915"/>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1"/>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2" w:name="_Toc167780916"/>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2"/>
    </w:p>
    <w:p w14:paraId="155155FA" w14:textId="26B0682C" w:rsidR="00B50372" w:rsidRDefault="00B50372" w:rsidP="00B50372">
      <w:pPr>
        <w:jc w:val="both"/>
        <w:rPr>
          <w:rFonts w:ascii="Times New Roman" w:hAnsi="Times New Roman" w:cs="Times New Roman"/>
          <w:sz w:val="24"/>
          <w:szCs w:val="24"/>
        </w:rPr>
      </w:pPr>
      <w:bookmarkStart w:id="33"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3"/>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6"/>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3E5443">
        <w:rPr>
          <w:rFonts w:ascii="Times New Roman" w:eastAsia="Calibri" w:hAnsi="Times New Roman" w:cs="Times New Roman"/>
          <w:color w:val="0000FF"/>
          <w:sz w:val="24"/>
          <w:szCs w:val="24"/>
        </w:rPr>
        <w:t>euro</w:t>
      </w:r>
      <w:proofErr w:type="spellEnd"/>
      <w:r w:rsidRPr="003E5443">
        <w:rPr>
          <w:rFonts w:ascii="Times New Roman" w:eastAsia="Calibri" w:hAnsi="Times New Roman"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7"/>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38E2E4E0" w14:textId="77777777" w:rsidR="00DF5219" w:rsidRDefault="00DF5219" w:rsidP="00B50372">
      <w:pPr>
        <w:jc w:val="both"/>
        <w:rPr>
          <w:rFonts w:ascii="Times New Roman" w:eastAsia="Calibri" w:hAnsi="Times New Roman" w:cs="Times New Roman"/>
          <w:b/>
          <w:bCs/>
          <w:color w:val="0000FF"/>
          <w:sz w:val="24"/>
          <w:szCs w:val="24"/>
        </w:rPr>
      </w:pPr>
    </w:p>
    <w:p w14:paraId="2608214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lastRenderedPageBreak/>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8"/>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6AB0D0BF" w14:textId="77777777" w:rsidR="002938DC" w:rsidRDefault="002938DC" w:rsidP="00B50372">
      <w:pPr>
        <w:jc w:val="right"/>
        <w:rPr>
          <w:rFonts w:ascii="Times New Roman" w:eastAsia="Calibri" w:hAnsi="Times New Roman" w:cs="Times New Roman"/>
          <w:color w:val="0000FF"/>
          <w:sz w:val="24"/>
          <w:szCs w:val="24"/>
        </w:rPr>
      </w:pPr>
    </w:p>
    <w:p w14:paraId="244B3086" w14:textId="77777777" w:rsidR="002938DC" w:rsidRDefault="002938DC" w:rsidP="00B50372">
      <w:pPr>
        <w:jc w:val="right"/>
        <w:rPr>
          <w:rFonts w:ascii="Times New Roman" w:eastAsia="Calibri" w:hAnsi="Times New Roman" w:cs="Times New Roman"/>
          <w:color w:val="0000FF"/>
          <w:sz w:val="24"/>
          <w:szCs w:val="24"/>
        </w:rPr>
      </w:pPr>
    </w:p>
    <w:p w14:paraId="25D38051" w14:textId="77777777" w:rsidR="002938DC" w:rsidRDefault="002938DC" w:rsidP="00B50372">
      <w:pPr>
        <w:jc w:val="right"/>
        <w:rPr>
          <w:rFonts w:ascii="Times New Roman" w:eastAsia="Calibri" w:hAnsi="Times New Roman" w:cs="Times New Roman"/>
          <w:color w:val="0000FF"/>
          <w:sz w:val="24"/>
          <w:szCs w:val="24"/>
        </w:rPr>
      </w:pPr>
    </w:p>
    <w:p w14:paraId="7E0C909E" w14:textId="77777777" w:rsidR="002938DC" w:rsidRDefault="002938DC" w:rsidP="00B50372">
      <w:pPr>
        <w:jc w:val="right"/>
        <w:rPr>
          <w:rFonts w:ascii="Times New Roman" w:eastAsia="Calibri" w:hAnsi="Times New Roman" w:cs="Times New Roman"/>
          <w:color w:val="0000FF"/>
          <w:sz w:val="24"/>
          <w:szCs w:val="24"/>
        </w:rPr>
      </w:pPr>
    </w:p>
    <w:p w14:paraId="16E4939C" w14:textId="77777777" w:rsidR="002938DC" w:rsidRDefault="002938DC" w:rsidP="00B50372">
      <w:pPr>
        <w:jc w:val="right"/>
        <w:rPr>
          <w:rFonts w:ascii="Times New Roman" w:eastAsia="Calibri" w:hAnsi="Times New Roman" w:cs="Times New Roman"/>
          <w:color w:val="0000FF"/>
          <w:sz w:val="24"/>
          <w:szCs w:val="24"/>
        </w:rPr>
      </w:pPr>
    </w:p>
    <w:p w14:paraId="3A9701CB" w14:textId="77777777" w:rsidR="002938DC" w:rsidRDefault="002938DC" w:rsidP="00B50372">
      <w:pPr>
        <w:jc w:val="right"/>
        <w:rPr>
          <w:rFonts w:ascii="Times New Roman" w:eastAsia="Calibri" w:hAnsi="Times New Roman" w:cs="Times New Roman"/>
          <w:color w:val="0000FF"/>
          <w:sz w:val="24"/>
          <w:szCs w:val="24"/>
        </w:rPr>
      </w:pPr>
    </w:p>
    <w:p w14:paraId="2226BD80" w14:textId="77777777" w:rsidR="002938DC" w:rsidRDefault="002938DC" w:rsidP="00B50372">
      <w:pPr>
        <w:jc w:val="right"/>
        <w:rPr>
          <w:rFonts w:ascii="Times New Roman" w:eastAsia="Calibri" w:hAnsi="Times New Roman" w:cs="Times New Roman"/>
          <w:color w:val="0000FF"/>
          <w:sz w:val="24"/>
          <w:szCs w:val="24"/>
        </w:rPr>
      </w:pPr>
    </w:p>
    <w:p w14:paraId="22AC961E" w14:textId="77777777" w:rsidR="002938DC" w:rsidRDefault="002938DC" w:rsidP="00B50372">
      <w:pPr>
        <w:jc w:val="right"/>
        <w:rPr>
          <w:rFonts w:ascii="Times New Roman" w:eastAsia="Calibri" w:hAnsi="Times New Roman" w:cs="Times New Roman"/>
          <w:color w:val="0000FF"/>
          <w:sz w:val="24"/>
          <w:szCs w:val="24"/>
        </w:rPr>
      </w:pPr>
    </w:p>
    <w:p w14:paraId="0ECC249B" w14:textId="77777777" w:rsidR="002938DC" w:rsidRDefault="002938DC" w:rsidP="00B50372">
      <w:pPr>
        <w:jc w:val="right"/>
        <w:rPr>
          <w:rFonts w:ascii="Times New Roman" w:eastAsia="Calibri" w:hAnsi="Times New Roman" w:cs="Times New Roman"/>
          <w:color w:val="0000FF"/>
          <w:sz w:val="24"/>
          <w:szCs w:val="24"/>
        </w:rPr>
      </w:pPr>
    </w:p>
    <w:p w14:paraId="7FE00F8E"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lastRenderedPageBreak/>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9"/>
                    <a:stretch>
                      <a:fillRect/>
                    </a:stretch>
                  </pic:blipFill>
                  <pic:spPr>
                    <a:xfrm>
                      <a:off x="0" y="0"/>
                      <a:ext cx="6119495" cy="3002915"/>
                    </a:xfrm>
                    <a:prstGeom prst="rect">
                      <a:avLst/>
                    </a:prstGeom>
                  </pic:spPr>
                </pic:pic>
              </a:graphicData>
            </a:graphic>
          </wp:inline>
        </w:drawing>
      </w:r>
    </w:p>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4" w:name="_Toc167780917"/>
      <w:r w:rsidRPr="00596D47">
        <w:rPr>
          <w:rFonts w:ascii="Times New Roman" w:hAnsi="Times New Roman" w:cs="Times New Roman"/>
          <w:b/>
          <w:bCs/>
          <w:color w:val="auto"/>
          <w:sz w:val="28"/>
          <w:szCs w:val="28"/>
        </w:rPr>
        <w:t>Kontroles lapa</w:t>
      </w:r>
      <w:bookmarkEnd w:id="34"/>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5" w:name="_Hlk96433301"/>
      <w:r w:rsidRPr="00314781">
        <w:rPr>
          <w:rFonts w:ascii="Times New Roman" w:hAnsi="Times New Roman" w:cs="Times New Roman"/>
          <w:sz w:val="24"/>
        </w:rPr>
        <w:t xml:space="preserve">“13. Kontroles lapa”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39D4A7A1"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 xml:space="preserve">Izklājlapa “13. Kontroles lapa” ir sadalīta </w:t>
      </w:r>
      <w:r w:rsidR="00930F08">
        <w:rPr>
          <w:rFonts w:ascii="Times New Roman" w:hAnsi="Times New Roman" w:cs="Times New Roman"/>
          <w:sz w:val="24"/>
        </w:rPr>
        <w:t>div</w:t>
      </w:r>
      <w:r w:rsidRPr="00314781">
        <w:rPr>
          <w:rFonts w:ascii="Times New Roman" w:hAnsi="Times New Roman" w:cs="Times New Roman"/>
          <w:sz w:val="24"/>
        </w:rPr>
        <w:t>ās daļās: “</w:t>
      </w:r>
      <w:r w:rsidR="00AC146F">
        <w:rPr>
          <w:rFonts w:ascii="Times New Roman" w:hAnsi="Times New Roman" w:cs="Times New Roman"/>
          <w:sz w:val="24"/>
        </w:rPr>
        <w:t>Neto ienākumu kontrole</w:t>
      </w:r>
      <w:r w:rsidRPr="00314781">
        <w:rPr>
          <w:rFonts w:ascii="Times New Roman" w:hAnsi="Times New Roman" w:cs="Times New Roman"/>
          <w:sz w:val="24"/>
        </w:rPr>
        <w:t>” un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6" w:name="_Toc167780918"/>
      <w:r w:rsidRPr="00596D47">
        <w:rPr>
          <w:rFonts w:ascii="Times New Roman" w:hAnsi="Times New Roman" w:cs="Times New Roman"/>
          <w:b/>
          <w:bCs/>
          <w:color w:val="auto"/>
          <w:sz w:val="28"/>
          <w:szCs w:val="28"/>
        </w:rPr>
        <w:t>Pieņēmumi</w:t>
      </w:r>
      <w:bookmarkEnd w:id="36"/>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30"/>
      <w:pgSz w:w="11906" w:h="16838"/>
      <w:pgMar w:top="1134" w:right="851"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Jānis Pērkons" w:date="2024-08-20T11:00:00Z" w:initials="JP">
    <w:p w14:paraId="44746D56" w14:textId="77777777" w:rsidR="005B5B28" w:rsidRDefault="005B5B28" w:rsidP="005B5B28">
      <w:pPr>
        <w:pStyle w:val="CommentText"/>
      </w:pPr>
      <w:r>
        <w:rPr>
          <w:rStyle w:val="CommentReference"/>
        </w:rPr>
        <w:annotationRef/>
      </w:r>
      <w:r>
        <w:t>Lūgums AI papildināt šo sadaļu ar šajā pasākumā iespējamiem sociālekonomiskajiem ieguvumiem, norādot to aprēķinu un metodoloģiju, kā arī datu avotus to aprēķinam.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746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1422F6" w16cex:dateUtc="2024-08-20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746D56" w16cid:durableId="6E1422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28198" w14:textId="77777777" w:rsidR="007E7951" w:rsidRDefault="007E7951" w:rsidP="00185ABD">
      <w:pPr>
        <w:spacing w:after="0" w:line="240" w:lineRule="auto"/>
      </w:pPr>
      <w:r>
        <w:separator/>
      </w:r>
    </w:p>
  </w:endnote>
  <w:endnote w:type="continuationSeparator" w:id="0">
    <w:p w14:paraId="008CF427" w14:textId="77777777" w:rsidR="007E7951" w:rsidRDefault="007E7951" w:rsidP="00185ABD">
      <w:pPr>
        <w:spacing w:after="0" w:line="240" w:lineRule="auto"/>
      </w:pPr>
      <w:r>
        <w:continuationSeparator/>
      </w:r>
    </w:p>
  </w:endnote>
  <w:endnote w:type="continuationNotice" w:id="1">
    <w:p w14:paraId="398DB58E" w14:textId="77777777" w:rsidR="007E7951" w:rsidRDefault="007E7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4A00D" w14:textId="77777777" w:rsidR="007E7951" w:rsidRDefault="007E7951" w:rsidP="00185ABD">
      <w:pPr>
        <w:spacing w:after="0" w:line="240" w:lineRule="auto"/>
      </w:pPr>
      <w:r>
        <w:separator/>
      </w:r>
    </w:p>
  </w:footnote>
  <w:footnote w:type="continuationSeparator" w:id="0">
    <w:p w14:paraId="493A8BD1" w14:textId="77777777" w:rsidR="007E7951" w:rsidRDefault="007E7951" w:rsidP="00185ABD">
      <w:pPr>
        <w:spacing w:after="0" w:line="240" w:lineRule="auto"/>
      </w:pPr>
      <w:r>
        <w:continuationSeparator/>
      </w:r>
    </w:p>
  </w:footnote>
  <w:footnote w:type="continuationNotice" w:id="1">
    <w:p w14:paraId="736AA72D" w14:textId="77777777" w:rsidR="007E7951" w:rsidRDefault="007E79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ānis Pērkons">
    <w15:presenceInfo w15:providerId="AD" w15:userId="S::janis.perkons@cfla.gov.lv::22863881-756f-49c2-9928-417501234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0C5E"/>
    <w:rsid w:val="000251DB"/>
    <w:rsid w:val="00031792"/>
    <w:rsid w:val="00037A55"/>
    <w:rsid w:val="00042AD6"/>
    <w:rsid w:val="000651D3"/>
    <w:rsid w:val="000656C3"/>
    <w:rsid w:val="00072D18"/>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E23A3"/>
    <w:rsid w:val="000E5C0C"/>
    <w:rsid w:val="000F0356"/>
    <w:rsid w:val="000F064A"/>
    <w:rsid w:val="000F5D15"/>
    <w:rsid w:val="00103A1B"/>
    <w:rsid w:val="00106EAC"/>
    <w:rsid w:val="00115970"/>
    <w:rsid w:val="00115EE6"/>
    <w:rsid w:val="001178AF"/>
    <w:rsid w:val="001302F4"/>
    <w:rsid w:val="00130607"/>
    <w:rsid w:val="0014566A"/>
    <w:rsid w:val="00180DE9"/>
    <w:rsid w:val="00181293"/>
    <w:rsid w:val="001812D6"/>
    <w:rsid w:val="00183B8C"/>
    <w:rsid w:val="00185ABD"/>
    <w:rsid w:val="00187361"/>
    <w:rsid w:val="00187FF4"/>
    <w:rsid w:val="00191EE5"/>
    <w:rsid w:val="00197B08"/>
    <w:rsid w:val="001B14D1"/>
    <w:rsid w:val="001B38A0"/>
    <w:rsid w:val="001B500B"/>
    <w:rsid w:val="001C0039"/>
    <w:rsid w:val="001D0E86"/>
    <w:rsid w:val="001D2493"/>
    <w:rsid w:val="001D7536"/>
    <w:rsid w:val="001E0E3D"/>
    <w:rsid w:val="001E5E78"/>
    <w:rsid w:val="001F0EF3"/>
    <w:rsid w:val="001F20CC"/>
    <w:rsid w:val="002068C2"/>
    <w:rsid w:val="00221B5B"/>
    <w:rsid w:val="0022408E"/>
    <w:rsid w:val="00232147"/>
    <w:rsid w:val="0024051E"/>
    <w:rsid w:val="00241D65"/>
    <w:rsid w:val="00245582"/>
    <w:rsid w:val="00246FFB"/>
    <w:rsid w:val="0026260B"/>
    <w:rsid w:val="00266FC1"/>
    <w:rsid w:val="002727D7"/>
    <w:rsid w:val="00276FAB"/>
    <w:rsid w:val="002938DC"/>
    <w:rsid w:val="002A69FE"/>
    <w:rsid w:val="002A78FE"/>
    <w:rsid w:val="002B625D"/>
    <w:rsid w:val="002C1141"/>
    <w:rsid w:val="002C2E53"/>
    <w:rsid w:val="002C4446"/>
    <w:rsid w:val="002C5DBF"/>
    <w:rsid w:val="002D31BE"/>
    <w:rsid w:val="002D5207"/>
    <w:rsid w:val="002E3D3E"/>
    <w:rsid w:val="002F6607"/>
    <w:rsid w:val="00303C8A"/>
    <w:rsid w:val="00306D78"/>
    <w:rsid w:val="003110C3"/>
    <w:rsid w:val="00311966"/>
    <w:rsid w:val="00314781"/>
    <w:rsid w:val="00330C1A"/>
    <w:rsid w:val="00334B31"/>
    <w:rsid w:val="00354092"/>
    <w:rsid w:val="00361FAC"/>
    <w:rsid w:val="003647A3"/>
    <w:rsid w:val="003658DF"/>
    <w:rsid w:val="00372348"/>
    <w:rsid w:val="00384276"/>
    <w:rsid w:val="003851A4"/>
    <w:rsid w:val="003A1E5C"/>
    <w:rsid w:val="003D1F6A"/>
    <w:rsid w:val="003D4DB4"/>
    <w:rsid w:val="003E0E15"/>
    <w:rsid w:val="003F5191"/>
    <w:rsid w:val="003F65C4"/>
    <w:rsid w:val="003F7DE7"/>
    <w:rsid w:val="004077D7"/>
    <w:rsid w:val="00411470"/>
    <w:rsid w:val="00413C2E"/>
    <w:rsid w:val="004201D0"/>
    <w:rsid w:val="00422CDD"/>
    <w:rsid w:val="00432136"/>
    <w:rsid w:val="00433050"/>
    <w:rsid w:val="00433B0E"/>
    <w:rsid w:val="00434A93"/>
    <w:rsid w:val="00436503"/>
    <w:rsid w:val="00447B69"/>
    <w:rsid w:val="00471188"/>
    <w:rsid w:val="0047138D"/>
    <w:rsid w:val="00476670"/>
    <w:rsid w:val="00476A7A"/>
    <w:rsid w:val="004818C0"/>
    <w:rsid w:val="004914B1"/>
    <w:rsid w:val="004A3F66"/>
    <w:rsid w:val="004A6057"/>
    <w:rsid w:val="004A6E5F"/>
    <w:rsid w:val="004B00CB"/>
    <w:rsid w:val="004B3472"/>
    <w:rsid w:val="004C4147"/>
    <w:rsid w:val="004D19CA"/>
    <w:rsid w:val="004D3A72"/>
    <w:rsid w:val="004D60EB"/>
    <w:rsid w:val="004F6137"/>
    <w:rsid w:val="00513CEE"/>
    <w:rsid w:val="00514729"/>
    <w:rsid w:val="00530ADB"/>
    <w:rsid w:val="00533A99"/>
    <w:rsid w:val="005506AE"/>
    <w:rsid w:val="00561DFA"/>
    <w:rsid w:val="0057041A"/>
    <w:rsid w:val="00570B6A"/>
    <w:rsid w:val="00574CB4"/>
    <w:rsid w:val="00576FB0"/>
    <w:rsid w:val="00581AFC"/>
    <w:rsid w:val="00582CA9"/>
    <w:rsid w:val="00591D84"/>
    <w:rsid w:val="00596D47"/>
    <w:rsid w:val="005A041E"/>
    <w:rsid w:val="005A0A9E"/>
    <w:rsid w:val="005B5B28"/>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5283A"/>
    <w:rsid w:val="006572D1"/>
    <w:rsid w:val="006620F6"/>
    <w:rsid w:val="006761DB"/>
    <w:rsid w:val="006768F1"/>
    <w:rsid w:val="0067727E"/>
    <w:rsid w:val="00680C1F"/>
    <w:rsid w:val="00685C4A"/>
    <w:rsid w:val="00686E8B"/>
    <w:rsid w:val="00686F1A"/>
    <w:rsid w:val="0068792F"/>
    <w:rsid w:val="006908EA"/>
    <w:rsid w:val="006A3241"/>
    <w:rsid w:val="006A65B2"/>
    <w:rsid w:val="006B48B3"/>
    <w:rsid w:val="006B6F4B"/>
    <w:rsid w:val="006C35F5"/>
    <w:rsid w:val="006C7056"/>
    <w:rsid w:val="006D0884"/>
    <w:rsid w:val="006D147B"/>
    <w:rsid w:val="006F293A"/>
    <w:rsid w:val="006F4B3D"/>
    <w:rsid w:val="006F4F65"/>
    <w:rsid w:val="00712756"/>
    <w:rsid w:val="00712A03"/>
    <w:rsid w:val="00724068"/>
    <w:rsid w:val="00735C02"/>
    <w:rsid w:val="007528B4"/>
    <w:rsid w:val="007557AE"/>
    <w:rsid w:val="00760A33"/>
    <w:rsid w:val="00764C79"/>
    <w:rsid w:val="0076658E"/>
    <w:rsid w:val="007705DB"/>
    <w:rsid w:val="00790623"/>
    <w:rsid w:val="007959A3"/>
    <w:rsid w:val="00796626"/>
    <w:rsid w:val="007A3C44"/>
    <w:rsid w:val="007C06C8"/>
    <w:rsid w:val="007D46B9"/>
    <w:rsid w:val="007D5496"/>
    <w:rsid w:val="007D7C96"/>
    <w:rsid w:val="007E7951"/>
    <w:rsid w:val="007F3A4F"/>
    <w:rsid w:val="0080155B"/>
    <w:rsid w:val="00804143"/>
    <w:rsid w:val="008055C0"/>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83451"/>
    <w:rsid w:val="00887963"/>
    <w:rsid w:val="008A1959"/>
    <w:rsid w:val="008A26AB"/>
    <w:rsid w:val="008A70E3"/>
    <w:rsid w:val="008B1802"/>
    <w:rsid w:val="008B55BF"/>
    <w:rsid w:val="008B5DB3"/>
    <w:rsid w:val="008C3B1D"/>
    <w:rsid w:val="008C4545"/>
    <w:rsid w:val="008C5819"/>
    <w:rsid w:val="008D00A6"/>
    <w:rsid w:val="008D2E7D"/>
    <w:rsid w:val="008E0762"/>
    <w:rsid w:val="008E7ED8"/>
    <w:rsid w:val="00904558"/>
    <w:rsid w:val="00907712"/>
    <w:rsid w:val="00925AFC"/>
    <w:rsid w:val="00930F08"/>
    <w:rsid w:val="009346CF"/>
    <w:rsid w:val="0094491C"/>
    <w:rsid w:val="009504F0"/>
    <w:rsid w:val="0095198C"/>
    <w:rsid w:val="009557A6"/>
    <w:rsid w:val="00956326"/>
    <w:rsid w:val="00957348"/>
    <w:rsid w:val="009601A3"/>
    <w:rsid w:val="00961561"/>
    <w:rsid w:val="009650BA"/>
    <w:rsid w:val="00967ADA"/>
    <w:rsid w:val="009706A3"/>
    <w:rsid w:val="009736D3"/>
    <w:rsid w:val="00976A3E"/>
    <w:rsid w:val="00987670"/>
    <w:rsid w:val="009A5683"/>
    <w:rsid w:val="009B297A"/>
    <w:rsid w:val="009B5465"/>
    <w:rsid w:val="009C33C7"/>
    <w:rsid w:val="009C5E1F"/>
    <w:rsid w:val="009D58AC"/>
    <w:rsid w:val="009E7D1D"/>
    <w:rsid w:val="00A0367A"/>
    <w:rsid w:val="00A057F5"/>
    <w:rsid w:val="00A10BE3"/>
    <w:rsid w:val="00A13555"/>
    <w:rsid w:val="00A13F49"/>
    <w:rsid w:val="00A16B82"/>
    <w:rsid w:val="00A23B21"/>
    <w:rsid w:val="00A245D5"/>
    <w:rsid w:val="00A35D5B"/>
    <w:rsid w:val="00A44EF6"/>
    <w:rsid w:val="00A4502C"/>
    <w:rsid w:val="00A46785"/>
    <w:rsid w:val="00A53272"/>
    <w:rsid w:val="00A54901"/>
    <w:rsid w:val="00A558CD"/>
    <w:rsid w:val="00A60D67"/>
    <w:rsid w:val="00A626DE"/>
    <w:rsid w:val="00A6384B"/>
    <w:rsid w:val="00A648ED"/>
    <w:rsid w:val="00A650D0"/>
    <w:rsid w:val="00A70758"/>
    <w:rsid w:val="00A75B00"/>
    <w:rsid w:val="00A90C57"/>
    <w:rsid w:val="00A92DB5"/>
    <w:rsid w:val="00A969DA"/>
    <w:rsid w:val="00AA0FE8"/>
    <w:rsid w:val="00AA1614"/>
    <w:rsid w:val="00AA6DCC"/>
    <w:rsid w:val="00AB2D4F"/>
    <w:rsid w:val="00AB7375"/>
    <w:rsid w:val="00AC146F"/>
    <w:rsid w:val="00AC42BB"/>
    <w:rsid w:val="00AD1BBB"/>
    <w:rsid w:val="00AE5549"/>
    <w:rsid w:val="00AF3989"/>
    <w:rsid w:val="00AF3B55"/>
    <w:rsid w:val="00AF4465"/>
    <w:rsid w:val="00B01771"/>
    <w:rsid w:val="00B02E44"/>
    <w:rsid w:val="00B25938"/>
    <w:rsid w:val="00B25985"/>
    <w:rsid w:val="00B27FAB"/>
    <w:rsid w:val="00B326E7"/>
    <w:rsid w:val="00B400E0"/>
    <w:rsid w:val="00B4252C"/>
    <w:rsid w:val="00B4356F"/>
    <w:rsid w:val="00B47A5F"/>
    <w:rsid w:val="00B50372"/>
    <w:rsid w:val="00B50C41"/>
    <w:rsid w:val="00B6764A"/>
    <w:rsid w:val="00B71C94"/>
    <w:rsid w:val="00B8044B"/>
    <w:rsid w:val="00B87D42"/>
    <w:rsid w:val="00B9486A"/>
    <w:rsid w:val="00B95F5A"/>
    <w:rsid w:val="00BA6FB9"/>
    <w:rsid w:val="00BB0872"/>
    <w:rsid w:val="00BB2E45"/>
    <w:rsid w:val="00BB319D"/>
    <w:rsid w:val="00BC7971"/>
    <w:rsid w:val="00BD03CD"/>
    <w:rsid w:val="00BF1140"/>
    <w:rsid w:val="00C1129F"/>
    <w:rsid w:val="00C11CD2"/>
    <w:rsid w:val="00C16C58"/>
    <w:rsid w:val="00C42903"/>
    <w:rsid w:val="00C44095"/>
    <w:rsid w:val="00C47CF8"/>
    <w:rsid w:val="00C47E05"/>
    <w:rsid w:val="00C5372D"/>
    <w:rsid w:val="00C63582"/>
    <w:rsid w:val="00C73A3D"/>
    <w:rsid w:val="00C73ABA"/>
    <w:rsid w:val="00C742A4"/>
    <w:rsid w:val="00C9745E"/>
    <w:rsid w:val="00CB0150"/>
    <w:rsid w:val="00CB25AA"/>
    <w:rsid w:val="00CC0143"/>
    <w:rsid w:val="00CC0C49"/>
    <w:rsid w:val="00CC0F1F"/>
    <w:rsid w:val="00CE00D0"/>
    <w:rsid w:val="00CE153F"/>
    <w:rsid w:val="00CE6ABC"/>
    <w:rsid w:val="00CF06D8"/>
    <w:rsid w:val="00CF64F4"/>
    <w:rsid w:val="00D04040"/>
    <w:rsid w:val="00D04C6F"/>
    <w:rsid w:val="00D07ED2"/>
    <w:rsid w:val="00D15786"/>
    <w:rsid w:val="00D16823"/>
    <w:rsid w:val="00D2613E"/>
    <w:rsid w:val="00D33F30"/>
    <w:rsid w:val="00D348C5"/>
    <w:rsid w:val="00D34C87"/>
    <w:rsid w:val="00D36D3D"/>
    <w:rsid w:val="00D43BB7"/>
    <w:rsid w:val="00D46466"/>
    <w:rsid w:val="00D52E96"/>
    <w:rsid w:val="00D60307"/>
    <w:rsid w:val="00D72A98"/>
    <w:rsid w:val="00D80145"/>
    <w:rsid w:val="00D84C82"/>
    <w:rsid w:val="00D929FD"/>
    <w:rsid w:val="00DA3FAA"/>
    <w:rsid w:val="00DA6ED6"/>
    <w:rsid w:val="00DB1761"/>
    <w:rsid w:val="00DC3806"/>
    <w:rsid w:val="00DD2BF0"/>
    <w:rsid w:val="00DD2CAB"/>
    <w:rsid w:val="00DE4327"/>
    <w:rsid w:val="00DF5219"/>
    <w:rsid w:val="00E16E23"/>
    <w:rsid w:val="00E1777D"/>
    <w:rsid w:val="00E2476B"/>
    <w:rsid w:val="00E36D0F"/>
    <w:rsid w:val="00E574E4"/>
    <w:rsid w:val="00E579CE"/>
    <w:rsid w:val="00E60F3C"/>
    <w:rsid w:val="00E6581F"/>
    <w:rsid w:val="00E80235"/>
    <w:rsid w:val="00E8243F"/>
    <w:rsid w:val="00E8306E"/>
    <w:rsid w:val="00E918DA"/>
    <w:rsid w:val="00EB1C4F"/>
    <w:rsid w:val="00EC01EE"/>
    <w:rsid w:val="00EC5B49"/>
    <w:rsid w:val="00ED00CC"/>
    <w:rsid w:val="00EF7BE3"/>
    <w:rsid w:val="00F00566"/>
    <w:rsid w:val="00F01F25"/>
    <w:rsid w:val="00F14849"/>
    <w:rsid w:val="00F2781D"/>
    <w:rsid w:val="00F351B6"/>
    <w:rsid w:val="00F36F51"/>
    <w:rsid w:val="00F404C1"/>
    <w:rsid w:val="00F42274"/>
    <w:rsid w:val="00F80A79"/>
    <w:rsid w:val="00F85701"/>
    <w:rsid w:val="00F9743D"/>
    <w:rsid w:val="00FB11D5"/>
    <w:rsid w:val="00FB4F61"/>
    <w:rsid w:val="00FB692F"/>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5B5B28"/>
    <w:rPr>
      <w:sz w:val="16"/>
      <w:szCs w:val="16"/>
    </w:rPr>
  </w:style>
  <w:style w:type="paragraph" w:styleId="CommentText">
    <w:name w:val="annotation text"/>
    <w:basedOn w:val="Normal"/>
    <w:link w:val="CommentTextChar"/>
    <w:uiPriority w:val="99"/>
    <w:unhideWhenUsed/>
    <w:rsid w:val="005B5B28"/>
    <w:pPr>
      <w:spacing w:line="240" w:lineRule="auto"/>
    </w:pPr>
    <w:rPr>
      <w:sz w:val="20"/>
      <w:szCs w:val="20"/>
    </w:rPr>
  </w:style>
  <w:style w:type="character" w:customStyle="1" w:styleId="CommentTextChar">
    <w:name w:val="Comment Text Char"/>
    <w:basedOn w:val="DefaultParagraphFont"/>
    <w:link w:val="CommentText"/>
    <w:uiPriority w:val="99"/>
    <w:rsid w:val="005B5B28"/>
    <w:rPr>
      <w:sz w:val="20"/>
      <w:szCs w:val="20"/>
    </w:rPr>
  </w:style>
  <w:style w:type="paragraph" w:styleId="CommentSubject">
    <w:name w:val="annotation subject"/>
    <w:basedOn w:val="CommentText"/>
    <w:next w:val="CommentText"/>
    <w:link w:val="CommentSubjectChar"/>
    <w:uiPriority w:val="99"/>
    <w:semiHidden/>
    <w:unhideWhenUsed/>
    <w:rsid w:val="005B5B28"/>
    <w:rPr>
      <w:b/>
      <w:bCs/>
    </w:rPr>
  </w:style>
  <w:style w:type="character" w:customStyle="1" w:styleId="CommentSubjectChar">
    <w:name w:val="Comment Subject Char"/>
    <w:basedOn w:val="CommentTextChar"/>
    <w:link w:val="CommentSubject"/>
    <w:uiPriority w:val="99"/>
    <w:semiHidden/>
    <w:rsid w:val="005B5B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likumi.lv/ta/id/354281-eiropas-savienibas-kohezijas-politikas-programmas-2021-2027-gadam-3-1-prioritates-ilgtspejiga-ten-t-infrastruktura-3-1-1"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hyperlink" Target="https://www.fm.gov.lv/lv/makroekonomiskie-pienemumi-un-prognoz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comments" Target="comments.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hyperlink" Target="https://www.fm.gov.lv/lv/makroekonomiskie-pienemumi-un-prognozes"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microsoft.com/office/2018/08/relationships/commentsExtensible" Target="commentsExtensible.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microsoft.com/office/2016/09/relationships/commentsIds" Target="commentsIds.xml"/><Relationship Id="rId27" Type="http://schemas.openxmlformats.org/officeDocument/2006/relationships/image" Target="media/image3.png"/><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EEF57D8C-10C3-4017-929E-BFE92AC212D4}"/>
</file>

<file path=docProps/app.xml><?xml version="1.0" encoding="utf-8"?>
<Properties xmlns="http://schemas.openxmlformats.org/officeDocument/2006/extended-properties" xmlns:vt="http://schemas.openxmlformats.org/officeDocument/2006/docPropsVTypes">
  <Template>Normal</Template>
  <TotalTime>116</TotalTime>
  <Pages>16</Pages>
  <Words>22626</Words>
  <Characters>12898</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114</cp:revision>
  <dcterms:created xsi:type="dcterms:W3CDTF">2024-01-30T13:01:00Z</dcterms:created>
  <dcterms:modified xsi:type="dcterms:W3CDTF">2024-08-20T08:34:00Z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