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E8C4B" w14:textId="1ED980DF" w:rsidR="00EC5C37" w:rsidRPr="007D603C" w:rsidRDefault="70EF2F8E" w:rsidP="164D02ED">
      <w:pPr>
        <w:jc w:val="right"/>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w:t>
      </w:r>
      <w:r w:rsidR="1BB43B2E" w:rsidRPr="007D603C">
        <w:rPr>
          <w:rFonts w:ascii="Times New Roman" w:eastAsia="Calibri" w:hAnsi="Times New Roman" w:cs="Times New Roman"/>
          <w:kern w:val="0"/>
          <w:lang w:eastAsia="lv-LV"/>
          <w14:ligatures w14:val="none"/>
        </w:rPr>
        <w:t>. pielikums</w:t>
      </w:r>
    </w:p>
    <w:p w14:paraId="6CC8E2E6" w14:textId="471B6998" w:rsidR="00EC5C37" w:rsidRPr="007D603C" w:rsidRDefault="60EDC577" w:rsidP="23FE07EA">
      <w:pPr>
        <w:spacing w:after="240"/>
        <w:ind w:left="284"/>
        <w:jc w:val="right"/>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P</w:t>
      </w:r>
      <w:r w:rsidR="00EC5C37" w:rsidRPr="007D603C">
        <w:rPr>
          <w:rFonts w:ascii="Times New Roman" w:eastAsia="Calibri" w:hAnsi="Times New Roman" w:cs="Times New Roman"/>
          <w:kern w:val="0"/>
          <w:lang w:eastAsia="lv-LV"/>
          <w14:ligatures w14:val="none"/>
        </w:rPr>
        <w:t>rojektu iesniegumu atlases nolikumam</w:t>
      </w:r>
    </w:p>
    <w:p w14:paraId="71B58099" w14:textId="7A8EFC07" w:rsidR="00EC5C37" w:rsidRPr="007D603C" w:rsidRDefault="00EC5C37" w:rsidP="00EC5C37">
      <w:pPr>
        <w:spacing w:after="240" w:line="276" w:lineRule="auto"/>
        <w:ind w:right="-108"/>
        <w:jc w:val="center"/>
        <w:rPr>
          <w:rFonts w:ascii="Times New Roman" w:eastAsia="Calibri" w:hAnsi="Times New Roman" w:cs="Times New Roman"/>
          <w:b/>
          <w:bCs/>
          <w:kern w:val="0"/>
          <w:sz w:val="28"/>
          <w:szCs w:val="28"/>
          <w:lang w:eastAsia="lv-LV"/>
          <w14:ligatures w14:val="none"/>
        </w:rPr>
      </w:pPr>
      <w:r w:rsidRPr="007D603C">
        <w:rPr>
          <w:rFonts w:ascii="Times New Roman" w:eastAsia="Calibri" w:hAnsi="Times New Roman" w:cs="Times New Roman"/>
          <w:b/>
          <w:bCs/>
          <w:kern w:val="0"/>
          <w:sz w:val="28"/>
          <w:szCs w:val="28"/>
          <w:lang w:eastAsia="lv-LV"/>
          <w14:ligatures w14:val="none"/>
        </w:rPr>
        <w:t>Specifiskā atbalsta mērķa 2.2.1. “Veicināt ilgtspējīgu ūdenssaimniecību” pasākuma 2.2.1.1. “Notekūdeņu un to dūņu apsaimniekošanas sistēmas attīstība piesārņojuma samazināšanai” pirmās</w:t>
      </w:r>
      <w:r w:rsidR="00BA4456" w:rsidRPr="007D603C">
        <w:rPr>
          <w:rFonts w:ascii="Times New Roman" w:eastAsia="Calibri" w:hAnsi="Times New Roman" w:cs="Times New Roman"/>
          <w:b/>
          <w:bCs/>
          <w:kern w:val="0"/>
          <w:sz w:val="28"/>
          <w:szCs w:val="28"/>
          <w:lang w:eastAsia="lv-LV"/>
          <w14:ligatures w14:val="none"/>
        </w:rPr>
        <w:t xml:space="preserve"> </w:t>
      </w:r>
      <w:r w:rsidRPr="007D603C">
        <w:rPr>
          <w:rFonts w:ascii="Times New Roman" w:eastAsia="Calibri" w:hAnsi="Times New Roman" w:cs="Times New Roman"/>
          <w:b/>
          <w:bCs/>
          <w:kern w:val="0"/>
          <w:sz w:val="28"/>
          <w:szCs w:val="28"/>
          <w:lang w:eastAsia="lv-LV"/>
          <w14:ligatures w14:val="none"/>
        </w:rPr>
        <w:t>atlases kārtas projektu iesniegumu vērtēšanas kritēriji un to piemērošanas metodika</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103"/>
        <w:gridCol w:w="9356"/>
      </w:tblGrid>
      <w:tr w:rsidR="00EC5C37" w:rsidRPr="007D603C" w14:paraId="72BBBC04"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49E0BB34"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D7A953A"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Eiropas Savienības kohēzijas politikas programma 2021.–2027. gadam</w:t>
            </w:r>
          </w:p>
        </w:tc>
      </w:tr>
      <w:tr w:rsidR="00EC5C37" w:rsidRPr="007D603C" w14:paraId="144ADA9F"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2728DF83"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66137A61"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 “Vides aizsardzība un attīstība”</w:t>
            </w:r>
          </w:p>
        </w:tc>
      </w:tr>
      <w:tr w:rsidR="00EC5C37" w:rsidRPr="007D603C" w14:paraId="3CEF5A94"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16B1B126"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39E5B8CD" w14:textId="5CD5D830"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2.2.1. specifiskais atbalsta mērķis “Veicināt ilgtspējīgu ūdenssaimniecību”</w:t>
            </w:r>
          </w:p>
        </w:tc>
      </w:tr>
      <w:tr w:rsidR="00EC5C37" w:rsidRPr="007D603C" w14:paraId="3D3F0495"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4572ABE5"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B3938A5" w14:textId="34C735B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2.2.1.1. pasākums “Notekūdeņu un to dūņu apsaimniekošanas sistēmas attīstība piesārņojuma samazināšanai” pirmā projektu iesniegumu atlases kārta</w:t>
            </w:r>
          </w:p>
        </w:tc>
      </w:tr>
      <w:tr w:rsidR="00EC5C37" w:rsidRPr="007D603C" w14:paraId="2A1FC9A0"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359F9E86"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7913EB7" w14:textId="5AB4BBB8"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Atklāta projektu iesniegumu atlase</w:t>
            </w:r>
          </w:p>
        </w:tc>
      </w:tr>
      <w:tr w:rsidR="00EC5C37" w:rsidRPr="007D603C" w14:paraId="494701E7"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2086BC1E"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6BEB9F31"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Vides aizsardzības un reģionālās attīstības ministrija (turpmāk – VARAM)</w:t>
            </w:r>
          </w:p>
        </w:tc>
      </w:tr>
    </w:tbl>
    <w:p w14:paraId="01DACFF5" w14:textId="77777777" w:rsidR="00400CB7" w:rsidRPr="007D603C" w:rsidRDefault="00400CB7" w:rsidP="00A41D7F">
      <w:pPr>
        <w:spacing w:before="120" w:after="120"/>
        <w:ind w:left="142" w:right="-31"/>
        <w:jc w:val="both"/>
        <w:rPr>
          <w:rFonts w:ascii="Times New Roman" w:eastAsia="Times New Roman" w:hAnsi="Times New Roman" w:cs="Times New Roman"/>
          <w:b/>
          <w:bCs/>
          <w:kern w:val="0"/>
          <w14:ligatures w14:val="none"/>
        </w:rPr>
      </w:pPr>
      <w:r w:rsidRPr="007D603C">
        <w:rPr>
          <w:rFonts w:ascii="Times New Roman" w:eastAsia="Times New Roman" w:hAnsi="Times New Roman" w:cs="Times New Roman"/>
          <w:b/>
          <w:bCs/>
          <w:kern w:val="0"/>
          <w14:ligatures w14:val="none"/>
        </w:rPr>
        <w:t>Vispārīgie nosacījumi projektu iesniegumu vērtēšanas kritēriju piemērošanai:</w:t>
      </w:r>
    </w:p>
    <w:p w14:paraId="426895B0" w14:textId="53AC02B2"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Projekta iesniegums sastāv no projekta iesnieguma veidlapas Kohēzijas politikas fondu vadības informācijas sistēmā (turpmāk</w:t>
      </w:r>
      <w:r w:rsidR="007918F4"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 KPVIS), tā</w:t>
      </w:r>
      <w:r w:rsidR="00DE530E" w:rsidRPr="007D603C">
        <w:rPr>
          <w:rFonts w:ascii="Times New Roman" w:eastAsia="Times New Roman" w:hAnsi="Times New Roman" w:cs="Times New Roman"/>
          <w:kern w:val="0"/>
          <w14:ligatures w14:val="none"/>
        </w:rPr>
        <w:t>s</w:t>
      </w:r>
      <w:r w:rsidRPr="007D603C">
        <w:rPr>
          <w:rFonts w:ascii="Times New Roman" w:eastAsia="Times New Roman" w:hAnsi="Times New Roman" w:cs="Times New Roman"/>
          <w:kern w:val="0"/>
          <w14:ligatures w14:val="none"/>
        </w:rPr>
        <w:t xml:space="preserve"> datu laukiem un pielikumiem, un papildus iesniedzamajiem dokumentiem.</w:t>
      </w:r>
    </w:p>
    <w:p w14:paraId="414356CF" w14:textId="7C656E66"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4F6613D2" w14:textId="08F038A4"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(piemēram, </w:t>
      </w:r>
      <w:r w:rsidRPr="007D603C">
        <w:rPr>
          <w:rFonts w:ascii="Times New Roman" w:eastAsia="Times New Roman" w:hAnsi="Times New Roman" w:cs="Times New Roman"/>
          <w:i/>
          <w:iCs/>
          <w:kern w:val="0"/>
          <w14:ligatures w14:val="none"/>
        </w:rPr>
        <w:t>print screen</w:t>
      </w:r>
      <w:r w:rsidRPr="007D603C">
        <w:rPr>
          <w:rFonts w:ascii="Times New Roman" w:eastAsia="Times New Roman" w:hAnsi="Times New Roman" w:cs="Times New Roman"/>
          <w:kern w:val="0"/>
          <w14:ligatures w14:val="none"/>
        </w:rPr>
        <w:t xml:space="preserve"> funkcija) saglabāšanu.</w:t>
      </w:r>
    </w:p>
    <w:p w14:paraId="1A134A37" w14:textId="77777777"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7112DB2C" w14:textId="77777777"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lastRenderedPageBreak/>
        <w:t>Rīcībai par izvirzāmajiem nosacījumiem ir ieteikuma raksturs un to precizē vērtēšanas veidlapās atbilstoši konkrētajai situācijai un projekta iesniegumā konstatētajām neprecizitātēm.</w:t>
      </w:r>
    </w:p>
    <w:p w14:paraId="7B6F13DA" w14:textId="081D7FD9"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“P” nozīmē, ka kritērijs ir precizējams un </w:t>
      </w:r>
      <w:r w:rsidRPr="007D603C">
        <w:rPr>
          <w:rFonts w:ascii="Times New Roman" w:eastAsia="Times New Roman" w:hAnsi="Times New Roman" w:cs="Times New Roman"/>
          <w:kern w:val="0"/>
          <w:lang w:eastAsia="lv-LV"/>
          <w14:ligatures w14:val="none"/>
        </w:rPr>
        <w:t xml:space="preserve">kritērija neatbilstības gadījumā </w:t>
      </w:r>
      <w:r w:rsidR="002B3241" w:rsidRPr="007D603C">
        <w:rPr>
          <w:rFonts w:ascii="Times New Roman" w:eastAsia="Times New Roman" w:hAnsi="Times New Roman" w:cs="Times New Roman"/>
          <w:kern w:val="0"/>
          <w:lang w:eastAsia="lv-LV"/>
          <w14:ligatures w14:val="none"/>
        </w:rPr>
        <w:t>Centrālā finan</w:t>
      </w:r>
      <w:r w:rsidR="00021092" w:rsidRPr="007D603C">
        <w:rPr>
          <w:rFonts w:ascii="Times New Roman" w:eastAsia="Times New Roman" w:hAnsi="Times New Roman" w:cs="Times New Roman"/>
          <w:kern w:val="0"/>
          <w:lang w:eastAsia="lv-LV"/>
          <w14:ligatures w14:val="none"/>
        </w:rPr>
        <w:t>šu</w:t>
      </w:r>
      <w:r w:rsidR="002B3241" w:rsidRPr="007D603C">
        <w:rPr>
          <w:rFonts w:ascii="Times New Roman" w:eastAsia="Times New Roman" w:hAnsi="Times New Roman" w:cs="Times New Roman"/>
          <w:kern w:val="0"/>
          <w:lang w:eastAsia="lv-LV"/>
          <w14:ligatures w14:val="none"/>
        </w:rPr>
        <w:t xml:space="preserve"> un līgumu aģentūra kā </w:t>
      </w:r>
      <w:r w:rsidRPr="007D603C">
        <w:rPr>
          <w:rFonts w:ascii="Times New Roman" w:eastAsia="Times New Roman" w:hAnsi="Times New Roman" w:cs="Times New Roman"/>
          <w:kern w:val="0"/>
          <w:lang w:eastAsia="lv-LV"/>
          <w14:ligatures w14:val="none"/>
        </w:rPr>
        <w:t xml:space="preserve">sadarbības iestāde </w:t>
      </w:r>
      <w:r w:rsidR="002B3241" w:rsidRPr="007D603C">
        <w:rPr>
          <w:rFonts w:ascii="Times New Roman" w:eastAsia="Times New Roman" w:hAnsi="Times New Roman" w:cs="Times New Roman"/>
          <w:kern w:val="0"/>
          <w:lang w:eastAsia="lv-LV"/>
          <w14:ligatures w14:val="none"/>
        </w:rPr>
        <w:t>(tu</w:t>
      </w:r>
      <w:r w:rsidR="00021092" w:rsidRPr="007D603C">
        <w:rPr>
          <w:rFonts w:ascii="Times New Roman" w:eastAsia="Times New Roman" w:hAnsi="Times New Roman" w:cs="Times New Roman"/>
          <w:kern w:val="0"/>
          <w:lang w:eastAsia="lv-LV"/>
          <w14:ligatures w14:val="none"/>
        </w:rPr>
        <w:t>rpmāk</w:t>
      </w:r>
      <w:r w:rsidR="007541A5" w:rsidRPr="007D603C">
        <w:rPr>
          <w:rFonts w:ascii="Times New Roman" w:eastAsia="Times New Roman" w:hAnsi="Times New Roman" w:cs="Times New Roman"/>
          <w:kern w:val="0"/>
          <w:lang w:eastAsia="lv-LV"/>
          <w14:ligatures w14:val="none"/>
        </w:rPr>
        <w:t xml:space="preserve"> </w:t>
      </w:r>
      <w:r w:rsidR="00021092" w:rsidRPr="007D603C">
        <w:rPr>
          <w:rFonts w:ascii="Times New Roman" w:eastAsia="Times New Roman" w:hAnsi="Times New Roman" w:cs="Times New Roman"/>
          <w:kern w:val="0"/>
          <w:lang w:eastAsia="lv-LV"/>
          <w14:ligatures w14:val="none"/>
        </w:rPr>
        <w:t xml:space="preserve">- sadarbības iestāde) </w:t>
      </w:r>
      <w:r w:rsidRPr="007D603C">
        <w:rPr>
          <w:rFonts w:ascii="Times New Roman" w:eastAsia="Times New Roman" w:hAnsi="Times New Roman" w:cs="Times New Roman"/>
          <w:kern w:val="0"/>
          <w:lang w:eastAsia="lv-LV"/>
          <w14:ligatures w14:val="none"/>
        </w:rPr>
        <w:t>pieņem lēmumu par projekta iesnieguma apstiprināšanu ar nosacījumu, ka projekta iesniedzējs nodrošina pilnīgu atbilstību kritērijam lēmumā noteiktajā laikā un kārtībā.</w:t>
      </w:r>
    </w:p>
    <w:p w14:paraId="5A856030" w14:textId="0701FB59" w:rsidR="006A38B6" w:rsidRPr="007D603C" w:rsidRDefault="006A38B6"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“N” nozīmē, ka kritērijs </w:t>
      </w:r>
      <w:r w:rsidR="001D7457" w:rsidRPr="007D603C">
        <w:rPr>
          <w:rFonts w:ascii="Times New Roman" w:eastAsia="Times New Roman" w:hAnsi="Times New Roman" w:cs="Times New Roman"/>
          <w:kern w:val="0"/>
          <w14:ligatures w14:val="none"/>
        </w:rPr>
        <w:t xml:space="preserve">ir neprecizējams un </w:t>
      </w:r>
      <w:r w:rsidR="00C226FC" w:rsidRPr="007D603C">
        <w:rPr>
          <w:rFonts w:ascii="Times New Roman" w:eastAsia="Times New Roman" w:hAnsi="Times New Roman" w:cs="Times New Roman"/>
          <w:kern w:val="0"/>
          <w:lang w:eastAsia="lv-LV"/>
          <w14:ligatures w14:val="none"/>
        </w:rPr>
        <w:t>kritērija neatbilstības gadījumā</w:t>
      </w:r>
      <w:r w:rsidR="0012658A" w:rsidRPr="007D603C">
        <w:rPr>
          <w:rFonts w:ascii="Times New Roman" w:eastAsia="Times New Roman" w:hAnsi="Times New Roman" w:cs="Times New Roman"/>
          <w:kern w:val="0"/>
          <w:lang w:eastAsia="lv-LV"/>
          <w14:ligatures w14:val="none"/>
        </w:rPr>
        <w:t xml:space="preserve"> </w:t>
      </w:r>
      <w:r w:rsidR="00C226FC" w:rsidRPr="007D603C">
        <w:rPr>
          <w:rFonts w:ascii="Times New Roman" w:eastAsia="Times New Roman" w:hAnsi="Times New Roman" w:cs="Times New Roman"/>
          <w:kern w:val="0"/>
          <w:lang w:eastAsia="lv-LV"/>
          <w14:ligatures w14:val="none"/>
        </w:rPr>
        <w:t>sadarbības iestāde pieņem lēmumu par projekta iesnieguma</w:t>
      </w:r>
      <w:r w:rsidR="00C226FC" w:rsidRPr="007D603C">
        <w:rPr>
          <w:rFonts w:ascii="Times New Roman" w:eastAsia="Times New Roman" w:hAnsi="Times New Roman" w:cs="Times New Roman"/>
          <w:kern w:val="0"/>
          <w14:ligatures w14:val="none"/>
        </w:rPr>
        <w:t xml:space="preserve"> noraid</w:t>
      </w:r>
      <w:r w:rsidR="0012658A" w:rsidRPr="007D603C">
        <w:rPr>
          <w:rFonts w:ascii="Times New Roman" w:eastAsia="Times New Roman" w:hAnsi="Times New Roman" w:cs="Times New Roman"/>
          <w:kern w:val="0"/>
          <w14:ligatures w14:val="none"/>
        </w:rPr>
        <w:t>īšanu.</w:t>
      </w:r>
    </w:p>
    <w:p w14:paraId="48157F8B" w14:textId="6ACF6B46" w:rsidR="006A38B6" w:rsidRPr="007D603C" w:rsidRDefault="0021282C"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“N/A” nozīmē, ka kritērijs </w:t>
      </w:r>
      <w:r w:rsidRPr="007D603C">
        <w:rPr>
          <w:rFonts w:ascii="Times New Roman" w:eastAsia="Times New Roman" w:hAnsi="Times New Roman" w:cs="Times New Roman"/>
          <w:kern w:val="0"/>
          <w:lang w:eastAsia="lv-LV"/>
          <w14:ligatures w14:val="none"/>
        </w:rPr>
        <w:t>nav piemērojams (nav attiecināms).</w:t>
      </w:r>
    </w:p>
    <w:p w14:paraId="59E4E9B7" w14:textId="593889A1"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Projektu iesniegumu vērtēšanā izmantojami:</w:t>
      </w:r>
    </w:p>
    <w:p w14:paraId="36571E63"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 2021.–2027. gadam;</w:t>
      </w:r>
    </w:p>
    <w:p w14:paraId="47358120"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Ministru kabineta (turpmāk – MK) 2024. gada 7. maija noteikumi Nr. 285 “Eiropas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īstenošanas noteikumi” (turpmāk – SAM MK noteikumi);</w:t>
      </w:r>
    </w:p>
    <w:p w14:paraId="6AA77533"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vērtēšanas kritēriji;</w:t>
      </w:r>
    </w:p>
    <w:p w14:paraId="354817CB"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Finanšu ministrijas 2024. gada 11. aprīļa metodiku Nr. 3.1 “Eiropas Reģionālās attīstības fonda, Eiropas Sociālā fonda plus, Kohēzijas fonda un Taisnīgas pārkārtošanās fonda projektu iesniegumu atlases metodika 2021.–2027. gadam”</w:t>
      </w:r>
      <w:r w:rsidRPr="007D603C">
        <w:rPr>
          <w:rStyle w:val="Vresatsauce"/>
          <w:rFonts w:ascii="Times New Roman" w:eastAsia="Times New Roman" w:hAnsi="Times New Roman" w:cs="Times New Roman"/>
          <w:kern w:val="0"/>
          <w14:ligatures w14:val="none"/>
        </w:rPr>
        <w:footnoteReference w:id="2"/>
      </w:r>
      <w:r w:rsidRPr="007D603C">
        <w:rPr>
          <w:rFonts w:ascii="Times New Roman" w:eastAsia="Times New Roman" w:hAnsi="Times New Roman" w:cs="Times New Roman"/>
          <w:kern w:val="0"/>
          <w14:ligatures w14:val="none"/>
        </w:rPr>
        <w:t>;</w:t>
      </w:r>
    </w:p>
    <w:p w14:paraId="29C5A0A9" w14:textId="77777777" w:rsidR="007D603C" w:rsidRPr="007D603C" w:rsidRDefault="007D603C" w:rsidP="007D603C">
      <w:pPr>
        <w:numPr>
          <w:ilvl w:val="1"/>
          <w:numId w:val="1"/>
        </w:numPr>
        <w:spacing w:after="12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nolikums (turpmāk – nolikums).</w:t>
      </w:r>
    </w:p>
    <w:p w14:paraId="4DC1DBB0" w14:textId="2478D4EC" w:rsidR="00196175" w:rsidRDefault="00B11F6A" w:rsidP="007D603C">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Atbilstību </w:t>
      </w:r>
      <w:r w:rsidR="00D27F5D" w:rsidRPr="007D603C">
        <w:rPr>
          <w:rFonts w:ascii="Times New Roman" w:eastAsia="Times New Roman" w:hAnsi="Times New Roman" w:cs="Times New Roman"/>
          <w:kern w:val="0"/>
          <w14:ligatures w14:val="none"/>
        </w:rPr>
        <w:t>Eiropas Savienības fondu 2021.</w:t>
      </w:r>
      <w:r w:rsidR="00B1183E" w:rsidRPr="007D603C">
        <w:rPr>
          <w:rFonts w:ascii="Times New Roman" w:eastAsia="Times New Roman" w:hAnsi="Times New Roman" w:cs="Times New Roman"/>
          <w:kern w:val="0"/>
          <w14:ligatures w14:val="none"/>
        </w:rPr>
        <w:t>–</w:t>
      </w:r>
      <w:r w:rsidR="00D27F5D" w:rsidRPr="007D603C">
        <w:rPr>
          <w:rFonts w:ascii="Times New Roman" w:eastAsia="Times New Roman" w:hAnsi="Times New Roman" w:cs="Times New Roman"/>
          <w:kern w:val="0"/>
          <w14:ligatures w14:val="none"/>
        </w:rPr>
        <w:t>2027. gada plānošanas perioda vadības likuma</w:t>
      </w:r>
      <w:r w:rsidR="00836606" w:rsidRPr="007D603C">
        <w:rPr>
          <w:rStyle w:val="Vresatsauce"/>
          <w:rFonts w:ascii="Times New Roman" w:eastAsia="Times New Roman" w:hAnsi="Times New Roman" w:cs="Times New Roman"/>
          <w:kern w:val="0"/>
          <w14:ligatures w14:val="none"/>
        </w:rPr>
        <w:footnoteReference w:id="3"/>
      </w:r>
      <w:r w:rsidR="00D27F5D" w:rsidRPr="007D603C">
        <w:rPr>
          <w:rFonts w:ascii="Times New Roman" w:eastAsia="Times New Roman" w:hAnsi="Times New Roman" w:cs="Times New Roman"/>
          <w:kern w:val="0"/>
          <w14:ligatures w14:val="none"/>
        </w:rPr>
        <w:t xml:space="preserve"> 22. pantā noteiktajiem </w:t>
      </w:r>
      <w:r w:rsidRPr="007D603C">
        <w:rPr>
          <w:rFonts w:ascii="Times New Roman" w:eastAsia="Times New Roman" w:hAnsi="Times New Roman" w:cs="Times New Roman"/>
          <w:kern w:val="0"/>
          <w14:ligatures w14:val="none"/>
        </w:rPr>
        <w:t xml:space="preserve">vērtē atbilstoši </w:t>
      </w:r>
      <w:r w:rsidR="006649D3" w:rsidRPr="007D603C">
        <w:rPr>
          <w:rFonts w:ascii="Times New Roman" w:eastAsia="Times New Roman" w:hAnsi="Times New Roman" w:cs="Times New Roman"/>
          <w:kern w:val="0"/>
          <w14:ligatures w14:val="none"/>
        </w:rPr>
        <w:t>MK</w:t>
      </w:r>
      <w:r w:rsidR="004C093F"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2023.</w:t>
      </w:r>
      <w:r w:rsidR="004A6983"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gada 13.</w:t>
      </w:r>
      <w:r w:rsidR="004A6983"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jūlija noteikumiem Nr.</w:t>
      </w:r>
      <w:r w:rsidR="002C2D82"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408 “Kārtība, kādā Eiropas Savienības fondu vadībā iesaistītās institūcijas nodrošina šo fondu ieviešanu 2021.–2027.</w:t>
      </w:r>
      <w:r w:rsidR="009D0CCE"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gada plānošanas</w:t>
      </w:r>
      <w:r w:rsidR="00873CFF">
        <w:rPr>
          <w:rFonts w:ascii="Times New Roman" w:eastAsia="Times New Roman" w:hAnsi="Times New Roman" w:cs="Times New Roman"/>
          <w:kern w:val="0"/>
          <w14:ligatures w14:val="none"/>
        </w:rPr>
        <w:t xml:space="preserve"> periodā”</w:t>
      </w:r>
      <w:r w:rsidR="001948DA">
        <w:rPr>
          <w:rFonts w:ascii="Times New Roman" w:eastAsia="Times New Roman" w:hAnsi="Times New Roman" w:cs="Times New Roman"/>
          <w:kern w:val="0"/>
          <w14:ligatures w14:val="none"/>
        </w:rPr>
        <w:t>.</w:t>
      </w:r>
    </w:p>
    <w:p w14:paraId="43BDFD0B" w14:textId="76B57832" w:rsidR="00C84627" w:rsidRDefault="00C8462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tbl>
      <w:tblPr>
        <w:tblW w:w="15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05"/>
        <w:gridCol w:w="1134"/>
        <w:gridCol w:w="1415"/>
        <w:gridCol w:w="6360"/>
      </w:tblGrid>
      <w:tr w:rsidR="001C6430" w:rsidRPr="007D603C" w14:paraId="6B1471A2" w14:textId="77777777" w:rsidTr="00926BC3">
        <w:trPr>
          <w:trHeight w:val="287"/>
          <w:jc w:val="center"/>
        </w:trPr>
        <w:tc>
          <w:tcPr>
            <w:tcW w:w="6093" w:type="dxa"/>
            <w:gridSpan w:val="2"/>
            <w:vMerge w:val="restart"/>
            <w:tcBorders>
              <w:top w:val="single" w:sz="4" w:space="0" w:color="auto"/>
            </w:tcBorders>
            <w:shd w:val="clear" w:color="auto" w:fill="F2F2F2" w:themeFill="background1" w:themeFillShade="F2"/>
            <w:vAlign w:val="center"/>
          </w:tcPr>
          <w:p w14:paraId="1B3DC25E" w14:textId="77777777" w:rsidR="008E1D65" w:rsidRPr="007D603C" w:rsidRDefault="008E1D65" w:rsidP="23FE07EA">
            <w:pPr>
              <w:ind w:left="25"/>
              <w:rPr>
                <w:rFonts w:ascii="Times New Roman" w:eastAsia="ヒラギノ角ゴ Pro W3" w:hAnsi="Times New Roman" w:cs="Times New Roman"/>
                <w:b/>
                <w:bCs/>
                <w:kern w:val="0"/>
                <w14:ligatures w14:val="none"/>
              </w:rPr>
            </w:pPr>
            <w:bookmarkStart w:id="0" w:name="_Hlk165397218"/>
            <w:r w:rsidRPr="007D603C">
              <w:rPr>
                <w:rFonts w:ascii="Times New Roman" w:eastAsia="ヒラギノ角ゴ Pro W3" w:hAnsi="Times New Roman" w:cs="Times New Roman"/>
                <w:b/>
                <w:bCs/>
                <w:kern w:val="0"/>
                <w14:ligatures w14:val="none"/>
              </w:rPr>
              <w:lastRenderedPageBreak/>
              <w:t>1. VIENOTIE KRITĒRIJI</w:t>
            </w:r>
          </w:p>
        </w:tc>
        <w:tc>
          <w:tcPr>
            <w:tcW w:w="2549" w:type="dxa"/>
            <w:gridSpan w:val="2"/>
            <w:tcBorders>
              <w:top w:val="single" w:sz="4" w:space="0" w:color="auto"/>
            </w:tcBorders>
            <w:shd w:val="clear" w:color="auto" w:fill="F2F2F2" w:themeFill="background1" w:themeFillShade="F2"/>
            <w:vAlign w:val="center"/>
          </w:tcPr>
          <w:p w14:paraId="2B565C34" w14:textId="77777777" w:rsidR="008E1D65" w:rsidRPr="007D603C" w:rsidRDefault="008E1D65" w:rsidP="23FE07EA">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2B1BF861" w14:textId="77777777" w:rsidR="008E1D65" w:rsidRPr="007D603C" w:rsidRDefault="008E1D65" w:rsidP="001C6430">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901F7F" w:rsidRPr="007D603C" w14:paraId="22FD680D" w14:textId="77777777" w:rsidTr="00926BC3">
        <w:trPr>
          <w:trHeight w:val="625"/>
          <w:jc w:val="center"/>
        </w:trPr>
        <w:tc>
          <w:tcPr>
            <w:tcW w:w="6093" w:type="dxa"/>
            <w:gridSpan w:val="2"/>
            <w:vMerge/>
            <w:vAlign w:val="center"/>
          </w:tcPr>
          <w:p w14:paraId="0A58503C" w14:textId="77777777" w:rsidR="008E1D65" w:rsidRPr="007D603C" w:rsidRDefault="008E1D65" w:rsidP="001C6430">
            <w:pPr>
              <w:jc w:val="both"/>
              <w:rPr>
                <w:rFonts w:ascii="Times New Roman" w:eastAsia="ヒラギノ角ゴ Pro W3" w:hAnsi="Times New Roman" w:cs="Times New Roman"/>
                <w:b/>
                <w:bCs/>
                <w:kern w:val="0"/>
                <w:highlight w:val="yellow"/>
                <w14:ligatures w14:val="none"/>
              </w:rPr>
            </w:pPr>
            <w:bookmarkStart w:id="1" w:name="_Hlk165397250"/>
            <w:bookmarkEnd w:id="0"/>
          </w:p>
        </w:tc>
        <w:tc>
          <w:tcPr>
            <w:tcW w:w="1134" w:type="dxa"/>
            <w:tcBorders>
              <w:top w:val="single" w:sz="4" w:space="0" w:color="auto"/>
            </w:tcBorders>
            <w:shd w:val="clear" w:color="auto" w:fill="F2F2F2" w:themeFill="background1" w:themeFillShade="F2"/>
            <w:vAlign w:val="center"/>
          </w:tcPr>
          <w:p w14:paraId="790AD55A" w14:textId="77777777" w:rsidR="008E1D65" w:rsidRPr="007D603C" w:rsidRDefault="008E1D65" w:rsidP="23FE07EA">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Kritērija veids</w:t>
            </w:r>
          </w:p>
        </w:tc>
        <w:tc>
          <w:tcPr>
            <w:tcW w:w="1415" w:type="dxa"/>
            <w:tcBorders>
              <w:top w:val="single" w:sz="4" w:space="0" w:color="auto"/>
            </w:tcBorders>
            <w:shd w:val="clear" w:color="auto" w:fill="F2F2F2" w:themeFill="background1" w:themeFillShade="F2"/>
            <w:vAlign w:val="center"/>
          </w:tcPr>
          <w:p w14:paraId="2FA7C972" w14:textId="77777777" w:rsidR="008E1D65" w:rsidRPr="007D603C" w:rsidRDefault="008E1D65" w:rsidP="23FE07EA">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kern w:val="0"/>
                <w:sz w:val="22"/>
                <w:szCs w:val="22"/>
                <w14:ligatures w14:val="none"/>
              </w:rPr>
              <w:t>Jā; Jā, ar nosacījumu; Nē</w:t>
            </w:r>
            <w:r w:rsidRPr="007D603C">
              <w:rPr>
                <w:rFonts w:ascii="Times New Roman" w:eastAsia="ヒラギノ角ゴ Pro W3" w:hAnsi="Times New Roman" w:cs="Times New Roman"/>
                <w:b/>
                <w:bCs/>
                <w:kern w:val="0"/>
                <w:sz w:val="22"/>
                <w:szCs w:val="22"/>
                <w:vertAlign w:val="superscript"/>
                <w14:ligatures w14:val="none"/>
              </w:rPr>
              <w:footnoteReference w:id="4"/>
            </w:r>
          </w:p>
        </w:tc>
        <w:tc>
          <w:tcPr>
            <w:tcW w:w="6360" w:type="dxa"/>
            <w:vMerge/>
            <w:vAlign w:val="center"/>
          </w:tcPr>
          <w:p w14:paraId="52E7D5AE" w14:textId="77777777" w:rsidR="008E1D65" w:rsidRPr="007D603C" w:rsidRDefault="008E1D65" w:rsidP="001C6430">
            <w:pPr>
              <w:jc w:val="center"/>
              <w:rPr>
                <w:rFonts w:ascii="Times New Roman" w:eastAsia="ヒラギノ角ゴ Pro W3" w:hAnsi="Times New Roman" w:cs="Times New Roman"/>
                <w:b/>
                <w:kern w:val="0"/>
                <w:sz w:val="22"/>
                <w:szCs w:val="22"/>
                <w:highlight w:val="yellow"/>
                <w14:ligatures w14:val="none"/>
              </w:rPr>
            </w:pPr>
          </w:p>
        </w:tc>
      </w:tr>
      <w:bookmarkEnd w:id="1"/>
      <w:tr w:rsidR="00986D35" w:rsidRPr="007D603C" w14:paraId="61B5975A" w14:textId="77777777" w:rsidTr="00926BC3">
        <w:trPr>
          <w:trHeight w:val="625"/>
          <w:jc w:val="center"/>
        </w:trPr>
        <w:tc>
          <w:tcPr>
            <w:tcW w:w="988" w:type="dxa"/>
            <w:vMerge w:val="restart"/>
            <w:tcBorders>
              <w:top w:val="single" w:sz="4" w:space="0" w:color="auto"/>
            </w:tcBorders>
            <w:shd w:val="clear" w:color="auto" w:fill="auto"/>
          </w:tcPr>
          <w:p w14:paraId="6E8D8D84" w14:textId="77777777" w:rsidR="008E1D65" w:rsidRPr="007D603C" w:rsidRDefault="008E1D65" w:rsidP="00A3630A">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1.1.</w:t>
            </w:r>
          </w:p>
        </w:tc>
        <w:tc>
          <w:tcPr>
            <w:tcW w:w="5105" w:type="dxa"/>
            <w:vMerge w:val="restart"/>
            <w:tcBorders>
              <w:top w:val="single" w:sz="4" w:space="0" w:color="auto"/>
            </w:tcBorders>
            <w:shd w:val="clear" w:color="auto" w:fill="auto"/>
          </w:tcPr>
          <w:p w14:paraId="477AF624" w14:textId="537993A2" w:rsidR="008E1D65" w:rsidRPr="007D603C" w:rsidRDefault="008E1D65" w:rsidP="00BA1A14">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 xml:space="preserve">Projekta iesniegums atbilst </w:t>
            </w:r>
            <w:r w:rsidR="00213E69" w:rsidRPr="007D603C">
              <w:rPr>
                <w:rFonts w:ascii="Times New Roman" w:eastAsia="ヒラギノ角ゴ Pro W3" w:hAnsi="Times New Roman" w:cs="Times New Roman"/>
                <w:color w:val="000000"/>
                <w:kern w:val="0"/>
                <w:sz w:val="22"/>
                <w:szCs w:val="22"/>
                <w14:ligatures w14:val="none"/>
              </w:rPr>
              <w:t xml:space="preserve">SAM </w:t>
            </w:r>
            <w:r w:rsidRPr="007D603C">
              <w:rPr>
                <w:rFonts w:ascii="Times New Roman" w:eastAsia="ヒラギノ角ゴ Pro W3" w:hAnsi="Times New Roman" w:cs="Times New Roman"/>
                <w:color w:val="000000"/>
                <w:kern w:val="0"/>
                <w:sz w:val="22"/>
                <w:szCs w:val="22"/>
                <w14:ligatures w14:val="none"/>
              </w:rPr>
              <w:t>MK noteikumos noteiktajām specifiskajām prasībām:</w:t>
            </w:r>
          </w:p>
          <w:p w14:paraId="5341A037" w14:textId="01FC3812"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iesniedzējs atbilst </w:t>
            </w:r>
            <w:r w:rsidR="00213E69"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iesniedzēju lokam;</w:t>
            </w:r>
          </w:p>
          <w:p w14:paraId="17AC2F5B" w14:textId="411944A4"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īstenošanas termiņš atbilst </w:t>
            </w:r>
            <w:r w:rsidR="00213E69"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termiņam;</w:t>
            </w:r>
          </w:p>
          <w:p w14:paraId="43A17393" w14:textId="77777777"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projekta iesniegumam ir pievienoti nolikumā noteiktie papildu pievienojamie pielikumi.</w:t>
            </w:r>
          </w:p>
        </w:tc>
        <w:tc>
          <w:tcPr>
            <w:tcW w:w="1134" w:type="dxa"/>
            <w:vMerge w:val="restart"/>
            <w:tcBorders>
              <w:top w:val="single" w:sz="4" w:space="0" w:color="auto"/>
            </w:tcBorders>
            <w:shd w:val="clear" w:color="auto" w:fill="auto"/>
          </w:tcPr>
          <w:p w14:paraId="23DBAD1D"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3D8CFBCA"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0E6251FF" w14:textId="179C8129"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iesniedzēja un projekta iesnieguma atbilstību pārbauda, pamatojoties uz projekta  iesniegumā  un projekta iesniegumam pievienotajos pielikumos, kas uzskaitīti projektu iesniegumu atlases nolikumā, norādīto informāciju.</w:t>
            </w:r>
          </w:p>
          <w:p w14:paraId="595F3B52" w14:textId="1F1E678A"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iesniedzēja atbilstību </w:t>
            </w:r>
            <w:r w:rsidR="00067409" w:rsidRPr="007D603C">
              <w:rPr>
                <w:rFonts w:ascii="Times New Roman" w:eastAsia="Times New Roman" w:hAnsi="Times New Roman" w:cs="Times New Roman"/>
                <w:kern w:val="0"/>
                <w:sz w:val="22"/>
                <w:szCs w:val="22"/>
                <w:lang w:eastAsia="lv-LV"/>
                <w14:ligatures w14:val="none"/>
              </w:rPr>
              <w:t xml:space="preserve">SAM </w:t>
            </w:r>
            <w:r w:rsidRPr="007D603C">
              <w:rPr>
                <w:rFonts w:ascii="Times New Roman" w:eastAsia="Times New Roman" w:hAnsi="Times New Roman" w:cs="Times New Roman"/>
                <w:kern w:val="0"/>
                <w:sz w:val="22"/>
                <w:szCs w:val="22"/>
                <w:lang w:eastAsia="lv-LV"/>
                <w14:ligatures w14:val="none"/>
              </w:rPr>
              <w:t>MK noteikumos noteiktajam iesniedzēju lokam pārbauda uz projekta iesnieguma iesniegšanas brīdi un precizētā projekta iesnieguma iesniegšanas brīdi.</w:t>
            </w:r>
          </w:p>
          <w:p w14:paraId="2FDDE45E" w14:textId="55EA0681"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Pārliecību par projekta iesniedzēja atbilstību gūst, pārbaudot publiski uzticamās datu bāzēs un tīmekļa vietnēs pieejamo informāciju par projekta iesniedzēju, piemēram, “</w:t>
            </w:r>
            <w:r w:rsidRPr="007D603C">
              <w:rPr>
                <w:rFonts w:ascii="Times New Roman" w:eastAsia="Times New Roman" w:hAnsi="Times New Roman" w:cs="Times New Roman"/>
                <w:i/>
                <w:iCs/>
                <w:kern w:val="0"/>
                <w:sz w:val="22"/>
                <w:szCs w:val="22"/>
                <w:lang w:eastAsia="lv-LV"/>
                <w14:ligatures w14:val="none"/>
              </w:rPr>
              <w:t>Lursoft</w:t>
            </w:r>
            <w:r w:rsidRPr="007D603C">
              <w:rPr>
                <w:rFonts w:ascii="Times New Roman" w:eastAsia="Times New Roman" w:hAnsi="Times New Roman" w:cs="Times New Roman"/>
                <w:kern w:val="0"/>
                <w:sz w:val="22"/>
                <w:szCs w:val="22"/>
                <w:lang w:eastAsia="lv-LV"/>
                <w14:ligatures w14:val="none"/>
              </w:rPr>
              <w:t>” datu bāzē vai ekvivalenta/līdzvērtīga Uzņēmuma reģistra datu atkalizmantotāja datu bāzēs, Valsts ieņēmumu dienesta (turpmāk</w:t>
            </w:r>
            <w:r w:rsidR="00067409" w:rsidRPr="007D603C">
              <w:rPr>
                <w:rFonts w:ascii="Times New Roman" w:eastAsia="Times New Roman" w:hAnsi="Times New Roman" w:cs="Times New Roman"/>
                <w:kern w:val="0"/>
                <w:sz w:val="22"/>
                <w:szCs w:val="22"/>
                <w:lang w:eastAsia="lv-LV"/>
                <w14:ligatures w14:val="none"/>
              </w:rPr>
              <w:t xml:space="preserve"> – </w:t>
            </w:r>
            <w:r w:rsidRPr="007D603C">
              <w:rPr>
                <w:rFonts w:ascii="Times New Roman" w:eastAsia="Times New Roman" w:hAnsi="Times New Roman" w:cs="Times New Roman"/>
                <w:kern w:val="0"/>
                <w:sz w:val="22"/>
                <w:szCs w:val="22"/>
                <w:lang w:eastAsia="lv-LV"/>
                <w14:ligatures w14:val="none"/>
              </w:rPr>
              <w:t>VID) publiskajās datu bāzēs pieejamo informāciju.</w:t>
            </w:r>
          </w:p>
          <w:p w14:paraId="14CA9E91" w14:textId="7249F309" w:rsidR="00AF1B6B" w:rsidRPr="007D603C" w:rsidRDefault="00AF1B6B" w:rsidP="001C6430">
            <w:pPr>
              <w:spacing w:after="120"/>
              <w:jc w:val="both"/>
              <w:rPr>
                <w:rFonts w:ascii="Times New Roman" w:eastAsia="Times New Roman" w:hAnsi="Times New Roman" w:cs="Times New Roman"/>
                <w:color w:val="000000"/>
                <w:kern w:val="0"/>
                <w:sz w:val="22"/>
                <w:szCs w:val="22"/>
                <w14:ligatures w14:val="none"/>
              </w:rPr>
            </w:pPr>
            <w:r w:rsidRPr="007D603C">
              <w:rPr>
                <w:rFonts w:ascii="Times New Roman" w:eastAsia="Times New Roman" w:hAnsi="Times New Roman" w:cs="Times New Roman"/>
                <w:color w:val="000000"/>
                <w:kern w:val="0"/>
                <w:sz w:val="22"/>
                <w:szCs w:val="22"/>
                <w14:ligatures w14:val="none"/>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w:t>
            </w:r>
          </w:p>
          <w:p w14:paraId="7189860D" w14:textId="248A8CD8" w:rsidR="008E1D65" w:rsidRPr="007D603C" w:rsidRDefault="008E1D65" w:rsidP="23FE07EA">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ja:</w:t>
            </w:r>
          </w:p>
          <w:p w14:paraId="43E89709" w14:textId="757F025C" w:rsidR="008E1D65" w:rsidRPr="007D603C" w:rsidRDefault="008E1D65" w:rsidP="005B50CF">
            <w:pPr>
              <w:numPr>
                <w:ilvl w:val="0"/>
                <w:numId w:val="3"/>
              </w:numPr>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iesniedzējs atbilst </w:t>
            </w:r>
            <w:r w:rsidR="00C826C3"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iesniedzēju lokam un attiecīgajām izvirzītajām prasībām;</w:t>
            </w:r>
          </w:p>
          <w:p w14:paraId="4CF706EA" w14:textId="0A04CED2" w:rsidR="008E1D65" w:rsidRPr="007D603C" w:rsidRDefault="008E1D65" w:rsidP="005B50CF">
            <w:pPr>
              <w:numPr>
                <w:ilvl w:val="0"/>
                <w:numId w:val="3"/>
              </w:numPr>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īstenošanas termiņš nepārsniedz </w:t>
            </w:r>
            <w:r w:rsidR="00812658"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noteikto termiņu.</w:t>
            </w:r>
          </w:p>
          <w:p w14:paraId="3BD12642" w14:textId="18A4F885" w:rsidR="008E1D65" w:rsidRPr="007D603C" w:rsidRDefault="008E1D65" w:rsidP="005B50CF">
            <w:pPr>
              <w:numPr>
                <w:ilvl w:val="0"/>
                <w:numId w:val="3"/>
              </w:numPr>
              <w:spacing w:after="120"/>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iesniegumam pievienotie pielikumi atbilst </w:t>
            </w:r>
            <w:r w:rsidR="00812658"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noteiktajām prasībām, tai skaitā ir pievienoti visi nolikumā uzskaitītie projekta iesniedzējam noteiktie papildu pievienojamie pielikumi.</w:t>
            </w:r>
          </w:p>
        </w:tc>
      </w:tr>
      <w:tr w:rsidR="00986D35" w:rsidRPr="007D603C" w14:paraId="72381770" w14:textId="77777777" w:rsidTr="00926BC3">
        <w:trPr>
          <w:trHeight w:val="625"/>
          <w:jc w:val="center"/>
        </w:trPr>
        <w:tc>
          <w:tcPr>
            <w:tcW w:w="988" w:type="dxa"/>
            <w:vMerge/>
          </w:tcPr>
          <w:p w14:paraId="0E7C4EAF"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51E35422"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191F7DE9"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682E1A26"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4BAE2116" w14:textId="676BFB00" w:rsidR="008E1D65" w:rsidRPr="007D603C" w:rsidRDefault="00D741C8" w:rsidP="23FE07EA">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986D35" w:rsidRPr="007D603C" w14:paraId="40806683" w14:textId="77777777" w:rsidTr="00926BC3">
        <w:trPr>
          <w:trHeight w:val="625"/>
          <w:jc w:val="center"/>
        </w:trPr>
        <w:tc>
          <w:tcPr>
            <w:tcW w:w="988" w:type="dxa"/>
            <w:vMerge/>
          </w:tcPr>
          <w:p w14:paraId="6CE82AB5"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21BB47E2"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28C172C2"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205C4529"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0ED5F0B7" w14:textId="77777777" w:rsidR="008E1D65" w:rsidRPr="007D603C" w:rsidRDefault="008E1D65" w:rsidP="23FE07EA">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86D35" w:rsidRPr="007D603C" w14:paraId="5799EC94" w14:textId="77777777" w:rsidTr="00926BC3">
        <w:trPr>
          <w:trHeight w:val="625"/>
          <w:jc w:val="center"/>
        </w:trPr>
        <w:tc>
          <w:tcPr>
            <w:tcW w:w="988" w:type="dxa"/>
            <w:vMerge w:val="restart"/>
            <w:shd w:val="clear" w:color="auto" w:fill="auto"/>
          </w:tcPr>
          <w:p w14:paraId="18E974C0" w14:textId="77777777" w:rsidR="008E1D65" w:rsidRPr="007D603C" w:rsidRDefault="008E1D65" w:rsidP="00A3630A">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1.2.</w:t>
            </w:r>
          </w:p>
        </w:tc>
        <w:tc>
          <w:tcPr>
            <w:tcW w:w="5105" w:type="dxa"/>
            <w:vMerge w:val="restart"/>
            <w:shd w:val="clear" w:color="auto" w:fill="auto"/>
          </w:tcPr>
          <w:p w14:paraId="4F30B653" w14:textId="0EF57A8A" w:rsidR="008E1D65" w:rsidRPr="007D603C" w:rsidRDefault="008E1D65" w:rsidP="001C6430">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iesniedzējam Latvijas Republikā nav VID administrēto nodokļu parādu, tai skaitā valsts sociālās apdrošināšanas obligāto iemaksu parādi, kas kopsummā pārsniedz 150</w:t>
            </w:r>
            <w:r w:rsidR="00E43B66" w:rsidRPr="007D603C">
              <w:rPr>
                <w:rFonts w:ascii="Times New Roman" w:eastAsia="ヒラギノ角ゴ Pro W3" w:hAnsi="Times New Roman" w:cs="Times New Roman"/>
                <w:color w:val="000000"/>
                <w:kern w:val="0"/>
                <w:sz w:val="22"/>
                <w:szCs w:val="22"/>
                <w14:ligatures w14:val="none"/>
              </w:rPr>
              <w:t> </w:t>
            </w:r>
            <w:r w:rsidRPr="007D603C">
              <w:rPr>
                <w:rFonts w:ascii="Times New Roman" w:eastAsia="ヒラギノ角ゴ Pro W3" w:hAnsi="Times New Roman" w:cs="Times New Roman"/>
                <w:i/>
                <w:iCs/>
                <w:color w:val="000000"/>
                <w:kern w:val="0"/>
                <w:sz w:val="22"/>
                <w:szCs w:val="22"/>
                <w14:ligatures w14:val="none"/>
              </w:rPr>
              <w:t>euro</w:t>
            </w:r>
            <w:r w:rsidRPr="007D603C">
              <w:rPr>
                <w:rFonts w:ascii="Times New Roman" w:eastAsia="ヒラギノ角ゴ Pro W3" w:hAnsi="Times New Roman" w:cs="Times New Roman"/>
                <w:color w:val="000000"/>
                <w:kern w:val="0"/>
                <w:sz w:val="22"/>
                <w:szCs w:val="22"/>
                <w14:ligatures w14:val="none"/>
              </w:rPr>
              <w:t>.</w:t>
            </w:r>
          </w:p>
        </w:tc>
        <w:tc>
          <w:tcPr>
            <w:tcW w:w="1134" w:type="dxa"/>
            <w:vMerge w:val="restart"/>
            <w:shd w:val="clear" w:color="auto" w:fill="auto"/>
          </w:tcPr>
          <w:p w14:paraId="1ACF806C"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257E62C9"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7CA091A8" w14:textId="6A90384F"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Projekta iesniedzēja atbilstības kritērijam pārbaudi veic balstoties uz VID publiskojamo datu bāzes sadaļā “Nodokļu parādnieki” (turpmāk</w:t>
            </w:r>
            <w:r w:rsidR="005721E2"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color w:val="000000"/>
                <w:kern w:val="0"/>
                <w:sz w:val="22"/>
                <w:szCs w:val="22"/>
                <w:lang w:eastAsia="lv-LV"/>
                <w14:ligatures w14:val="none"/>
              </w:rPr>
              <w:t>–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700D5AA" w14:textId="39CD0DA2"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3611A982" w14:textId="77777777"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Projekta iesnieguma vērtēšanas veidlapā norāda pārbaudes datumu un konstatēto situāciju.</w:t>
            </w:r>
          </w:p>
          <w:p w14:paraId="5EA0B664" w14:textId="0A90DF04" w:rsidR="008E1D65" w:rsidRPr="007D603C" w:rsidRDefault="008E1D65" w:rsidP="23FE07EA">
            <w:pPr>
              <w:spacing w:after="120"/>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5682162F" w14:textId="07DD8416"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“Jā”</w:t>
            </w:r>
            <w:r w:rsidRPr="007D603C">
              <w:rPr>
                <w:rFonts w:ascii="Times New Roman" w:eastAsia="Times New Roman" w:hAnsi="Times New Roman" w:cs="Times New Roman"/>
                <w:color w:val="000000"/>
                <w:kern w:val="0"/>
                <w:sz w:val="22"/>
                <w:szCs w:val="22"/>
                <w:lang w:eastAsia="lv-LV"/>
                <w14:ligatures w14:val="none"/>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w:t>
            </w:r>
            <w:r w:rsidR="005721E2"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color w:val="000000"/>
                <w:kern w:val="0"/>
                <w:sz w:val="22"/>
                <w:szCs w:val="22"/>
                <w:lang w:eastAsia="lv-LV"/>
                <w14:ligatures w14:val="none"/>
              </w:rPr>
              <w:t>– nodokļu parādi), kas kopsummā pārsniedz 150</w:t>
            </w:r>
            <w:r w:rsidR="00E43B66"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i/>
                <w:iCs/>
                <w:color w:val="000000"/>
                <w:kern w:val="0"/>
                <w:sz w:val="22"/>
                <w:szCs w:val="22"/>
                <w:lang w:eastAsia="lv-LV"/>
                <w14:ligatures w14:val="none"/>
              </w:rPr>
              <w:t>euro</w:t>
            </w:r>
            <w:r w:rsidRPr="007D603C">
              <w:rPr>
                <w:rFonts w:ascii="Times New Roman" w:eastAsia="Times New Roman" w:hAnsi="Times New Roman" w:cs="Times New Roman"/>
                <w:color w:val="000000"/>
                <w:kern w:val="0"/>
                <w:sz w:val="22"/>
                <w:szCs w:val="22"/>
                <w:lang w:eastAsia="lv-LV"/>
                <w14:ligatures w14:val="none"/>
              </w:rPr>
              <w:t>.</w:t>
            </w:r>
          </w:p>
        </w:tc>
      </w:tr>
      <w:tr w:rsidR="00986D35" w:rsidRPr="007D603C" w14:paraId="6BA63D07" w14:textId="77777777" w:rsidTr="00926BC3">
        <w:trPr>
          <w:trHeight w:val="625"/>
          <w:jc w:val="center"/>
        </w:trPr>
        <w:tc>
          <w:tcPr>
            <w:tcW w:w="988" w:type="dxa"/>
            <w:vMerge/>
          </w:tcPr>
          <w:p w14:paraId="4715CBFF"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2A3FD47F"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6DC7E453"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288F3C57"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A0A9692" w14:textId="549599F6" w:rsidR="008E1D65" w:rsidRPr="007D603C" w:rsidRDefault="008E1D65" w:rsidP="23FE07EA">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“Jā, ar nosacījumu”</w:t>
            </w:r>
            <w:r w:rsidRPr="007D603C">
              <w:rPr>
                <w:rFonts w:ascii="Times New Roman" w:eastAsia="ヒラギノ角ゴ Pro W3" w:hAnsi="Times New Roman" w:cs="Times New Roman"/>
                <w:kern w:val="0"/>
                <w:sz w:val="22"/>
                <w:szCs w:val="22"/>
                <w:lang w:eastAsia="lv-LV"/>
                <w14:ligatures w14:val="none"/>
              </w:rPr>
              <w:t>, ja:</w:t>
            </w:r>
          </w:p>
          <w:p w14:paraId="233F2506" w14:textId="0567FA68" w:rsidR="008E1D65" w:rsidRPr="007D603C" w:rsidRDefault="008E1D65" w:rsidP="005B50CF">
            <w:pPr>
              <w:numPr>
                <w:ilvl w:val="0"/>
                <w:numId w:val="4"/>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w:t>
            </w:r>
            <w:r w:rsidR="00E43B66"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w:t>
            </w:r>
          </w:p>
          <w:p w14:paraId="487C23AE" w14:textId="2C8E6580" w:rsidR="008E1D65" w:rsidRPr="007D603C" w:rsidRDefault="008E1D65" w:rsidP="005B50CF">
            <w:pPr>
              <w:numPr>
                <w:ilvl w:val="0"/>
                <w:numId w:val="4"/>
              </w:numPr>
              <w:spacing w:after="120"/>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bet vienlaikus ir piezīme, ka precīzu informāciju par nodokļu nomaksas stāvokli VID nevar sniegt, jo nodokļu maksātājs nav iesniedzis visas deklarācijas, kuras šo stāvokli uz pārbaudes datumu var ietekmēt.</w:t>
            </w:r>
          </w:p>
          <w:p w14:paraId="6E4D1A42" w14:textId="696E7526" w:rsidR="008E1D65" w:rsidRPr="007D603C" w:rsidRDefault="008E1D65" w:rsidP="23FE07EA">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Konstatējot minētos faktus, izvirza nosacījumus:</w:t>
            </w:r>
          </w:p>
          <w:p w14:paraId="1EF5549C" w14:textId="0A7723AE" w:rsidR="008E1D65" w:rsidRPr="007D603C" w:rsidRDefault="008E1D65" w:rsidP="005B50CF">
            <w:pPr>
              <w:numPr>
                <w:ilvl w:val="0"/>
                <w:numId w:val="5"/>
              </w:numPr>
              <w:ind w:left="313" w:hanging="31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veikt visu nodokļu parādu nomaksu, nodrošinot, ka projekta iesniedzējam</w:t>
            </w:r>
            <w:r w:rsidR="00092270" w:rsidRPr="007D603C">
              <w:rPr>
                <w:rFonts w:ascii="Times New Roman" w:eastAsia="ヒラギノ角ゴ Pro W3" w:hAnsi="Times New Roman" w:cs="Times New Roman"/>
                <w:kern w:val="0"/>
                <w:sz w:val="22"/>
                <w:szCs w:val="22"/>
                <w:lang w:eastAsia="lv-LV"/>
                <w14:ligatures w14:val="none"/>
              </w:rPr>
              <w:t xml:space="preserve"> </w:t>
            </w:r>
            <w:r w:rsidRPr="007D603C">
              <w:rPr>
                <w:rFonts w:ascii="Times New Roman" w:eastAsia="ヒラギノ角ゴ Pro W3" w:hAnsi="Times New Roman" w:cs="Times New Roman"/>
                <w:kern w:val="0"/>
                <w:sz w:val="22"/>
                <w:szCs w:val="22"/>
                <w:lang w:eastAsia="lv-LV"/>
                <w14:ligatures w14:val="none"/>
              </w:rPr>
              <w:t>Latvijas Republikā projekta iesnieguma precizējumu iesniegšanas dienā nav nodokļu parādu, kas kopsummā katram atsevišķi pārsniedz 150</w:t>
            </w:r>
            <w:r w:rsidR="000149CD"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w:t>
            </w:r>
          </w:p>
          <w:p w14:paraId="44BB9740" w14:textId="77777777" w:rsidR="008E1D65" w:rsidRPr="007D603C" w:rsidRDefault="008E1D65" w:rsidP="005B50CF">
            <w:pPr>
              <w:numPr>
                <w:ilvl w:val="0"/>
                <w:numId w:val="5"/>
              </w:numPr>
              <w:spacing w:after="120"/>
              <w:ind w:left="313" w:hanging="31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iesniegt VID visas nodokļu deklarācijas, kas bija jāiesniedz līdz pārbaudes datumam, papildus iesniedzot sadarbības iestādē aktualizētu izziņu par faktisko nodokļu nomaksas stāvokli pārbaudes datumā.</w:t>
            </w:r>
          </w:p>
        </w:tc>
      </w:tr>
      <w:tr w:rsidR="00986D35" w:rsidRPr="007D603C" w14:paraId="13A701A9" w14:textId="77777777" w:rsidTr="00926BC3">
        <w:trPr>
          <w:trHeight w:val="625"/>
          <w:jc w:val="center"/>
        </w:trPr>
        <w:tc>
          <w:tcPr>
            <w:tcW w:w="988" w:type="dxa"/>
            <w:vMerge/>
          </w:tcPr>
          <w:p w14:paraId="63801A05"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447321FC"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0FEB972B"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5C12FF32"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5FD5124E" w14:textId="1EBE11CC" w:rsidR="008E1D65" w:rsidRPr="007D603C" w:rsidRDefault="008E1D65" w:rsidP="23FE07EA">
            <w:pPr>
              <w:spacing w:after="120"/>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“Nē”</w:t>
            </w:r>
            <w:r w:rsidRPr="007D603C">
              <w:rPr>
                <w:rFonts w:ascii="Times New Roman" w:eastAsia="ヒラギノ角ゴ Pro W3" w:hAnsi="Times New Roman" w:cs="Times New Roman"/>
                <w:kern w:val="0"/>
                <w:sz w:val="22"/>
                <w:szCs w:val="22"/>
                <w:lang w:eastAsia="lv-LV"/>
                <w14:ligatures w14:val="none"/>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w:t>
            </w:r>
            <w:r w:rsidR="00E43B66"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xml:space="preserve">. </w:t>
            </w:r>
          </w:p>
          <w:p w14:paraId="0C2C1ED1" w14:textId="77777777" w:rsidR="008E1D65" w:rsidRPr="007D603C" w:rsidRDefault="008E1D65" w:rsidP="23FE07EA">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26BF8" w:rsidRPr="007D603C" w14:paraId="6F052F09" w14:textId="77777777" w:rsidTr="00926BC3">
        <w:trPr>
          <w:trHeight w:val="625"/>
          <w:jc w:val="center"/>
        </w:trPr>
        <w:tc>
          <w:tcPr>
            <w:tcW w:w="988" w:type="dxa"/>
            <w:vMerge w:val="restart"/>
            <w:tcBorders>
              <w:top w:val="single" w:sz="4" w:space="0" w:color="auto"/>
            </w:tcBorders>
            <w:shd w:val="clear" w:color="auto" w:fill="auto"/>
          </w:tcPr>
          <w:p w14:paraId="760BB733" w14:textId="08957C5B" w:rsidR="00226BF8" w:rsidRPr="007D603C" w:rsidRDefault="00927CC5" w:rsidP="00226BF8">
            <w:pPr>
              <w:rPr>
                <w:rFonts w:ascii="Times New Roman" w:eastAsia="ヒラギノ角ゴ Pro W3" w:hAnsi="Times New Roman" w:cs="Times New Roman"/>
                <w:sz w:val="22"/>
                <w:szCs w:val="22"/>
              </w:rPr>
            </w:pPr>
            <w:r w:rsidRPr="007D603C">
              <w:rPr>
                <w:rFonts w:ascii="Times New Roman" w:eastAsia="ヒラギノ角ゴ Pro W3" w:hAnsi="Times New Roman" w:cs="Times New Roman"/>
                <w:sz w:val="22"/>
                <w:szCs w:val="22"/>
              </w:rPr>
              <w:lastRenderedPageBreak/>
              <w:t>1.3.</w:t>
            </w:r>
          </w:p>
        </w:tc>
        <w:tc>
          <w:tcPr>
            <w:tcW w:w="5105" w:type="dxa"/>
            <w:vMerge w:val="restart"/>
            <w:tcBorders>
              <w:top w:val="single" w:sz="4" w:space="0" w:color="auto"/>
            </w:tcBorders>
            <w:shd w:val="clear" w:color="auto" w:fill="auto"/>
          </w:tcPr>
          <w:p w14:paraId="5296D101" w14:textId="1F0559AA" w:rsidR="00226BF8" w:rsidRPr="007D603C" w:rsidRDefault="00927CC5" w:rsidP="00226BF8">
            <w:pPr>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Projekta iesniegumā ir identificēti, aprakstīti un izvērtēti projekta riski, novērtēta to ietekme un iestāšanās varbūtība, kā arī noteikti riskus mazinošie pasākumi.</w:t>
            </w:r>
          </w:p>
        </w:tc>
        <w:tc>
          <w:tcPr>
            <w:tcW w:w="1134" w:type="dxa"/>
            <w:vMerge w:val="restart"/>
            <w:tcBorders>
              <w:top w:val="single" w:sz="4" w:space="0" w:color="auto"/>
            </w:tcBorders>
            <w:shd w:val="clear" w:color="auto" w:fill="auto"/>
          </w:tcPr>
          <w:p w14:paraId="596354FB" w14:textId="151595F8" w:rsidR="00226BF8" w:rsidRPr="007D603C" w:rsidRDefault="00D6517E"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P</w:t>
            </w:r>
          </w:p>
        </w:tc>
        <w:tc>
          <w:tcPr>
            <w:tcW w:w="1415" w:type="dxa"/>
            <w:tcBorders>
              <w:top w:val="single" w:sz="4" w:space="0" w:color="auto"/>
            </w:tcBorders>
            <w:shd w:val="clear" w:color="auto" w:fill="auto"/>
          </w:tcPr>
          <w:p w14:paraId="65C3ABEE" w14:textId="23BEBCBB"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0BD448F8" w14:textId="77777777" w:rsidR="005F4F24" w:rsidRPr="007D603C" w:rsidRDefault="00927CC5" w:rsidP="00226BF8">
            <w:pPr>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b/>
                <w:bCs/>
                <w:color w:val="000000" w:themeColor="text1"/>
                <w:sz w:val="22"/>
                <w:szCs w:val="22"/>
              </w:rPr>
              <w:t>Vērtējums ir “Jā”</w:t>
            </w:r>
            <w:r w:rsidRPr="007D603C">
              <w:rPr>
                <w:rFonts w:ascii="Times New Roman" w:eastAsia="ヒラギノ角ゴ Pro W3" w:hAnsi="Times New Roman" w:cs="Times New Roman"/>
                <w:color w:val="000000" w:themeColor="text1"/>
                <w:sz w:val="22"/>
                <w:szCs w:val="22"/>
              </w:rPr>
              <w:t>, ja projekta iesniegumā:</w:t>
            </w:r>
          </w:p>
          <w:p w14:paraId="2D13BE98" w14:textId="471AE942"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656045FE" w14:textId="6F8C7CAF"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sniegts katra riska apraksts, t.i., konkretizējot riska būtību, kā arī raksturojot, kādi apstākļi un informācija pamato tā iestāšanās varbūtību;</w:t>
            </w:r>
          </w:p>
          <w:p w14:paraId="36CA9D39" w14:textId="7BDC13F7"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katram riskam ir norādīta tā ietekme (augsta, vidēja, zema) un iestāšanās varbūtība (augsta, vidēja, zema);</w:t>
            </w:r>
          </w:p>
          <w:p w14:paraId="2F41A482" w14:textId="4D56328A" w:rsidR="00226BF8" w:rsidRPr="007D603C" w:rsidRDefault="00927CC5" w:rsidP="005B50CF">
            <w:pPr>
              <w:pStyle w:val="Sarakstarindkopa"/>
              <w:numPr>
                <w:ilvl w:val="0"/>
                <w:numId w:val="28"/>
              </w:numPr>
              <w:spacing w:after="120"/>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226BF8" w:rsidRPr="007D603C" w14:paraId="00B37376" w14:textId="77777777" w:rsidTr="00926BC3">
        <w:trPr>
          <w:trHeight w:val="625"/>
          <w:jc w:val="center"/>
        </w:trPr>
        <w:tc>
          <w:tcPr>
            <w:tcW w:w="988" w:type="dxa"/>
            <w:vMerge/>
          </w:tcPr>
          <w:p w14:paraId="710CC6D8" w14:textId="33DA231E" w:rsidR="00226BF8" w:rsidRPr="007D603C" w:rsidRDefault="00226BF8" w:rsidP="00226BF8">
            <w:pPr>
              <w:rPr>
                <w:rFonts w:ascii="Times New Roman" w:eastAsia="ヒラギノ角ゴ Pro W3" w:hAnsi="Times New Roman" w:cs="Times New Roman"/>
                <w:sz w:val="22"/>
                <w:szCs w:val="22"/>
              </w:rPr>
            </w:pPr>
          </w:p>
        </w:tc>
        <w:tc>
          <w:tcPr>
            <w:tcW w:w="5105" w:type="dxa"/>
            <w:vMerge/>
          </w:tcPr>
          <w:p w14:paraId="269A765E" w14:textId="27FE0676" w:rsidR="00226BF8" w:rsidRPr="007D603C" w:rsidRDefault="00226BF8" w:rsidP="00226BF8">
            <w:pPr>
              <w:jc w:val="both"/>
              <w:rPr>
                <w:rFonts w:ascii="Times New Roman" w:eastAsia="ヒラギノ角ゴ Pro W3" w:hAnsi="Times New Roman" w:cs="Times New Roman"/>
                <w:color w:val="000000" w:themeColor="text1"/>
                <w:sz w:val="22"/>
                <w:szCs w:val="22"/>
              </w:rPr>
            </w:pPr>
          </w:p>
        </w:tc>
        <w:tc>
          <w:tcPr>
            <w:tcW w:w="1134" w:type="dxa"/>
            <w:vMerge/>
          </w:tcPr>
          <w:p w14:paraId="741D4AD7" w14:textId="36072CF5" w:rsidR="00226BF8" w:rsidRPr="007D603C" w:rsidRDefault="00226BF8" w:rsidP="00226BF8">
            <w:pPr>
              <w:jc w:val="center"/>
              <w:rPr>
                <w:rFonts w:ascii="Times New Roman" w:eastAsia="ヒラギノ角ゴ Pro W3" w:hAnsi="Times New Roman" w:cs="Times New Roman"/>
                <w:color w:val="000000" w:themeColor="text1"/>
                <w:sz w:val="22"/>
                <w:szCs w:val="22"/>
              </w:rPr>
            </w:pPr>
          </w:p>
        </w:tc>
        <w:tc>
          <w:tcPr>
            <w:tcW w:w="1415" w:type="dxa"/>
            <w:tcBorders>
              <w:top w:val="single" w:sz="4" w:space="0" w:color="auto"/>
            </w:tcBorders>
            <w:shd w:val="clear" w:color="auto" w:fill="auto"/>
          </w:tcPr>
          <w:p w14:paraId="6B795134" w14:textId="675B10CC"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4EC1B5B" w14:textId="4F4F445B" w:rsidR="00226BF8" w:rsidRPr="007D603C" w:rsidRDefault="00D741C8" w:rsidP="00226BF8">
            <w:pPr>
              <w:jc w:val="both"/>
              <w:rPr>
                <w:rFonts w:ascii="Times New Roman" w:eastAsia="ヒラギノ角ゴ Pro W3" w:hAnsi="Times New Roman" w:cs="Times New Roman"/>
                <w:b/>
                <w:bCs/>
                <w:color w:val="000000" w:themeColor="text1"/>
                <w:sz w:val="22"/>
                <w:szCs w:val="22"/>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520582E7" w14:textId="77777777" w:rsidTr="00926BC3">
        <w:trPr>
          <w:trHeight w:val="625"/>
          <w:jc w:val="center"/>
        </w:trPr>
        <w:tc>
          <w:tcPr>
            <w:tcW w:w="988" w:type="dxa"/>
            <w:vMerge/>
          </w:tcPr>
          <w:p w14:paraId="28A0BF93" w14:textId="73933B68" w:rsidR="00226BF8" w:rsidRPr="007D603C" w:rsidRDefault="00226BF8" w:rsidP="00226BF8">
            <w:pPr>
              <w:rPr>
                <w:rFonts w:ascii="Times New Roman" w:eastAsia="ヒラギノ角ゴ Pro W3" w:hAnsi="Times New Roman" w:cs="Times New Roman"/>
                <w:sz w:val="22"/>
                <w:szCs w:val="22"/>
              </w:rPr>
            </w:pPr>
          </w:p>
        </w:tc>
        <w:tc>
          <w:tcPr>
            <w:tcW w:w="5105" w:type="dxa"/>
            <w:vMerge/>
          </w:tcPr>
          <w:p w14:paraId="1D8103A9" w14:textId="14EF2567" w:rsidR="00226BF8" w:rsidRPr="007D603C" w:rsidRDefault="00226BF8" w:rsidP="00226BF8">
            <w:pPr>
              <w:jc w:val="both"/>
              <w:rPr>
                <w:rFonts w:ascii="Times New Roman" w:eastAsia="ヒラギノ角ゴ Pro W3" w:hAnsi="Times New Roman" w:cs="Times New Roman"/>
                <w:color w:val="000000" w:themeColor="text1"/>
                <w:sz w:val="22"/>
                <w:szCs w:val="22"/>
              </w:rPr>
            </w:pPr>
          </w:p>
        </w:tc>
        <w:tc>
          <w:tcPr>
            <w:tcW w:w="1134" w:type="dxa"/>
            <w:vMerge/>
          </w:tcPr>
          <w:p w14:paraId="0903FFC4" w14:textId="7368EA0C" w:rsidR="00226BF8" w:rsidRPr="007D603C" w:rsidRDefault="00226BF8" w:rsidP="00226BF8">
            <w:pPr>
              <w:jc w:val="center"/>
              <w:rPr>
                <w:rFonts w:ascii="Times New Roman" w:eastAsia="ヒラギノ角ゴ Pro W3" w:hAnsi="Times New Roman" w:cs="Times New Roman"/>
                <w:color w:val="000000" w:themeColor="text1"/>
                <w:sz w:val="22"/>
                <w:szCs w:val="22"/>
              </w:rPr>
            </w:pPr>
          </w:p>
        </w:tc>
        <w:tc>
          <w:tcPr>
            <w:tcW w:w="1415" w:type="dxa"/>
            <w:tcBorders>
              <w:top w:val="single" w:sz="4" w:space="0" w:color="auto"/>
            </w:tcBorders>
            <w:shd w:val="clear" w:color="auto" w:fill="auto"/>
          </w:tcPr>
          <w:p w14:paraId="7BCB4453" w14:textId="2BA04B29"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69547AA" w14:textId="2D4D4520" w:rsidR="00226BF8" w:rsidRPr="007D603C" w:rsidRDefault="00652313" w:rsidP="00652313">
            <w:pPr>
              <w:spacing w:after="120"/>
              <w:jc w:val="both"/>
              <w:rPr>
                <w:rFonts w:ascii="Times New Roman" w:eastAsia="ヒラギノ角ゴ Pro W3" w:hAnsi="Times New Roman" w:cs="Times New Roman"/>
                <w:b/>
                <w:bCs/>
                <w:color w:val="000000" w:themeColor="text1"/>
                <w:sz w:val="22"/>
                <w:szCs w:val="22"/>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6BF8" w:rsidRPr="007D603C" w14:paraId="2B27C689" w14:textId="77777777" w:rsidTr="00926BC3">
        <w:trPr>
          <w:trHeight w:val="625"/>
          <w:jc w:val="center"/>
        </w:trPr>
        <w:tc>
          <w:tcPr>
            <w:tcW w:w="988" w:type="dxa"/>
            <w:vMerge w:val="restart"/>
            <w:tcBorders>
              <w:top w:val="single" w:sz="4" w:space="0" w:color="auto"/>
            </w:tcBorders>
            <w:shd w:val="clear" w:color="auto" w:fill="auto"/>
          </w:tcPr>
          <w:p w14:paraId="015EC7E1" w14:textId="4F238AF7" w:rsidR="00226BF8" w:rsidRPr="007D603C" w:rsidRDefault="00226BF8" w:rsidP="00226BF8">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1.4.</w:t>
            </w:r>
          </w:p>
        </w:tc>
        <w:tc>
          <w:tcPr>
            <w:tcW w:w="5105" w:type="dxa"/>
            <w:vMerge w:val="restart"/>
            <w:tcBorders>
              <w:top w:val="single" w:sz="4" w:space="0" w:color="auto"/>
            </w:tcBorders>
            <w:shd w:val="clear" w:color="auto" w:fill="auto"/>
          </w:tcPr>
          <w:p w14:paraId="2C26BA09" w14:textId="77777777"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134" w:type="dxa"/>
            <w:vMerge w:val="restart"/>
            <w:tcBorders>
              <w:top w:val="single" w:sz="4" w:space="0" w:color="auto"/>
            </w:tcBorders>
            <w:shd w:val="clear" w:color="auto" w:fill="auto"/>
          </w:tcPr>
          <w:p w14:paraId="64BBC70E"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2D05CFC"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5E8BF920" w14:textId="59B0F2EA"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xml:space="preserve">, ja: </w:t>
            </w:r>
          </w:p>
          <w:p w14:paraId="3AE128B3" w14:textId="4CC1D034" w:rsidR="00226BF8" w:rsidRPr="007D603C" w:rsidRDefault="00226BF8" w:rsidP="005B50CF">
            <w:pPr>
              <w:pStyle w:val="Sarakstarindkopa"/>
              <w:numPr>
                <w:ilvl w:val="0"/>
                <w:numId w:val="9"/>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AE34054" w14:textId="4E4D020C" w:rsidR="00226BF8" w:rsidRPr="007D603C" w:rsidRDefault="00226BF8" w:rsidP="005B50CF">
            <w:pPr>
              <w:pStyle w:val="Sarakstarindkopa"/>
              <w:numPr>
                <w:ilvl w:val="0"/>
                <w:numId w:val="9"/>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apliecināts, ka projektā plānotie ieguldījumi par tām pašām izmaksām vienlaikus netiks finansēti ar cita projekta ietvaros piesaistītu līdzfinansējumu, novēršot dubultā finansējuma risku.</w:t>
            </w:r>
          </w:p>
        </w:tc>
      </w:tr>
      <w:tr w:rsidR="00226BF8" w:rsidRPr="007D603C" w14:paraId="5DA8A1C2" w14:textId="77777777" w:rsidTr="00926BC3">
        <w:trPr>
          <w:trHeight w:val="625"/>
          <w:jc w:val="center"/>
        </w:trPr>
        <w:tc>
          <w:tcPr>
            <w:tcW w:w="988" w:type="dxa"/>
            <w:vMerge/>
          </w:tcPr>
          <w:p w14:paraId="2FF83E87"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618382D4"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0D3EEB4A"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41D53B6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2C5540ED" w14:textId="3D7E606C" w:rsidR="00226BF8" w:rsidRPr="007D603C" w:rsidRDefault="005F55C4"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24757C61" w14:textId="77777777" w:rsidTr="00926BC3">
        <w:trPr>
          <w:trHeight w:val="625"/>
          <w:jc w:val="center"/>
        </w:trPr>
        <w:tc>
          <w:tcPr>
            <w:tcW w:w="988" w:type="dxa"/>
            <w:vMerge/>
          </w:tcPr>
          <w:p w14:paraId="29526B44"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59E9D6BC"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7ADFCBA0"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7693B773"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BF1C093" w14:textId="77777777" w:rsidR="00226BF8" w:rsidRPr="007D603C" w:rsidRDefault="00226BF8"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xml:space="preserve">, ja projekta iesniedzējs neizpilda lēmumā par projekta iesnieguma apstiprināšanu ar nosacījumiem ietvertos nosacījumus vai pēc nosacījumu izpildes joprojām neatbilst </w:t>
            </w:r>
            <w:r w:rsidRPr="007D603C">
              <w:rPr>
                <w:rFonts w:ascii="Times New Roman" w:eastAsia="Times New Roman" w:hAnsi="Times New Roman" w:cs="Times New Roman"/>
                <w:color w:val="000000"/>
                <w:kern w:val="0"/>
                <w:sz w:val="22"/>
                <w:szCs w:val="22"/>
                <w:lang w:eastAsia="lv-LV"/>
                <w14:ligatures w14:val="none"/>
              </w:rPr>
              <w:lastRenderedPageBreak/>
              <w:t>izvirzītajām prasībām, vai arī nosacījumus neizpilda lēmumā par projekta iesnieguma apstiprināšanu ar nosacījumiem noteiktajā termiņā.</w:t>
            </w:r>
          </w:p>
        </w:tc>
      </w:tr>
      <w:tr w:rsidR="00226BF8" w:rsidRPr="007D603C" w14:paraId="3114181E" w14:textId="77777777" w:rsidTr="00926BC3">
        <w:trPr>
          <w:trHeight w:val="625"/>
          <w:jc w:val="center"/>
        </w:trPr>
        <w:tc>
          <w:tcPr>
            <w:tcW w:w="988" w:type="dxa"/>
            <w:vMerge w:val="restart"/>
            <w:tcBorders>
              <w:top w:val="single" w:sz="4" w:space="0" w:color="auto"/>
            </w:tcBorders>
            <w:shd w:val="clear" w:color="auto" w:fill="auto"/>
          </w:tcPr>
          <w:p w14:paraId="4A3158D3" w14:textId="3ADC626C" w:rsidR="00226BF8" w:rsidRPr="007D603C" w:rsidRDefault="00226BF8" w:rsidP="00226BF8">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1.5.</w:t>
            </w:r>
          </w:p>
        </w:tc>
        <w:tc>
          <w:tcPr>
            <w:tcW w:w="5105" w:type="dxa"/>
            <w:vMerge w:val="restart"/>
            <w:tcBorders>
              <w:top w:val="single" w:sz="4" w:space="0" w:color="auto"/>
            </w:tcBorders>
            <w:shd w:val="clear" w:color="auto" w:fill="auto"/>
          </w:tcPr>
          <w:p w14:paraId="62296A58" w14:textId="0C992C5B" w:rsidR="00226BF8" w:rsidRPr="007D603C" w:rsidRDefault="001E515E" w:rsidP="00226BF8">
            <w:pPr>
              <w:jc w:val="both"/>
              <w:rPr>
                <w:rFonts w:ascii="Times New Roman" w:eastAsia="ヒラギノ角ゴ Pro W3" w:hAnsi="Times New Roman" w:cs="Times New Roman"/>
                <w:color w:val="000000"/>
                <w:kern w:val="0"/>
                <w:sz w:val="22"/>
                <w:szCs w:val="22"/>
                <w14:ligatures w14:val="none"/>
              </w:rPr>
            </w:pPr>
            <w:r w:rsidRPr="001E515E">
              <w:rPr>
                <w:rFonts w:ascii="Times New Roman" w:eastAsia="ヒラギノ角ゴ Pro W3" w:hAnsi="Times New Roman" w:cs="Times New Roman"/>
                <w:color w:val="000000"/>
                <w:kern w:val="0"/>
                <w:sz w:val="22"/>
                <w:szCs w:val="22"/>
                <w14:ligatures w14:val="none"/>
              </w:rPr>
              <w:t>Projekta iesniegumā plānotie komunikācijas un vizuālās identitātes prasību nodrošināšanas nosacījumi atbilst Kopīgo noteikumu regulas</w:t>
            </w:r>
            <w:r w:rsidRPr="007D603C">
              <w:rPr>
                <w:rFonts w:ascii="Times New Roman" w:eastAsia="ヒラギノ角ゴ Pro W3" w:hAnsi="Times New Roman" w:cs="Times New Roman"/>
                <w:color w:val="000000"/>
                <w:kern w:val="0"/>
                <w:sz w:val="22"/>
                <w:szCs w:val="22"/>
                <w:vertAlign w:val="superscript"/>
                <w14:ligatures w14:val="none"/>
              </w:rPr>
              <w:footnoteReference w:id="5"/>
            </w:r>
            <w:r w:rsidRPr="001E515E">
              <w:rPr>
                <w:rFonts w:ascii="Times New Roman" w:eastAsia="ヒラギノ角ゴ Pro W3" w:hAnsi="Times New Roman" w:cs="Times New Roman"/>
                <w:color w:val="000000"/>
                <w:kern w:val="0"/>
                <w:sz w:val="22"/>
                <w:szCs w:val="22"/>
                <w14:ligatures w14:val="none"/>
              </w:rPr>
              <w:t xml:space="preserve"> 47. un 50.</w:t>
            </w:r>
            <w:r>
              <w:rPr>
                <w:rFonts w:ascii="Times New Roman" w:eastAsia="ヒラギノ角ゴ Pro W3" w:hAnsi="Times New Roman" w:cs="Times New Roman"/>
                <w:color w:val="000000"/>
                <w:kern w:val="0"/>
                <w:sz w:val="22"/>
                <w:szCs w:val="22"/>
                <w14:ligatures w14:val="none"/>
              </w:rPr>
              <w:t> </w:t>
            </w:r>
            <w:r w:rsidRPr="001E515E">
              <w:rPr>
                <w:rFonts w:ascii="Times New Roman" w:eastAsia="ヒラギノ角ゴ Pro W3" w:hAnsi="Times New Roman" w:cs="Times New Roman"/>
                <w:color w:val="000000"/>
                <w:kern w:val="0"/>
                <w:sz w:val="22"/>
                <w:szCs w:val="22"/>
                <w14:ligatures w14:val="none"/>
              </w:rPr>
              <w:t>pantā, normatīvajos aktos, kas nosaka kārtību, kādā Eiropas Savienības fondu vadībā iesaistītās institūcijas nodrošina šo fondu ieviešanu 2021.–2027.</w:t>
            </w:r>
            <w:r w:rsidR="00CD294E">
              <w:rPr>
                <w:rFonts w:ascii="Times New Roman" w:eastAsia="ヒラギノ角ゴ Pro W3" w:hAnsi="Times New Roman" w:cs="Times New Roman"/>
                <w:color w:val="000000"/>
                <w:kern w:val="0"/>
                <w:sz w:val="22"/>
                <w:szCs w:val="22"/>
                <w14:ligatures w14:val="none"/>
              </w:rPr>
              <w:t> </w:t>
            </w:r>
            <w:r w:rsidRPr="001E515E">
              <w:rPr>
                <w:rFonts w:ascii="Times New Roman" w:eastAsia="ヒラギノ角ゴ Pro W3" w:hAnsi="Times New Roman" w:cs="Times New Roman"/>
                <w:color w:val="000000"/>
                <w:kern w:val="0"/>
                <w:sz w:val="22"/>
                <w:szCs w:val="22"/>
                <w14:ligatures w14:val="none"/>
              </w:rPr>
              <w:t>gada plānošanas periodā, un Eiropas Savienības fondu 2021.–2027. gada plānošanas perioda un Atveseļošanas fonda komunikācijas un dizaina vadlīnijās noteiktajam.</w:t>
            </w:r>
          </w:p>
        </w:tc>
        <w:tc>
          <w:tcPr>
            <w:tcW w:w="1134" w:type="dxa"/>
            <w:vMerge w:val="restart"/>
            <w:tcBorders>
              <w:top w:val="single" w:sz="4" w:space="0" w:color="auto"/>
            </w:tcBorders>
            <w:shd w:val="clear" w:color="auto" w:fill="auto"/>
          </w:tcPr>
          <w:p w14:paraId="69E1AE0C"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1DEFAC6"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32472D6F" w14:textId="7DAC0ED4" w:rsidR="00226BF8" w:rsidRPr="007D603C" w:rsidRDefault="00226BF8" w:rsidP="00226BF8">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“Jā”</w:t>
            </w:r>
            <w:r w:rsidRPr="007D603C">
              <w:rPr>
                <w:rFonts w:ascii="Times New Roman" w:eastAsia="ヒラギノ角ゴ Pro W3" w:hAnsi="Times New Roman" w:cs="Times New Roman"/>
                <w:kern w:val="0"/>
                <w:sz w:val="22"/>
                <w:szCs w:val="22"/>
                <w:lang w:eastAsia="lv-LV"/>
                <w14:ligatures w14:val="none"/>
              </w:rPr>
              <w:t>, ja projekta iesniegumā paredzēts:</w:t>
            </w:r>
          </w:p>
          <w:p w14:paraId="6FA6DB4E" w14:textId="77777777"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 </w:t>
            </w:r>
          </w:p>
          <w:p w14:paraId="281CF8A3" w14:textId="77777777"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4C941986" w14:textId="69A8B47E"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projektiem,</w:t>
            </w:r>
            <w:r w:rsidRPr="007D603C" w:rsidDel="00EC2085">
              <w:rPr>
                <w:rFonts w:ascii="Times New Roman" w:eastAsia="ヒラギノ角ゴ Pro W3" w:hAnsi="Times New Roman" w:cs="Times New Roman"/>
                <w:kern w:val="0"/>
                <w:sz w:val="22"/>
                <w:szCs w:val="22"/>
                <w:lang w:eastAsia="lv-LV"/>
                <w14:ligatures w14:val="none"/>
              </w:rPr>
              <w:t xml:space="preserve"> </w:t>
            </w:r>
            <w:r w:rsidRPr="007D603C">
              <w:rPr>
                <w:rFonts w:ascii="Times New Roman" w:eastAsia="ヒラギノ角ゴ Pro W3" w:hAnsi="Times New Roman" w:cs="Times New Roman"/>
                <w:kern w:val="0"/>
                <w:sz w:val="22"/>
                <w:szCs w:val="22"/>
                <w:lang w:eastAsia="lv-LV"/>
                <w14:ligatures w14:val="none"/>
              </w:rPr>
              <w:t>kuru kopējās izmaksas pārsniedz 500 000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7D603C">
              <w:rPr>
                <w:rFonts w:ascii="Times New Roman" w:eastAsia="ヒラギノ角ゴ Pro W3" w:hAnsi="Times New Roman" w:cs="Times New Roman"/>
                <w:kern w:val="0"/>
                <w:sz w:val="22"/>
                <w:szCs w:val="22"/>
                <w:vertAlign w:val="superscript"/>
                <w:lang w:eastAsia="lv-LV"/>
                <w14:ligatures w14:val="none"/>
              </w:rPr>
              <w:footnoteReference w:id="6"/>
            </w:r>
            <w:r w:rsidRPr="007D603C">
              <w:rPr>
                <w:rFonts w:ascii="Times New Roman" w:eastAsia="ヒラギノ角ゴ Pro W3" w:hAnsi="Times New Roman" w:cs="Times New Roman"/>
                <w:kern w:val="0"/>
                <w:sz w:val="22"/>
                <w:szCs w:val="22"/>
                <w:lang w:eastAsia="lv-LV"/>
                <w14:ligatures w14:val="none"/>
              </w:rPr>
              <w:t>, attiecībā uz projektā plānotajām darbībām un aktivitātēm;</w:t>
            </w:r>
          </w:p>
          <w:p w14:paraId="1307E620" w14:textId="39B91C42" w:rsidR="00226BF8" w:rsidRPr="007D603C" w:rsidRDefault="00226BF8" w:rsidP="005B50CF">
            <w:pPr>
              <w:numPr>
                <w:ilvl w:val="0"/>
                <w:numId w:val="6"/>
              </w:numPr>
              <w:spacing w:after="120"/>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226BF8" w:rsidRPr="007D603C" w14:paraId="74D9C67D" w14:textId="77777777" w:rsidTr="00926BC3">
        <w:trPr>
          <w:trHeight w:val="625"/>
          <w:jc w:val="center"/>
        </w:trPr>
        <w:tc>
          <w:tcPr>
            <w:tcW w:w="988" w:type="dxa"/>
            <w:vMerge/>
          </w:tcPr>
          <w:p w14:paraId="6AEDFD1B"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4713D637"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5F0DDAEA"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3194222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AEF9953" w14:textId="5D0EC9CA" w:rsidR="00226BF8" w:rsidRPr="007D603C" w:rsidRDefault="00FF4F7C"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2B5D93EA" w14:textId="77777777" w:rsidTr="00926BC3">
        <w:trPr>
          <w:trHeight w:val="625"/>
          <w:jc w:val="center"/>
        </w:trPr>
        <w:tc>
          <w:tcPr>
            <w:tcW w:w="988" w:type="dxa"/>
            <w:vMerge/>
          </w:tcPr>
          <w:p w14:paraId="61A0923C"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6816E621"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51877420"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547EDE4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2222C7F4" w14:textId="77777777" w:rsidR="00226BF8" w:rsidRPr="007D603C" w:rsidRDefault="00226BF8"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7D603C">
              <w:rPr>
                <w:rFonts w:ascii="Times New Roman" w:eastAsia="Times New Roman" w:hAnsi="Times New Roman" w:cs="Times New Roman"/>
                <w:color w:val="000000"/>
                <w:kern w:val="0"/>
                <w:sz w:val="22"/>
                <w:szCs w:val="22"/>
                <w:lang w:eastAsia="lv-LV"/>
                <w14:ligatures w14:val="none"/>
              </w:rPr>
              <w:lastRenderedPageBreak/>
              <w:t>projekta iesnieguma apstiprināšanu ar nosacījumiem noteiktajā termiņā.</w:t>
            </w:r>
          </w:p>
        </w:tc>
      </w:tr>
      <w:tr w:rsidR="00226BF8" w:rsidRPr="007D603C" w14:paraId="58CED87D" w14:textId="77777777" w:rsidTr="00926BC3">
        <w:trPr>
          <w:trHeight w:val="625"/>
          <w:jc w:val="center"/>
        </w:trPr>
        <w:tc>
          <w:tcPr>
            <w:tcW w:w="988" w:type="dxa"/>
            <w:vMerge w:val="restart"/>
          </w:tcPr>
          <w:p w14:paraId="4550AC55" w14:textId="0258BACA"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1.6.</w:t>
            </w:r>
          </w:p>
        </w:tc>
        <w:tc>
          <w:tcPr>
            <w:tcW w:w="5105" w:type="dxa"/>
            <w:vMerge w:val="restart"/>
          </w:tcPr>
          <w:p w14:paraId="453993A0" w14:textId="77777777" w:rsidR="00226BF8" w:rsidRPr="007D603C" w:rsidRDefault="00226BF8" w:rsidP="00226BF8">
            <w:pPr>
              <w:tabs>
                <w:tab w:val="left" w:pos="942"/>
                <w:tab w:val="left" w:pos="1257"/>
              </w:tabs>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iesniegumā paredzētais ES fonda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 </w:t>
            </w:r>
          </w:p>
          <w:p w14:paraId="4CE12DED" w14:textId="77777777" w:rsidR="00226BF8" w:rsidRPr="007D603C" w:rsidRDefault="00226BF8" w:rsidP="005B50CF">
            <w:pPr>
              <w:numPr>
                <w:ilvl w:val="0"/>
                <w:numId w:val="20"/>
              </w:numPr>
              <w:ind w:left="314" w:hanging="284"/>
              <w:jc w:val="both"/>
              <w:rPr>
                <w:rFonts w:ascii="Times New Roman" w:eastAsia="Times New Roman" w:hAnsi="Times New Roman" w:cs="Times New Roman"/>
                <w:kern w:val="0"/>
                <w:sz w:val="22"/>
                <w:szCs w:val="22"/>
                <w:lang w:eastAsia="x-none"/>
                <w14:ligatures w14:val="none"/>
              </w:rPr>
            </w:pPr>
            <w:r w:rsidRPr="007D603C">
              <w:rPr>
                <w:rFonts w:ascii="Times New Roman" w:eastAsia="Times New Roman" w:hAnsi="Times New Roman" w:cs="Times New Roman"/>
                <w:kern w:val="0"/>
                <w:sz w:val="22"/>
                <w:szCs w:val="22"/>
                <w:lang w:eastAsia="x-none"/>
                <w14:ligatures w14:val="none"/>
              </w:rPr>
              <w:t>ir saistītas ar projekta īstenošanu;</w:t>
            </w:r>
          </w:p>
          <w:p w14:paraId="2B86CF46" w14:textId="77777777" w:rsidR="00226BF8" w:rsidRPr="007D603C" w:rsidRDefault="00226BF8" w:rsidP="005B50CF">
            <w:pPr>
              <w:numPr>
                <w:ilvl w:val="0"/>
                <w:numId w:val="20"/>
              </w:numPr>
              <w:ind w:left="317" w:hanging="284"/>
              <w:jc w:val="both"/>
              <w:rPr>
                <w:rFonts w:ascii="Times New Roman" w:eastAsia="ヒラギノ角ゴ Pro W3" w:hAnsi="Times New Roman" w:cs="Times New Roman"/>
                <w:color w:val="000000"/>
                <w:kern w:val="0"/>
                <w:sz w:val="22"/>
                <w:szCs w:val="22"/>
                <w14:ligatures w14:val="none"/>
              </w:rPr>
            </w:pPr>
            <w:r w:rsidRPr="007D603C">
              <w:rPr>
                <w:rFonts w:ascii="Times New Roman" w:eastAsia="Times New Roman" w:hAnsi="Times New Roman" w:cs="Times New Roman"/>
                <w:kern w:val="0"/>
                <w:sz w:val="22"/>
                <w:szCs w:val="22"/>
                <w:lang w:eastAsia="x-none"/>
                <w14:ligatures w14:val="none"/>
              </w:rPr>
              <w:t>ir nepieciešamas projekta īstenošanai (projektā norādīto darbību īstenošanai, definētās problēmas risināšanai) un izvērtēta to lietderība;</w:t>
            </w:r>
          </w:p>
          <w:p w14:paraId="42F01FD5" w14:textId="184BB5B6" w:rsidR="00226BF8" w:rsidRPr="007D603C" w:rsidRDefault="00226BF8" w:rsidP="005B50CF">
            <w:pPr>
              <w:numPr>
                <w:ilvl w:val="0"/>
                <w:numId w:val="20"/>
              </w:numPr>
              <w:ind w:left="317" w:hanging="284"/>
              <w:jc w:val="both"/>
              <w:rPr>
                <w:rFonts w:ascii="Times New Roman" w:eastAsia="ヒラギノ角ゴ Pro W3" w:hAnsi="Times New Roman" w:cs="Times New Roman"/>
                <w:color w:val="000000"/>
                <w:kern w:val="0"/>
                <w:sz w:val="22"/>
                <w:szCs w:val="22"/>
                <w14:ligatures w14:val="none"/>
              </w:rPr>
            </w:pPr>
            <w:r w:rsidRPr="007D603C">
              <w:rPr>
                <w:rFonts w:ascii="Times New Roman" w:eastAsia="Times New Roman" w:hAnsi="Times New Roman" w:cs="Times New Roman"/>
                <w:kern w:val="0"/>
                <w:sz w:val="22"/>
                <w:szCs w:val="22"/>
                <w:lang w:eastAsia="lv-LV"/>
                <w14:ligatures w14:val="none"/>
              </w:rPr>
              <w:t>nodrošina projektā izvirzītā mērķa un rādītāju sasniegšanu.</w:t>
            </w:r>
          </w:p>
        </w:tc>
        <w:tc>
          <w:tcPr>
            <w:tcW w:w="1134" w:type="dxa"/>
            <w:vMerge w:val="restart"/>
          </w:tcPr>
          <w:p w14:paraId="1101F7E3" w14:textId="7D3B77F1"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38F7A36" w14:textId="6D7566D6" w:rsidR="00226BF8" w:rsidRPr="007D603C" w:rsidRDefault="00226BF8" w:rsidP="00226BF8">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4BF71D8C" w14:textId="4C083DDB"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xml:space="preserve">, ja projekta iesniegumā un projekta iesniegumam pievienotajos pielikumos, kas uzskaitīti nolikumā, norādītais </w:t>
            </w:r>
            <w:r w:rsidR="00CE32E3" w:rsidRPr="007D603C">
              <w:rPr>
                <w:rFonts w:ascii="Times New Roman" w:eastAsia="ヒラギノ角ゴ Pro W3" w:hAnsi="Times New Roman" w:cs="Times New Roman"/>
                <w:color w:val="000000"/>
                <w:kern w:val="0"/>
                <w:sz w:val="22"/>
                <w:szCs w:val="22"/>
                <w14:ligatures w14:val="none"/>
              </w:rPr>
              <w:t>Eiropas Reģionālās attīstības fonda finansējums un tā atbalsta intensitāte atbilst SAM MK noteikumos noteiktajam ES fonda finansējuma apjomam un atbalsta intensitātei, un projekta iesniegumā plānotās izmaksas atbilst MK noteikumos par SAM īstenošanu noteiktajām izmaksu pozīcijām un nepārsniedz to noteiktos apjomus (ja attiecināms), tai skaitā</w:t>
            </w:r>
            <w:r w:rsidRPr="007D603C">
              <w:rPr>
                <w:rFonts w:ascii="Times New Roman" w:eastAsia="ヒラギノ角ゴ Pro W3" w:hAnsi="Times New Roman" w:cs="Times New Roman"/>
                <w:color w:val="000000"/>
                <w:kern w:val="0"/>
                <w:sz w:val="22"/>
                <w:szCs w:val="22"/>
                <w14:ligatures w14:val="none"/>
              </w:rPr>
              <w:t>:</w:t>
            </w:r>
          </w:p>
          <w:p w14:paraId="62355CCC" w14:textId="2D1AA4DF" w:rsidR="00226BF8" w:rsidRPr="007D603C" w:rsidRDefault="00226BF8" w:rsidP="005B50CF">
            <w:pPr>
              <w:pStyle w:val="Sarakstarindkopa"/>
              <w:numPr>
                <w:ilvl w:val="0"/>
                <w:numId w:val="8"/>
              </w:numPr>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izmaksas ir nepieciešamas projekta plānoto darbību</w:t>
            </w:r>
            <w:r w:rsidR="00D43EDA" w:rsidRPr="007D603C">
              <w:rPr>
                <w:rFonts w:ascii="Times New Roman" w:eastAsia="ヒラギノ角ゴ Pro W3" w:hAnsi="Times New Roman" w:cs="Times New Roman"/>
                <w:color w:val="000000"/>
                <w:kern w:val="0"/>
                <w:sz w:val="22"/>
                <w:szCs w:val="22"/>
                <w14:ligatures w14:val="none"/>
              </w:rPr>
              <w:t xml:space="preserve"> īstenošanai</w:t>
            </w:r>
            <w:r w:rsidRPr="007D603C">
              <w:rPr>
                <w:rFonts w:ascii="Times New Roman" w:eastAsia="ヒラギノ角ゴ Pro W3" w:hAnsi="Times New Roman" w:cs="Times New Roman"/>
                <w:color w:val="000000"/>
                <w:kern w:val="0"/>
                <w:sz w:val="22"/>
                <w:szCs w:val="22"/>
                <w14:ligatures w14:val="none"/>
              </w:rPr>
              <w:t>;</w:t>
            </w:r>
          </w:p>
          <w:p w14:paraId="53AD4231" w14:textId="77777777" w:rsidR="0065195E" w:rsidRPr="007D603C" w:rsidRDefault="00226BF8" w:rsidP="005B50CF">
            <w:pPr>
              <w:pStyle w:val="Sarakstarindkopa"/>
              <w:numPr>
                <w:ilvl w:val="0"/>
                <w:numId w:val="8"/>
              </w:numPr>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7D603C">
              <w:rPr>
                <w:rFonts w:ascii="Times New Roman" w:hAnsi="Times New Roman" w:cs="Times New Roman"/>
                <w:vertAlign w:val="superscript"/>
              </w:rPr>
              <w:footnoteReference w:id="7"/>
            </w:r>
            <w:r w:rsidRPr="007D603C">
              <w:rPr>
                <w:rFonts w:ascii="Times New Roman" w:eastAsia="ヒラギノ角ゴ Pro W3" w:hAnsi="Times New Roman" w:cs="Times New Roman"/>
                <w:color w:val="000000"/>
                <w:kern w:val="0"/>
                <w:sz w:val="22"/>
                <w:szCs w:val="22"/>
                <w14:ligatures w14:val="none"/>
              </w:rPr>
              <w:t>, noslēgtiem nodomu protokoliem vai līgumiem (ja attiecināms) u.c. informāciju);</w:t>
            </w:r>
          </w:p>
          <w:p w14:paraId="02502CAF" w14:textId="1CE68C9E" w:rsidR="00226BF8" w:rsidRPr="007D603C" w:rsidRDefault="00226BF8" w:rsidP="005B50CF">
            <w:pPr>
              <w:pStyle w:val="Sarakstarindkopa"/>
              <w:numPr>
                <w:ilvl w:val="0"/>
                <w:numId w:val="8"/>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izmaksas nodrošina projektā izvirzītā mērķa un rādītāju sasniegšanu.</w:t>
            </w:r>
          </w:p>
        </w:tc>
      </w:tr>
      <w:tr w:rsidR="00B8154F" w:rsidRPr="007D603C" w14:paraId="171BBEAA" w14:textId="77777777" w:rsidTr="00926BC3">
        <w:trPr>
          <w:trHeight w:val="625"/>
          <w:jc w:val="center"/>
        </w:trPr>
        <w:tc>
          <w:tcPr>
            <w:tcW w:w="988" w:type="dxa"/>
            <w:vMerge/>
          </w:tcPr>
          <w:p w14:paraId="125425FB" w14:textId="77777777" w:rsidR="00B8154F" w:rsidRPr="007D603C" w:rsidRDefault="00B8154F" w:rsidP="00B8154F">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4141CE3F" w14:textId="77777777" w:rsidR="00B8154F" w:rsidRPr="007D603C" w:rsidRDefault="00B8154F" w:rsidP="00B8154F">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14922C58"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46BBDD32" w14:textId="377204D8"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021ADF8" w14:textId="7A5BAE6F" w:rsidR="00B8154F" w:rsidRPr="007D603C" w:rsidRDefault="00B8154F" w:rsidP="00B8154F">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0798D30" w14:textId="77777777" w:rsidTr="00926BC3">
        <w:trPr>
          <w:trHeight w:val="625"/>
          <w:jc w:val="center"/>
        </w:trPr>
        <w:tc>
          <w:tcPr>
            <w:tcW w:w="988" w:type="dxa"/>
            <w:vMerge/>
          </w:tcPr>
          <w:p w14:paraId="1E6E42BF" w14:textId="77777777" w:rsidR="00B8154F" w:rsidRPr="007D603C" w:rsidRDefault="00B8154F" w:rsidP="00B8154F">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07035BB4" w14:textId="77777777" w:rsidR="00B8154F" w:rsidRPr="007D603C" w:rsidRDefault="00B8154F" w:rsidP="00B8154F">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26E1B25A"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3B83F5BF" w14:textId="5FFEFF03"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50776C10" w14:textId="5489F46C" w:rsidR="00B8154F" w:rsidRPr="007D603C" w:rsidRDefault="00B8154F" w:rsidP="00B8154F">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7C614CE7" w14:textId="77777777" w:rsidTr="00926BC3">
        <w:trPr>
          <w:trHeight w:val="625"/>
          <w:jc w:val="center"/>
        </w:trPr>
        <w:tc>
          <w:tcPr>
            <w:tcW w:w="988" w:type="dxa"/>
            <w:vMerge w:val="restart"/>
            <w:tcBorders>
              <w:top w:val="single" w:sz="4" w:space="0" w:color="auto"/>
            </w:tcBorders>
            <w:shd w:val="clear" w:color="auto" w:fill="auto"/>
          </w:tcPr>
          <w:p w14:paraId="40003B4B"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1.7.</w:t>
            </w:r>
          </w:p>
        </w:tc>
        <w:tc>
          <w:tcPr>
            <w:tcW w:w="5105" w:type="dxa"/>
            <w:vMerge w:val="restart"/>
            <w:tcBorders>
              <w:top w:val="single" w:sz="4" w:space="0" w:color="auto"/>
            </w:tcBorders>
            <w:shd w:val="clear" w:color="auto" w:fill="auto"/>
          </w:tcPr>
          <w:p w14:paraId="63EF8A6E" w14:textId="4934CA63" w:rsidR="00B8154F" w:rsidRPr="007D603C" w:rsidRDefault="00B8154F" w:rsidP="00B8154F">
            <w:pPr>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iesniedzējam ir pietiekama īstenošanas un finanšu kapacitāte projekta īstenošanai.</w:t>
            </w:r>
          </w:p>
        </w:tc>
        <w:tc>
          <w:tcPr>
            <w:tcW w:w="1134" w:type="dxa"/>
            <w:vMerge w:val="restart"/>
            <w:tcBorders>
              <w:top w:val="single" w:sz="4" w:space="0" w:color="auto"/>
            </w:tcBorders>
            <w:shd w:val="clear" w:color="auto" w:fill="auto"/>
          </w:tcPr>
          <w:p w14:paraId="779E8429"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7410FCF"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3C27A107" w14:textId="77777777" w:rsidR="00B8154F" w:rsidRPr="007D603C" w:rsidRDefault="00B8154F" w:rsidP="00B8154F">
            <w:pPr>
              <w:pStyle w:val="Bezatstarpm"/>
              <w:spacing w:after="120"/>
              <w:jc w:val="both"/>
              <w:rPr>
                <w:rFonts w:ascii="Times New Roman" w:hAnsi="Times New Roman"/>
                <w:color w:val="000000" w:themeColor="text1"/>
              </w:rPr>
            </w:pPr>
            <w:r w:rsidRPr="007D603C">
              <w:rPr>
                <w:rFonts w:ascii="Times New Roman" w:hAnsi="Times New Roman"/>
                <w:b/>
                <w:bCs/>
                <w:color w:val="000000" w:themeColor="text1"/>
                <w:lang w:eastAsia="lv-LV"/>
              </w:rPr>
              <w:t>Vērtējums ir “Jā”</w:t>
            </w:r>
            <w:r w:rsidRPr="007D603C">
              <w:rPr>
                <w:rFonts w:ascii="Times New Roman" w:hAnsi="Times New Roman"/>
                <w:color w:val="000000" w:themeColor="text1"/>
                <w:lang w:eastAsia="lv-LV"/>
              </w:rPr>
              <w:t xml:space="preserve">, ja projekta iesniegumā </w:t>
            </w:r>
            <w:r w:rsidRPr="007D603C">
              <w:rPr>
                <w:rFonts w:ascii="Times New Roman" w:hAnsi="Times New Roman"/>
                <w:color w:val="000000" w:themeColor="text1"/>
              </w:rPr>
              <w:t>raksturotā projekta ieviešanai nepieciešamā īstenošanas un finanšu kapacitāte ir pietiekama.</w:t>
            </w:r>
          </w:p>
          <w:p w14:paraId="047C614B" w14:textId="7CE33F32" w:rsidR="00B8154F" w:rsidRPr="007D603C" w:rsidRDefault="00B8154F" w:rsidP="004845CA">
            <w:pPr>
              <w:pStyle w:val="Sarakstarindkopa"/>
              <w:spacing w:after="120"/>
              <w:ind w:left="28"/>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lastRenderedPageBreak/>
              <w:t>Projekta administrēšanas un īstenošanas kapacitāte</w:t>
            </w:r>
            <w:r w:rsidRPr="007D603C">
              <w:rPr>
                <w:rFonts w:ascii="Times New Roman" w:hAnsi="Times New Roman" w:cs="Times New Roman"/>
                <w:color w:val="000000" w:themeColor="text1"/>
                <w:sz w:val="22"/>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004845CA" w:rsidRPr="007D603C">
              <w:rPr>
                <w:rFonts w:ascii="Times New Roman" w:hAnsi="Times New Roman" w:cs="Times New Roman"/>
                <w:color w:val="000000" w:themeColor="text1"/>
                <w:sz w:val="22"/>
                <w:szCs w:val="22"/>
              </w:rPr>
              <w:t>.</w:t>
            </w:r>
          </w:p>
          <w:p w14:paraId="32AD3C09" w14:textId="77777777" w:rsidR="00B8154F" w:rsidRPr="007D603C" w:rsidRDefault="00B8154F" w:rsidP="00B8154F">
            <w:pPr>
              <w:pStyle w:val="Sarakstarindkopa"/>
              <w:ind w:left="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t>Finanšu kapacitāte</w:t>
            </w:r>
            <w:r w:rsidRPr="007D603C">
              <w:rPr>
                <w:rFonts w:ascii="Times New Roman" w:hAnsi="Times New Roman" w:cs="Times New Roman"/>
                <w:color w:val="000000" w:themeColor="text1"/>
                <w:sz w:val="22"/>
                <w:szCs w:val="22"/>
              </w:rPr>
              <w:t xml:space="preserve"> ir pietiekama, ja:</w:t>
            </w:r>
          </w:p>
          <w:p w14:paraId="3AE4EB2E" w14:textId="79256893" w:rsidR="00B8154F" w:rsidRPr="007D603C" w:rsidRDefault="00B8154F" w:rsidP="005B50CF">
            <w:pPr>
              <w:pStyle w:val="Sarakstarindkopa"/>
              <w:numPr>
                <w:ilvl w:val="0"/>
                <w:numId w:val="13"/>
              </w:numPr>
              <w:ind w:left="316" w:hanging="316"/>
              <w:jc w:val="both"/>
              <w:rPr>
                <w:rFonts w:ascii="Times New Roman" w:hAnsi="Times New Roman" w:cs="Times New Roman"/>
                <w:color w:val="000000" w:themeColor="text1"/>
                <w:sz w:val="22"/>
                <w:szCs w:val="22"/>
                <w:lang w:eastAsia="lv-LV"/>
              </w:rPr>
            </w:pPr>
            <w:r w:rsidRPr="007D603C">
              <w:rPr>
                <w:rFonts w:ascii="Times New Roman" w:hAnsi="Times New Roman" w:cs="Times New Roman"/>
                <w:color w:val="000000" w:themeColor="text1"/>
                <w:sz w:val="22"/>
                <w:szCs w:val="22"/>
                <w:lang w:eastAsia="lv-LV"/>
              </w:rPr>
              <w:t>norādīti un pamatoti finansējuma avoti projektā plānotā projekta iesniedzēja līdzfinansējuma nodrošināšanai;</w:t>
            </w:r>
          </w:p>
          <w:p w14:paraId="7B1F093E" w14:textId="362E5245" w:rsidR="00B8154F" w:rsidRPr="007D603C" w:rsidRDefault="00B8154F" w:rsidP="005B50CF">
            <w:pPr>
              <w:pStyle w:val="Sarakstarindkopa"/>
              <w:numPr>
                <w:ilvl w:val="0"/>
                <w:numId w:val="13"/>
              </w:numPr>
              <w:ind w:left="316" w:hanging="316"/>
              <w:jc w:val="both"/>
              <w:rPr>
                <w:rFonts w:ascii="Times New Roman" w:hAnsi="Times New Roman" w:cs="Times New Roman"/>
                <w:b/>
                <w:bCs/>
                <w:color w:val="000000" w:themeColor="text1"/>
                <w:sz w:val="22"/>
                <w:szCs w:val="22"/>
              </w:rPr>
            </w:pPr>
            <w:r w:rsidRPr="007D603C">
              <w:rPr>
                <w:rFonts w:ascii="Times New Roman" w:hAnsi="Times New Roman" w:cs="Times New Roman"/>
                <w:color w:val="000000" w:themeColor="text1"/>
                <w:sz w:val="22"/>
                <w:szCs w:val="22"/>
              </w:rPr>
              <w:t>sniegts pamatojums par projekta iesniedzēja spēju nodrošināt nepieciešamo projekta iesniedzēja līdzfinansējumu, tai skaitā</w:t>
            </w:r>
            <w:r w:rsidRPr="007D603C">
              <w:rPr>
                <w:rFonts w:ascii="Times New Roman" w:hAnsi="Times New Roman" w:cs="Times New Roman"/>
                <w:color w:val="000000" w:themeColor="text1"/>
                <w:sz w:val="22"/>
                <w:szCs w:val="22"/>
                <w:lang w:eastAsia="lv-LV"/>
              </w:rPr>
              <w:t>,</w:t>
            </w:r>
            <w:r w:rsidRPr="007D603C">
              <w:rPr>
                <w:rFonts w:ascii="Times New Roman" w:hAnsi="Times New Roman" w:cs="Times New Roman"/>
                <w:color w:val="000000" w:themeColor="text1"/>
                <w:sz w:val="22"/>
                <w:szCs w:val="22"/>
              </w:rPr>
              <w:t xml:space="preserve"> pamatojot projekta iesniedzēja pieejamību norādītajiem finansējuma avotiem projekta īstenošanas laikā un pamatojot nepārtrauktas finanšu plūsmas nodrošināšanu projekta ieviešanai tā plānotajā apjomā un termiņā</w:t>
            </w:r>
            <w:r w:rsidR="003F082D" w:rsidRPr="007D603C">
              <w:rPr>
                <w:rFonts w:ascii="Times New Roman" w:hAnsi="Times New Roman" w:cs="Times New Roman"/>
                <w:color w:val="000000" w:themeColor="text1"/>
                <w:sz w:val="22"/>
                <w:szCs w:val="22"/>
                <w:lang w:eastAsia="lv-LV"/>
              </w:rPr>
              <w:t>,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 Vērtējot projektu, ņem vērā, ka projekta vadības izmaksas nav attiecināmas un tās sedz projekta iesniedzējs, tamdēļ šī izmaksu pozīcija projekta iesniegumā netiek uzrādīta;</w:t>
            </w:r>
          </w:p>
          <w:p w14:paraId="70B27EF0" w14:textId="77777777" w:rsidR="00B8154F" w:rsidRPr="007D603C" w:rsidRDefault="00B8154F" w:rsidP="005B50CF">
            <w:pPr>
              <w:pStyle w:val="Sarakstarindkopa"/>
              <w:numPr>
                <w:ilvl w:val="0"/>
                <w:numId w:val="13"/>
              </w:numPr>
              <w:ind w:left="316" w:hanging="316"/>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ir norādīta informācija, vai un kādā apmērā plānots pieprasīt avansu projekta īstenošanai;</w:t>
            </w:r>
          </w:p>
          <w:p w14:paraId="038ABC2A" w14:textId="56F6D9AD" w:rsidR="00B8154F" w:rsidRPr="007D603C" w:rsidRDefault="00B8154F" w:rsidP="005B50CF">
            <w:pPr>
              <w:numPr>
                <w:ilvl w:val="0"/>
                <w:numId w:val="13"/>
              </w:numPr>
              <w:spacing w:after="120"/>
              <w:ind w:left="316" w:hanging="316"/>
              <w:jc w:val="both"/>
              <w:rPr>
                <w:rFonts w:ascii="Times New Roman" w:eastAsia="Times New Roman" w:hAnsi="Times New Roman" w:cs="Times New Roman"/>
                <w:kern w:val="0"/>
                <w:sz w:val="22"/>
                <w:szCs w:val="22"/>
                <w14:ligatures w14:val="none"/>
              </w:rPr>
            </w:pPr>
            <w:r w:rsidRPr="007D603C">
              <w:rPr>
                <w:rFonts w:ascii="Times New Roman" w:hAnsi="Times New Roman" w:cs="Times New Roman"/>
                <w:color w:val="000000" w:themeColor="text1"/>
                <w:sz w:val="22"/>
                <w:szCs w:val="22"/>
              </w:rPr>
              <w:t>norād</w:t>
            </w:r>
            <w:r w:rsidR="00EA3CA8" w:rsidRPr="007D603C">
              <w:rPr>
                <w:rFonts w:ascii="Times New Roman" w:hAnsi="Times New Roman" w:cs="Times New Roman"/>
                <w:color w:val="000000" w:themeColor="text1"/>
                <w:sz w:val="22"/>
                <w:szCs w:val="22"/>
              </w:rPr>
              <w:t>a</w:t>
            </w:r>
            <w:r w:rsidRPr="007D603C">
              <w:rPr>
                <w:rFonts w:ascii="Times New Roman" w:hAnsi="Times New Roman" w:cs="Times New Roman"/>
                <w:color w:val="000000" w:themeColor="text1"/>
                <w:sz w:val="22"/>
                <w:szCs w:val="22"/>
              </w:rPr>
              <w:t>, vai projekta attiecināmajās izmaksās ir iekļauts pievienotās vērtības nodoklis (turpmāk – PVN) atbilstoši regulas Nr. 2021/1060 64. panta 1. punkta “c” apakšpunktā ietvertajiem nosacījumiem.</w:t>
            </w:r>
          </w:p>
        </w:tc>
      </w:tr>
      <w:tr w:rsidR="00B8154F" w:rsidRPr="007D603C" w14:paraId="79B2B073" w14:textId="77777777" w:rsidTr="00926BC3">
        <w:trPr>
          <w:trHeight w:val="625"/>
          <w:jc w:val="center"/>
        </w:trPr>
        <w:tc>
          <w:tcPr>
            <w:tcW w:w="988" w:type="dxa"/>
            <w:vMerge/>
          </w:tcPr>
          <w:p w14:paraId="3BD03C38"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3EA30563" w14:textId="77777777" w:rsidR="00B8154F" w:rsidRPr="007D603C" w:rsidRDefault="00B8154F" w:rsidP="00B8154F">
            <w:pPr>
              <w:spacing w:after="200"/>
              <w:jc w:val="center"/>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0F12870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4D2C5C6"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4FA198B" w14:textId="56E3CCEC"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35808376" w14:textId="77777777" w:rsidTr="00926BC3">
        <w:trPr>
          <w:trHeight w:val="625"/>
          <w:jc w:val="center"/>
        </w:trPr>
        <w:tc>
          <w:tcPr>
            <w:tcW w:w="988" w:type="dxa"/>
            <w:vMerge/>
          </w:tcPr>
          <w:p w14:paraId="57282C81"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3B402D1A" w14:textId="77777777" w:rsidR="00B8154F" w:rsidRPr="007D603C" w:rsidRDefault="00B8154F" w:rsidP="00B8154F">
            <w:pPr>
              <w:spacing w:after="200"/>
              <w:jc w:val="center"/>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280F08ED"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63D634B4"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2BB0B79B"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42143011" w14:textId="77777777" w:rsidTr="00926BC3">
        <w:trPr>
          <w:trHeight w:val="625"/>
          <w:jc w:val="center"/>
        </w:trPr>
        <w:tc>
          <w:tcPr>
            <w:tcW w:w="988" w:type="dxa"/>
            <w:vMerge w:val="restart"/>
            <w:tcBorders>
              <w:top w:val="single" w:sz="4" w:space="0" w:color="auto"/>
            </w:tcBorders>
            <w:shd w:val="clear" w:color="auto" w:fill="auto"/>
          </w:tcPr>
          <w:p w14:paraId="1E400AA7"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1.8.</w:t>
            </w:r>
          </w:p>
        </w:tc>
        <w:tc>
          <w:tcPr>
            <w:tcW w:w="5105" w:type="dxa"/>
            <w:vMerge w:val="restart"/>
            <w:tcBorders>
              <w:top w:val="single" w:sz="4" w:space="0" w:color="auto"/>
            </w:tcBorders>
            <w:shd w:val="clear" w:color="auto" w:fill="auto"/>
          </w:tcPr>
          <w:p w14:paraId="19E578C5" w14:textId="7B7AC6FD" w:rsidR="00B8154F" w:rsidRPr="007D603C" w:rsidRDefault="00B8154F" w:rsidP="00B8154F">
            <w:pPr>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mērķis atbilst SAM MK noteikumos noteiktajam mērķim, definētie uzraudzības rādītāji nodrošina un apliecina mērķa sasniegšanu, uzraudzības rādītāji ir precīzi definēti, pamatoti un izmērāmi.</w:t>
            </w:r>
          </w:p>
        </w:tc>
        <w:tc>
          <w:tcPr>
            <w:tcW w:w="1134" w:type="dxa"/>
            <w:vMerge w:val="restart"/>
            <w:tcBorders>
              <w:top w:val="single" w:sz="4" w:space="0" w:color="auto"/>
            </w:tcBorders>
            <w:shd w:val="clear" w:color="auto" w:fill="auto"/>
          </w:tcPr>
          <w:p w14:paraId="1356D7B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059E3929"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7CC25BA7" w14:textId="77777777" w:rsidR="00B8154F" w:rsidRPr="007D603C" w:rsidRDefault="00B8154F" w:rsidP="00B8154F">
            <w:pPr>
              <w:pStyle w:val="Bezatstarpm"/>
              <w:jc w:val="both"/>
              <w:rPr>
                <w:rFonts w:ascii="Times New Roman" w:hAnsi="Times New Roman"/>
                <w:color w:val="000000" w:themeColor="text1"/>
              </w:rPr>
            </w:pPr>
            <w:r w:rsidRPr="007D603C">
              <w:rPr>
                <w:rFonts w:ascii="Times New Roman" w:hAnsi="Times New Roman"/>
                <w:b/>
                <w:bCs/>
                <w:color w:val="000000" w:themeColor="text1"/>
              </w:rPr>
              <w:t>Vērtējums ir „Jā”</w:t>
            </w:r>
            <w:r w:rsidRPr="007D603C">
              <w:rPr>
                <w:rFonts w:ascii="Times New Roman" w:hAnsi="Times New Roman"/>
                <w:color w:val="000000" w:themeColor="text1"/>
              </w:rPr>
              <w:t>, ja projekta iesniegumā:</w:t>
            </w:r>
          </w:p>
          <w:p w14:paraId="47430FF3" w14:textId="4FBE8143" w:rsidR="00B8154F" w:rsidRPr="007D603C" w:rsidRDefault="00B8154F" w:rsidP="005B50CF">
            <w:pPr>
              <w:pStyle w:val="Bezatstarpm"/>
              <w:numPr>
                <w:ilvl w:val="0"/>
                <w:numId w:val="11"/>
              </w:numPr>
              <w:ind w:left="316" w:hanging="316"/>
              <w:jc w:val="both"/>
              <w:rPr>
                <w:rFonts w:ascii="Times New Roman" w:hAnsi="Times New Roman"/>
                <w:color w:val="000000" w:themeColor="text1"/>
              </w:rPr>
            </w:pPr>
            <w:r w:rsidRPr="007D603C">
              <w:rPr>
                <w:rFonts w:ascii="Times New Roman" w:hAnsi="Times New Roman"/>
                <w:color w:val="000000" w:themeColor="text1"/>
              </w:rPr>
              <w:t>projekta mērķis atbilst SAM MK noteikumos noteiktajam;</w:t>
            </w:r>
          </w:p>
          <w:p w14:paraId="72C7C7E6" w14:textId="15E5021B" w:rsidR="00B8154F" w:rsidRPr="007D603C" w:rsidRDefault="00A63640" w:rsidP="005B50CF">
            <w:pPr>
              <w:pStyle w:val="Bezatstarpm"/>
              <w:numPr>
                <w:ilvl w:val="0"/>
                <w:numId w:val="11"/>
              </w:numPr>
              <w:spacing w:after="120"/>
              <w:ind w:left="316" w:hanging="316"/>
              <w:jc w:val="both"/>
              <w:rPr>
                <w:rFonts w:ascii="Times New Roman" w:hAnsi="Times New Roman"/>
                <w:color w:val="000000" w:themeColor="text1"/>
              </w:rPr>
            </w:pPr>
            <w:r w:rsidRPr="007D603C">
              <w:rPr>
                <w:rFonts w:ascii="Times New Roman" w:hAnsi="Times New Roman"/>
                <w:color w:val="000000" w:themeColor="text1"/>
              </w:rPr>
              <w:t xml:space="preserve">projekta iesniegumā </w:t>
            </w:r>
            <w:r w:rsidR="00B8154F" w:rsidRPr="007D603C">
              <w:rPr>
                <w:rFonts w:ascii="Times New Roman" w:hAnsi="Times New Roman"/>
                <w:color w:val="000000" w:themeColor="text1"/>
              </w:rPr>
              <w:t>norādītie uzraudzības rādītāji ir izmērāmi, atbilst SAM MK noteikumos noteiktajiem rādītājiem, un sniedz ieguldījumu mērķa sasniegšanā.</w:t>
            </w:r>
          </w:p>
          <w:p w14:paraId="754CAE99" w14:textId="10A3017F" w:rsidR="00B8154F" w:rsidRPr="007D603C" w:rsidRDefault="00B8154F" w:rsidP="00B8154F">
            <w:pPr>
              <w:pStyle w:val="Bezatstarpm"/>
              <w:jc w:val="both"/>
              <w:rPr>
                <w:rFonts w:ascii="Times New Roman" w:hAnsi="Times New Roman"/>
                <w:color w:val="000000" w:themeColor="text1"/>
              </w:rPr>
            </w:pPr>
            <w:r w:rsidRPr="007D603C">
              <w:rPr>
                <w:rFonts w:ascii="Times New Roman" w:hAnsi="Times New Roman"/>
                <w:color w:val="000000" w:themeColor="text1"/>
              </w:rPr>
              <w:t>Projekta iesniegumā minētie rezultāti sekmē SAM MK noteikumos noteikto uzraudzības rādītāju sasniegšanu:</w:t>
            </w:r>
          </w:p>
          <w:p w14:paraId="19D32117" w14:textId="77777777" w:rsidR="00B8154F" w:rsidRPr="007D603C" w:rsidRDefault="00B8154F" w:rsidP="00B8154F">
            <w:pPr>
              <w:pStyle w:val="Bezatstarpm"/>
              <w:ind w:left="316" w:hanging="316"/>
              <w:jc w:val="both"/>
              <w:rPr>
                <w:rFonts w:ascii="Times New Roman" w:hAnsi="Times New Roman"/>
                <w:color w:val="000000" w:themeColor="text1"/>
              </w:rPr>
            </w:pPr>
            <w:r w:rsidRPr="007D603C">
              <w:rPr>
                <w:rFonts w:ascii="Times New Roman" w:hAnsi="Times New Roman"/>
                <w:color w:val="000000" w:themeColor="text1"/>
              </w:rPr>
              <w:t>a)</w:t>
            </w:r>
            <w:r w:rsidRPr="007D603C">
              <w:tab/>
            </w:r>
            <w:r w:rsidRPr="007D603C">
              <w:rPr>
                <w:rFonts w:ascii="Times New Roman" w:hAnsi="Times New Roman"/>
                <w:color w:val="000000" w:themeColor="text1"/>
              </w:rPr>
              <w:t>iedzīvotāji, kuriem uzlabota notekūdeņu attīrīšanas kvalitāte un efektivitāte;</w:t>
            </w:r>
          </w:p>
          <w:p w14:paraId="53A92C6C" w14:textId="77777777" w:rsidR="00B8154F" w:rsidRPr="007D603C" w:rsidRDefault="00B8154F" w:rsidP="00B8154F">
            <w:pPr>
              <w:pStyle w:val="Bezatstarpm"/>
              <w:spacing w:after="120"/>
              <w:ind w:left="316" w:hanging="316"/>
              <w:jc w:val="both"/>
              <w:rPr>
                <w:rFonts w:ascii="Times New Roman" w:hAnsi="Times New Roman"/>
                <w:color w:val="000000" w:themeColor="text1"/>
              </w:rPr>
            </w:pPr>
            <w:r w:rsidRPr="007D603C">
              <w:rPr>
                <w:rFonts w:ascii="Times New Roman" w:hAnsi="Times New Roman"/>
                <w:color w:val="000000" w:themeColor="text1"/>
              </w:rPr>
              <w:t>b)</w:t>
            </w:r>
            <w:r w:rsidRPr="007D603C">
              <w:tab/>
            </w:r>
            <w:r w:rsidRPr="007D603C">
              <w:rPr>
                <w:rFonts w:ascii="Times New Roman" w:hAnsi="Times New Roman"/>
                <w:color w:val="000000" w:themeColor="text1"/>
              </w:rPr>
              <w:t>atbalstītie uzņēmumi (tai skaitā: mikrouzņēmumi, mazi, vidēji un lieli uzņēmumi).</w:t>
            </w:r>
          </w:p>
          <w:p w14:paraId="1246D2DD" w14:textId="1C1A0680" w:rsidR="00B8154F" w:rsidRPr="007D603C" w:rsidRDefault="00B8154F" w:rsidP="00B8154F">
            <w:pPr>
              <w:spacing w:after="120"/>
              <w:jc w:val="both"/>
              <w:rPr>
                <w:rFonts w:ascii="Times New Roman" w:eastAsia="ヒラギノ角ゴ Pro W3" w:hAnsi="Times New Roman" w:cs="Times New Roman"/>
                <w:kern w:val="0"/>
                <w:sz w:val="22"/>
                <w:szCs w:val="22"/>
                <w14:ligatures w14:val="none"/>
              </w:rPr>
            </w:pPr>
            <w:r w:rsidRPr="007D603C">
              <w:rPr>
                <w:rFonts w:ascii="Times New Roman" w:hAnsi="Times New Roman"/>
                <w:color w:val="000000" w:themeColor="text1"/>
                <w:sz w:val="22"/>
                <w:szCs w:val="22"/>
              </w:rPr>
              <w:t>Rezultāta rādītāja vērtību (iedzīvotāju skaitu) nosaka, izmantojot jaunākos pieejamos projekta iesniedzēja datus par centralizētajai notekūdeņu apsaimniekošanas sistēmai pieslēgto iedzīvotāju skaitu.</w:t>
            </w:r>
          </w:p>
        </w:tc>
      </w:tr>
      <w:tr w:rsidR="00B8154F" w:rsidRPr="007D603C" w14:paraId="119E9826" w14:textId="77777777" w:rsidTr="00926BC3">
        <w:trPr>
          <w:trHeight w:val="625"/>
          <w:jc w:val="center"/>
        </w:trPr>
        <w:tc>
          <w:tcPr>
            <w:tcW w:w="988" w:type="dxa"/>
            <w:vMerge/>
          </w:tcPr>
          <w:p w14:paraId="1B84D678"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52246859" w14:textId="77777777" w:rsidR="00B8154F" w:rsidRPr="007D603C" w:rsidRDefault="00B8154F" w:rsidP="00B8154F">
            <w:pPr>
              <w:spacing w:after="200"/>
              <w:jc w:val="both"/>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59C4055B"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00E6AE5"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5427B02D" w14:textId="592B5B10"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F9BAE48" w14:textId="77777777" w:rsidTr="00926BC3">
        <w:trPr>
          <w:trHeight w:val="625"/>
          <w:jc w:val="center"/>
        </w:trPr>
        <w:tc>
          <w:tcPr>
            <w:tcW w:w="988" w:type="dxa"/>
            <w:vMerge/>
          </w:tcPr>
          <w:p w14:paraId="0C3FAF91"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023F0547" w14:textId="77777777" w:rsidR="00B8154F" w:rsidRPr="007D603C" w:rsidRDefault="00B8154F" w:rsidP="00B8154F">
            <w:pPr>
              <w:spacing w:after="200"/>
              <w:jc w:val="both"/>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46BA1FBA"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6D5FFF7B"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6D90B85"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kern w:val="0"/>
                <w:sz w:val="22"/>
                <w:szCs w:val="22"/>
                <w:lang w:eastAsia="lv-LV"/>
                <w14:ligatures w14:val="none"/>
              </w:rPr>
              <w:t>Vērtējums ir</w:t>
            </w:r>
            <w:r w:rsidRPr="007D603C">
              <w:rPr>
                <w:rFonts w:ascii="Times New Roman" w:eastAsia="Times New Roman" w:hAnsi="Times New Roman" w:cs="Times New Roman"/>
                <w:kern w:val="0"/>
                <w:sz w:val="22"/>
                <w:szCs w:val="22"/>
                <w:lang w:eastAsia="lv-LV"/>
                <w14:ligatures w14:val="none"/>
              </w:rPr>
              <w:t xml:space="preserve"> </w:t>
            </w:r>
            <w:r w:rsidRPr="007D603C">
              <w:rPr>
                <w:rFonts w:ascii="Times New Roman" w:eastAsia="Times New Roman" w:hAnsi="Times New Roman" w:cs="Times New Roman"/>
                <w:b/>
                <w:bCs/>
                <w:kern w:val="0"/>
                <w:sz w:val="22"/>
                <w:szCs w:val="22"/>
                <w:lang w:eastAsia="lv-LV"/>
                <w14:ligatures w14:val="none"/>
              </w:rPr>
              <w:t>“Nē”</w:t>
            </w:r>
            <w:r w:rsidRPr="007D603C">
              <w:rPr>
                <w:rFonts w:ascii="Times New Roman" w:eastAsia="Times New Roman" w:hAnsi="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0B6438A1" w14:textId="77777777" w:rsidTr="00926BC3">
        <w:trPr>
          <w:trHeight w:val="625"/>
          <w:jc w:val="center"/>
        </w:trPr>
        <w:tc>
          <w:tcPr>
            <w:tcW w:w="988" w:type="dxa"/>
            <w:vMerge w:val="restart"/>
            <w:tcBorders>
              <w:top w:val="single" w:sz="4" w:space="0" w:color="auto"/>
            </w:tcBorders>
            <w:shd w:val="clear" w:color="auto" w:fill="auto"/>
          </w:tcPr>
          <w:p w14:paraId="3279C624"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1.9.</w:t>
            </w:r>
          </w:p>
        </w:tc>
        <w:tc>
          <w:tcPr>
            <w:tcW w:w="5105" w:type="dxa"/>
            <w:vMerge w:val="restart"/>
            <w:tcBorders>
              <w:top w:val="single" w:sz="4" w:space="0" w:color="auto"/>
            </w:tcBorders>
            <w:shd w:val="clear" w:color="auto" w:fill="auto"/>
          </w:tcPr>
          <w:p w14:paraId="04B31F95" w14:textId="77777777" w:rsidR="00B8154F" w:rsidRPr="007D603C" w:rsidRDefault="00B8154F" w:rsidP="00B8154F">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iesniegumā plānotie sagaidāmie rezultāti ir skaidri definēti un izriet no plānoto darbību aprakstiem, plānotās projekta darbības:</w:t>
            </w:r>
          </w:p>
          <w:p w14:paraId="3C0BAFD9" w14:textId="293EA9F4" w:rsidR="00B8154F" w:rsidRPr="007D603C" w:rsidRDefault="00B8154F" w:rsidP="005B50CF">
            <w:pPr>
              <w:numPr>
                <w:ilvl w:val="0"/>
                <w:numId w:val="7"/>
              </w:numPr>
              <w:ind w:left="323" w:hanging="32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atbilst SAM MK noteikumos noteiktajam un paredz saikni ar attiecīgajām atbalstāmajām darbībām;</w:t>
            </w:r>
          </w:p>
          <w:p w14:paraId="2765F019" w14:textId="77777777" w:rsidR="00B8154F" w:rsidRPr="007D603C" w:rsidRDefault="00B8154F" w:rsidP="005B50CF">
            <w:pPr>
              <w:numPr>
                <w:ilvl w:val="0"/>
                <w:numId w:val="7"/>
              </w:numPr>
              <w:ind w:left="323" w:hanging="323"/>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sz w:val="22"/>
                <w:szCs w:val="22"/>
                <w14:ligatures w14:val="none"/>
              </w:rPr>
              <w:t>ir precīzi definētas un pamatotas, un tās risina projektā definētās problēmas.</w:t>
            </w:r>
          </w:p>
        </w:tc>
        <w:tc>
          <w:tcPr>
            <w:tcW w:w="1134" w:type="dxa"/>
            <w:vMerge w:val="restart"/>
            <w:tcBorders>
              <w:top w:val="single" w:sz="4" w:space="0" w:color="auto"/>
            </w:tcBorders>
            <w:shd w:val="clear" w:color="auto" w:fill="auto"/>
          </w:tcPr>
          <w:p w14:paraId="0CB8C7E0"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27D89938"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55D4E892" w14:textId="0F00AF27" w:rsidR="00B8154F" w:rsidRPr="007D603C" w:rsidRDefault="00B8154F" w:rsidP="00B8154F">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t xml:space="preserve">Vērtējums ir “Jā”, </w:t>
            </w:r>
            <w:r w:rsidRPr="007D603C">
              <w:rPr>
                <w:rFonts w:ascii="Times New Roman" w:hAnsi="Times New Roman" w:cs="Times New Roman"/>
                <w:color w:val="000000" w:themeColor="text1"/>
                <w:sz w:val="22"/>
                <w:szCs w:val="22"/>
              </w:rPr>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SAM MK noteikumos norādītajiem horizontālajiem principiem (piemēram, ja projektā paredzēts palielināt notekūdeņu attīrīšanas iekārtu jaudu iedzīvotāju skaita vai centralizētajam kanalizācijas tīklam pieslēgto lietotāju skaita palielinājuma dēļ, ir aprakstīti un analizēti dati, kas </w:t>
            </w:r>
            <w:r w:rsidRPr="007D603C">
              <w:rPr>
                <w:rFonts w:ascii="Times New Roman" w:hAnsi="Times New Roman" w:cs="Times New Roman"/>
                <w:color w:val="000000" w:themeColor="text1"/>
                <w:sz w:val="22"/>
                <w:szCs w:val="22"/>
              </w:rPr>
              <w:lastRenderedPageBreak/>
              <w:t>pamato iedzīvotāju skaita aglomerācijā vai centralizētajam kanalizācijas tīklam pieslēgto iedzīvotāju  skaita palielināšanos vai, ja projektā paredzēta attīrīto notekūdeņu izvada atjaunošana vai pārbūve, ir jāpierāda vidē novadītā piesārņojuma vai tā riska samazināšana – projekta iesniegumā ir aprakstīts risks, kas veidojas, ja netiek atjaunots, izbūvēts vai pārbūvēts attīrīto notekūdeņu izvads un ar aprēķiniem tiek pamatots vidē novadītā piesārņojuma samazinājums, veicot projekta iesniegumā norādītās plānotās darbības).</w:t>
            </w:r>
          </w:p>
          <w:p w14:paraId="740BFFE0" w14:textId="5AAB1EC8"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hAnsi="Times New Roman" w:cs="Times New Roman"/>
                <w:color w:val="000000" w:themeColor="text1"/>
                <w:sz w:val="22"/>
                <w:szCs w:val="22"/>
              </w:rPr>
              <w:t xml:space="preserve">Projekta iesniegumā ietvertās plānotās darbības atbilst SAM MK noteikumos norādītajām </w:t>
            </w:r>
            <w:r w:rsidR="00612704" w:rsidRPr="007D603C">
              <w:rPr>
                <w:rFonts w:ascii="Times New Roman" w:hAnsi="Times New Roman" w:cs="Times New Roman"/>
                <w:color w:val="000000" w:themeColor="text1"/>
                <w:sz w:val="22"/>
                <w:szCs w:val="22"/>
              </w:rPr>
              <w:t xml:space="preserve">atbalstāmajām </w:t>
            </w:r>
            <w:r w:rsidR="00501D19" w:rsidRPr="007D603C">
              <w:rPr>
                <w:rFonts w:ascii="Times New Roman" w:hAnsi="Times New Roman" w:cs="Times New Roman"/>
                <w:color w:val="000000" w:themeColor="text1"/>
                <w:sz w:val="22"/>
                <w:szCs w:val="22"/>
              </w:rPr>
              <w:t xml:space="preserve">darbībām un </w:t>
            </w:r>
            <w:r w:rsidRPr="007D603C">
              <w:rPr>
                <w:rFonts w:ascii="Times New Roman" w:hAnsi="Times New Roman" w:cs="Times New Roman"/>
                <w:color w:val="000000" w:themeColor="text1"/>
                <w:sz w:val="22"/>
                <w:szCs w:val="22"/>
              </w:rPr>
              <w:t>izmaksu pozīcijām.</w:t>
            </w:r>
          </w:p>
        </w:tc>
      </w:tr>
      <w:tr w:rsidR="00B8154F" w:rsidRPr="007D603C" w14:paraId="4083758A" w14:textId="77777777" w:rsidTr="00926BC3">
        <w:trPr>
          <w:trHeight w:val="625"/>
          <w:jc w:val="center"/>
        </w:trPr>
        <w:tc>
          <w:tcPr>
            <w:tcW w:w="988" w:type="dxa"/>
            <w:vMerge/>
          </w:tcPr>
          <w:p w14:paraId="1EDD2812"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tcPr>
          <w:p w14:paraId="2556FB21" w14:textId="77777777" w:rsidR="00B8154F" w:rsidRPr="007D603C" w:rsidRDefault="00B8154F" w:rsidP="00B8154F">
            <w:pPr>
              <w:spacing w:after="200"/>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14ECEA7F"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FECC4E1"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949D52A" w14:textId="295831E4"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9F8F872" w14:textId="77777777" w:rsidTr="00926BC3">
        <w:trPr>
          <w:trHeight w:val="625"/>
          <w:jc w:val="center"/>
        </w:trPr>
        <w:tc>
          <w:tcPr>
            <w:tcW w:w="988" w:type="dxa"/>
            <w:vMerge/>
          </w:tcPr>
          <w:p w14:paraId="0E40FB57"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tcPr>
          <w:p w14:paraId="6DF6E1AA" w14:textId="77777777" w:rsidR="00B8154F" w:rsidRPr="007D603C" w:rsidRDefault="00B8154F" w:rsidP="00B8154F">
            <w:pPr>
              <w:spacing w:after="200"/>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333C254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bottom w:val="single" w:sz="4" w:space="0" w:color="auto"/>
            </w:tcBorders>
            <w:shd w:val="clear" w:color="auto" w:fill="auto"/>
          </w:tcPr>
          <w:p w14:paraId="256EEBA3"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2B5293B3"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kern w:val="0"/>
                <w:sz w:val="22"/>
                <w:szCs w:val="22"/>
                <w:lang w:eastAsia="lv-LV"/>
                <w14:ligatures w14:val="none"/>
              </w:rPr>
              <w:t>Vērtējums ir</w:t>
            </w:r>
            <w:r w:rsidRPr="007D603C">
              <w:rPr>
                <w:rFonts w:ascii="Times New Roman" w:eastAsia="Times New Roman" w:hAnsi="Times New Roman" w:cs="Times New Roman"/>
                <w:kern w:val="0"/>
                <w:sz w:val="22"/>
                <w:szCs w:val="22"/>
                <w:lang w:eastAsia="lv-LV"/>
                <w14:ligatures w14:val="none"/>
              </w:rPr>
              <w:t xml:space="preserve"> </w:t>
            </w:r>
            <w:r w:rsidRPr="007D603C">
              <w:rPr>
                <w:rFonts w:ascii="Times New Roman" w:eastAsia="Times New Roman" w:hAnsi="Times New Roman" w:cs="Times New Roman"/>
                <w:b/>
                <w:bCs/>
                <w:kern w:val="0"/>
                <w:sz w:val="22"/>
                <w:szCs w:val="22"/>
                <w:lang w:eastAsia="lv-LV"/>
                <w14:ligatures w14:val="none"/>
              </w:rPr>
              <w:t>“Nē”</w:t>
            </w:r>
            <w:r w:rsidRPr="007D603C">
              <w:rPr>
                <w:rFonts w:ascii="Times New Roman" w:eastAsia="Times New Roman" w:hAnsi="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w:t>
            </w:r>
            <w:r w:rsidRPr="007D603C" w:rsidDel="00032ABC">
              <w:rPr>
                <w:rFonts w:ascii="Times New Roman" w:eastAsia="Times New Roman" w:hAnsi="Times New Roman" w:cs="Times New Roman"/>
                <w:kern w:val="0"/>
                <w:sz w:val="22"/>
                <w:szCs w:val="22"/>
                <w:lang w:eastAsia="lv-LV"/>
                <w14:ligatures w14:val="none"/>
              </w:rPr>
              <w:t>, vai arī nosacījumus neizpilda lēmumā par projekta iesnieguma apstiprināšanu ar nosacījumiem noteiktajā termiņā.</w:t>
            </w:r>
          </w:p>
        </w:tc>
      </w:tr>
      <w:tr w:rsidR="00B8154F" w:rsidRPr="007D603C" w14:paraId="7A37F3B1" w14:textId="77777777" w:rsidTr="00926BC3">
        <w:trPr>
          <w:trHeight w:val="622"/>
          <w:jc w:val="center"/>
        </w:trPr>
        <w:tc>
          <w:tcPr>
            <w:tcW w:w="15002" w:type="dxa"/>
            <w:gridSpan w:val="5"/>
            <w:shd w:val="clear" w:color="auto" w:fill="F2F2F2" w:themeFill="background1" w:themeFillShade="F2"/>
            <w:vAlign w:val="center"/>
          </w:tcPr>
          <w:p w14:paraId="3C8CA237" w14:textId="0272170A" w:rsidR="00B8154F" w:rsidRPr="007D603C" w:rsidRDefault="00B8154F" w:rsidP="00B8154F">
            <w:pPr>
              <w:rPr>
                <w:rFonts w:ascii="Times New Roman" w:eastAsia="Times New Roman" w:hAnsi="Times New Roman" w:cs="Times New Roman"/>
                <w:b/>
                <w:bCs/>
                <w:kern w:val="0"/>
                <w:lang w:eastAsia="lv-LV"/>
                <w14:ligatures w14:val="none"/>
              </w:rPr>
            </w:pPr>
            <w:r w:rsidRPr="007D603C">
              <w:rPr>
                <w:rFonts w:ascii="Times New Roman" w:eastAsia="Times New Roman" w:hAnsi="Times New Roman" w:cs="Times New Roman"/>
                <w:b/>
                <w:bCs/>
                <w:kern w:val="0"/>
                <w:lang w:eastAsia="lv-LV"/>
                <w14:ligatures w14:val="none"/>
              </w:rPr>
              <w:t>2. VIENOTAIS IZVĒLES KRITĒRIJS</w:t>
            </w:r>
          </w:p>
        </w:tc>
      </w:tr>
      <w:tr w:rsidR="00B8154F" w:rsidRPr="007D603C" w14:paraId="6241964A" w14:textId="77777777" w:rsidTr="00926BC3">
        <w:trPr>
          <w:trHeight w:val="625"/>
          <w:jc w:val="center"/>
        </w:trPr>
        <w:tc>
          <w:tcPr>
            <w:tcW w:w="988" w:type="dxa"/>
            <w:vMerge w:val="restart"/>
          </w:tcPr>
          <w:p w14:paraId="2D673A53" w14:textId="4B473E0B"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2.1.</w:t>
            </w:r>
          </w:p>
        </w:tc>
        <w:tc>
          <w:tcPr>
            <w:tcW w:w="5105" w:type="dxa"/>
            <w:vMerge w:val="restart"/>
          </w:tcPr>
          <w:p w14:paraId="6C3549C8" w14:textId="3DD8D60F"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iesniedzējs nav grūtībās nonācis saimnieciskās darbības veicējs.</w:t>
            </w:r>
          </w:p>
        </w:tc>
        <w:tc>
          <w:tcPr>
            <w:tcW w:w="1134" w:type="dxa"/>
            <w:vMerge w:val="restart"/>
          </w:tcPr>
          <w:p w14:paraId="535C705F" w14:textId="4EA17C00"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N</w:t>
            </w:r>
            <w:r w:rsidRPr="007D603C">
              <w:rPr>
                <w:rFonts w:ascii="Times New Roman" w:eastAsia="ヒラギノ角ゴ Pro W3" w:hAnsi="Times New Roman" w:cs="Times New Roman"/>
                <w:b/>
                <w:bCs/>
                <w:color w:val="000000"/>
                <w:kern w:val="0"/>
                <w:sz w:val="22"/>
                <w:szCs w:val="22"/>
                <w:vertAlign w:val="superscript"/>
                <w14:ligatures w14:val="none"/>
              </w:rPr>
              <w:footnoteReference w:id="8"/>
            </w:r>
          </w:p>
        </w:tc>
        <w:tc>
          <w:tcPr>
            <w:tcW w:w="1415" w:type="dxa"/>
            <w:tcBorders>
              <w:top w:val="single" w:sz="4" w:space="0" w:color="auto"/>
              <w:bottom w:val="single" w:sz="4" w:space="0" w:color="auto"/>
            </w:tcBorders>
            <w:shd w:val="clear" w:color="auto" w:fill="auto"/>
          </w:tcPr>
          <w:p w14:paraId="1C4FC9F3" w14:textId="1C7858EC"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bottom w:val="single" w:sz="4" w:space="0" w:color="auto"/>
            </w:tcBorders>
            <w:shd w:val="clear" w:color="auto" w:fill="auto"/>
          </w:tcPr>
          <w:p w14:paraId="0584DC01" w14:textId="72CC4269"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iesniedzējs uz projekta iesnieguma iesniegšanas dienu un/vai komercdarbības atbalsta piešķiršanas dienu (nevienā no minētajiem datumiem) nav grūtībās nonācis uzņēmums</w:t>
            </w:r>
            <w:r w:rsidRPr="007D603C">
              <w:rPr>
                <w:rFonts w:ascii="Times New Roman" w:eastAsia="Times New Roman" w:hAnsi="Times New Roman" w:cs="Times New Roman"/>
                <w:kern w:val="0"/>
                <w:sz w:val="22"/>
                <w:szCs w:val="22"/>
                <w:vertAlign w:val="superscript"/>
                <w:lang w:eastAsia="lv-LV"/>
                <w14:ligatures w14:val="none"/>
              </w:rPr>
              <w:footnoteReference w:id="9"/>
            </w:r>
            <w:r w:rsidRPr="007D603C">
              <w:rPr>
                <w:rFonts w:ascii="Times New Roman" w:eastAsia="Times New Roman" w:hAnsi="Times New Roman" w:cs="Times New Roman"/>
                <w:kern w:val="0"/>
                <w:sz w:val="22"/>
                <w:szCs w:val="22"/>
                <w:lang w:eastAsia="lv-LV"/>
                <w14:ligatures w14:val="none"/>
              </w:rPr>
              <w:t xml:space="preserve"> (turpmāk – GNU) un uz to neattiecas neviena no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10"/>
            </w:r>
            <w:r w:rsidRPr="007D603C">
              <w:rPr>
                <w:rFonts w:ascii="Times New Roman" w:eastAsia="Times New Roman" w:hAnsi="Times New Roman" w:cs="Times New Roman"/>
                <w:kern w:val="0"/>
                <w:sz w:val="22"/>
                <w:szCs w:val="22"/>
                <w:lang w:eastAsia="lv-LV"/>
                <w14:ligatures w14:val="none"/>
              </w:rPr>
              <w:t xml:space="preserve"> 2. panta 18. punktā minētajām situācijām:</w:t>
            </w:r>
          </w:p>
          <w:p w14:paraId="47187845"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lastRenderedPageBreak/>
              <w:t>atbalsta pretendentam (izņemot MVU</w:t>
            </w:r>
            <w:r w:rsidRPr="007D603C">
              <w:rPr>
                <w:vertAlign w:val="superscript"/>
                <w:lang w:eastAsia="lv-LV"/>
              </w:rPr>
              <w:footnoteReference w:id="11"/>
            </w:r>
            <w:r w:rsidRPr="007D603C">
              <w:rPr>
                <w:rFonts w:ascii="Times New Roman" w:eastAsia="Times New Roman" w:hAnsi="Times New Roman" w:cs="Times New Roman"/>
                <w:kern w:val="0"/>
                <w:sz w:val="22"/>
                <w:szCs w:val="22"/>
                <w:lang w:eastAsia="lv-LV"/>
                <w14:ligatures w14:val="none"/>
              </w:rPr>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3B36D33"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6E64014E"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pretendents, kuram ierosināta tiesiskās aizsardzības procesa lieta, tiek īstenots tiesiskās aizsardzības process vai pasludināts maksātnespējas process, vai tas atbilst normatīvajos aktos noteiktiem kritērijiem</w:t>
            </w:r>
            <w:r w:rsidRPr="007D603C">
              <w:rPr>
                <w:rFonts w:ascii="Times New Roman" w:eastAsia="Times New Roman" w:hAnsi="Times New Roman" w:cs="Times New Roman"/>
                <w:kern w:val="0"/>
                <w:sz w:val="22"/>
                <w:szCs w:val="22"/>
                <w:vertAlign w:val="superscript"/>
                <w:lang w:eastAsia="lv-LV"/>
                <w14:ligatures w14:val="none"/>
              </w:rPr>
              <w:footnoteReference w:id="12"/>
            </w:r>
            <w:r w:rsidRPr="007D603C">
              <w:rPr>
                <w:rFonts w:ascii="Times New Roman" w:eastAsia="Times New Roman" w:hAnsi="Times New Roman" w:cs="Times New Roman"/>
                <w:kern w:val="0"/>
                <w:sz w:val="22"/>
                <w:szCs w:val="22"/>
                <w:lang w:eastAsia="lv-LV"/>
                <w14:ligatures w14:val="none"/>
              </w:rPr>
              <w:t>, lai tam pēc kreditora pieprasījuma piemērotu maksātnespējas procedūru;</w:t>
            </w:r>
          </w:p>
          <w:p w14:paraId="347DACC8"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pretendents ir saņēmis glābšanas atbalstu un vēl nav atmaksājis aizdevumu vai atsaucis garantiju, vai ir saņēmis pārstrukturēšanas atbalstu un uz to joprojām attiecas pārstrukturēšanas plāns;</w:t>
            </w:r>
          </w:p>
          <w:p w14:paraId="1D71FDDA" w14:textId="4F98319A" w:rsidR="00B8154F" w:rsidRPr="007D603C" w:rsidRDefault="00B8154F" w:rsidP="005B50CF">
            <w:pPr>
              <w:pStyle w:val="Sarakstarindkopa"/>
              <w:numPr>
                <w:ilvl w:val="0"/>
                <w:numId w:val="21"/>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56283EA" w14:textId="737722E2"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Tomēr regulu Nr. 651/2014</w:t>
            </w:r>
            <w:r w:rsidRPr="007D603C">
              <w:rPr>
                <w:rStyle w:val="Vresatsauce"/>
                <w:rFonts w:ascii="Times New Roman" w:eastAsia="Times New Roman" w:hAnsi="Times New Roman" w:cs="Times New Roman"/>
                <w:kern w:val="0"/>
                <w:sz w:val="22"/>
                <w:szCs w:val="22"/>
                <w:lang w:eastAsia="lv-LV"/>
                <w14:ligatures w14:val="none"/>
              </w:rPr>
              <w:footnoteReference w:id="13"/>
            </w:r>
            <w:r w:rsidRPr="007D603C">
              <w:rPr>
                <w:rFonts w:ascii="Times New Roman" w:eastAsia="Times New Roman" w:hAnsi="Times New Roman" w:cs="Times New Roman"/>
                <w:kern w:val="0"/>
                <w:sz w:val="22"/>
                <w:szCs w:val="22"/>
                <w:lang w:eastAsia="lv-LV"/>
                <w14:ligatures w14:val="none"/>
              </w:rPr>
              <w:t xml:space="preserve"> izņēmuma kārtā var piemērot uzņēmumiem, kuri 2019. gada 31. decembrī nebija nonākuši grūtībās, taču kļuva par GNU laikā no 2020. gada 1. janvāra līdz 2021. gada </w:t>
            </w:r>
            <w:r w:rsidRPr="007D603C">
              <w:rPr>
                <w:rFonts w:ascii="Times New Roman" w:eastAsia="Times New Roman" w:hAnsi="Times New Roman" w:cs="Times New Roman"/>
                <w:kern w:val="0"/>
                <w:sz w:val="22"/>
                <w:szCs w:val="22"/>
                <w:lang w:eastAsia="lv-LV"/>
                <w14:ligatures w14:val="none"/>
              </w:rPr>
              <w:lastRenderedPageBreak/>
              <w:t xml:space="preserve">31. decembrim, ja tas ir arī </w:t>
            </w:r>
            <w:r w:rsidRPr="007D603C">
              <w:rPr>
                <w:rFonts w:ascii="Times New Roman" w:eastAsia="Times New Roman" w:hAnsi="Times New Roman" w:cs="Times New Roman"/>
                <w:i/>
                <w:iCs/>
                <w:kern w:val="0"/>
                <w:sz w:val="22"/>
                <w:szCs w:val="22"/>
                <w:lang w:eastAsia="lv-LV"/>
                <w14:ligatures w14:val="none"/>
              </w:rPr>
              <w:t>expressis verbis</w:t>
            </w:r>
            <w:r w:rsidRPr="007D603C">
              <w:rPr>
                <w:rFonts w:ascii="Times New Roman" w:eastAsia="Times New Roman" w:hAnsi="Times New Roman" w:cs="Times New Roman"/>
                <w:kern w:val="0"/>
                <w:sz w:val="22"/>
                <w:szCs w:val="22"/>
                <w:lang w:eastAsia="lv-LV"/>
                <w14:ligatures w14:val="none"/>
              </w:rPr>
              <w:t xml:space="preserve"> paredzētas attiecīgajos SAM MK noteikumos un ja to pieļauj ES fondu normatīvais regulējums.</w:t>
            </w:r>
          </w:p>
          <w:p w14:paraId="53F2D34B" w14:textId="65721A2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ERAF un KF gadījumā atbilstību Eiropas Parlamenta un Padomes 2021. gada 24. jūnija regulas Nr. 2021/1058, par Eiropas Reģionālās attīstības fondu un Kohēzijas fondu 7. panta 1. punkta “d” apakšpunktā noteiktajam</w:t>
            </w:r>
            <w:r w:rsidRPr="007D603C">
              <w:rPr>
                <w:rFonts w:ascii="Times New Roman" w:eastAsia="Times New Roman" w:hAnsi="Times New Roman" w:cs="Times New Roman"/>
                <w:kern w:val="0"/>
                <w:sz w:val="22"/>
                <w:szCs w:val="22"/>
                <w:vertAlign w:val="superscript"/>
                <w:lang w:eastAsia="lv-LV"/>
                <w14:ligatures w14:val="none"/>
              </w:rPr>
              <w:footnoteReference w:id="14"/>
            </w:r>
            <w:r w:rsidRPr="007D603C">
              <w:rPr>
                <w:rFonts w:ascii="Times New Roman" w:eastAsia="Times New Roman" w:hAnsi="Times New Roman" w:cs="Times New Roman"/>
                <w:kern w:val="0"/>
                <w:sz w:val="22"/>
                <w:szCs w:val="22"/>
                <w:lang w:eastAsia="lv-LV"/>
                <w14:ligatures w14:val="none"/>
              </w:rPr>
              <w:t xml:space="preserve">. </w:t>
            </w:r>
          </w:p>
          <w:p w14:paraId="2189B099"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Atbilstību kritērijam pārbauda: </w:t>
            </w:r>
          </w:p>
          <w:p w14:paraId="3131D18D" w14:textId="77777777" w:rsidR="00B8154F" w:rsidRPr="007D603C" w:rsidRDefault="00B8154F" w:rsidP="005B50CF">
            <w:pPr>
              <w:pStyle w:val="Sarakstarindkopa"/>
              <w:numPr>
                <w:ilvl w:val="0"/>
                <w:numId w:val="22"/>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uz projekta iesnieguma iesniegšanas dienu un;</w:t>
            </w:r>
          </w:p>
          <w:p w14:paraId="3781935D" w14:textId="77777777" w:rsidR="00B8154F" w:rsidRPr="007D603C" w:rsidRDefault="00B8154F" w:rsidP="005B50CF">
            <w:pPr>
              <w:pStyle w:val="Sarakstarindkopa"/>
              <w:numPr>
                <w:ilvl w:val="0"/>
                <w:numId w:val="22"/>
              </w:numPr>
              <w:spacing w:after="120"/>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uz lēmuma par projekta iesnieguma apstiprināšanas dienu vai atzinuma par nosacījumu izpildi pieņemšanas dienu, ja ir bijis pieņemts lēmums par projekta iesnieguma apstiprināšanu ar nosacījumu.</w:t>
            </w:r>
          </w:p>
          <w:p w14:paraId="22CD1E94" w14:textId="4E6A50AE" w:rsidR="00B8154F" w:rsidRPr="007D603C" w:rsidRDefault="00B8154F" w:rsidP="00B8154F">
            <w:pPr>
              <w:spacing w:after="120"/>
              <w:ind w:left="32"/>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Lēmums par projekta iesnieguma apstiprināšanu, kā arī atzinums par nosacījumu izpildi var būt lēmumi, ar kuriem tiek piešķirts komercdarbības atbalsts pretendentam.</w:t>
            </w:r>
          </w:p>
          <w:p w14:paraId="617DBE1E" w14:textId="2BE14695"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GNU pazīmes vērtē projekta iesniedzējam individuāli un tā saistīto personu grupai (ja attiecināms) saskaņā ar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15"/>
            </w:r>
            <w:r w:rsidRPr="007D603C">
              <w:rPr>
                <w:rFonts w:ascii="Times New Roman" w:eastAsia="Times New Roman" w:hAnsi="Times New Roman" w:cs="Times New Roman"/>
                <w:kern w:val="0"/>
                <w:sz w:val="22"/>
                <w:szCs w:val="22"/>
                <w:lang w:eastAsia="lv-LV"/>
                <w14:ligatures w14:val="none"/>
              </w:rPr>
              <w:t xml:space="preserve"> I pielikuma 3. panta 3. punktā definēto un balstoties uz Komisijas lietotāja rokasgrāmatā par MVU definīcijas piemērošanu</w:t>
            </w:r>
            <w:r w:rsidRPr="007D603C">
              <w:rPr>
                <w:rStyle w:val="Vresatsauce"/>
                <w:rFonts w:ascii="Times New Roman" w:eastAsia="Times New Roman" w:hAnsi="Times New Roman" w:cs="Times New Roman"/>
                <w:kern w:val="0"/>
                <w:sz w:val="22"/>
                <w:szCs w:val="22"/>
                <w:lang w:eastAsia="lv-LV"/>
                <w14:ligatures w14:val="none"/>
              </w:rPr>
              <w:footnoteReference w:id="16"/>
            </w:r>
            <w:r w:rsidRPr="007D603C">
              <w:rPr>
                <w:rFonts w:ascii="Times New Roman" w:eastAsia="Times New Roman" w:hAnsi="Times New Roman" w:cs="Times New Roman"/>
                <w:kern w:val="0"/>
                <w:sz w:val="22"/>
                <w:szCs w:val="22"/>
                <w:lang w:eastAsia="lv-LV"/>
                <w14:ligatures w14:val="none"/>
              </w:rPr>
              <w:t xml:space="preserve"> norādīto.</w:t>
            </w:r>
          </w:p>
          <w:p w14:paraId="321AD76D" w14:textId="534436D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w:t>
            </w:r>
            <w:r w:rsidRPr="007D603C">
              <w:rPr>
                <w:rFonts w:ascii="Times New Roman" w:eastAsia="Times New Roman" w:hAnsi="Times New Roman" w:cs="Times New Roman"/>
                <w:kern w:val="0"/>
                <w:sz w:val="22"/>
                <w:szCs w:val="22"/>
                <w:lang w:eastAsia="lv-LV"/>
                <w14:ligatures w14:val="none"/>
              </w:rPr>
              <w:lastRenderedPageBreak/>
              <w:t>normatīvajos aktos noteiktiem kritērijiem</w:t>
            </w:r>
            <w:r w:rsidRPr="007D603C">
              <w:rPr>
                <w:rStyle w:val="Vresatsauce"/>
                <w:rFonts w:ascii="Times New Roman" w:eastAsia="Times New Roman" w:hAnsi="Times New Roman" w:cs="Times New Roman"/>
                <w:kern w:val="0"/>
                <w:sz w:val="22"/>
                <w:szCs w:val="22"/>
                <w:lang w:eastAsia="lv-LV"/>
                <w14:ligatures w14:val="none"/>
              </w:rPr>
              <w:footnoteReference w:id="17"/>
            </w:r>
            <w:r w:rsidRPr="007D603C">
              <w:rPr>
                <w:rFonts w:ascii="Times New Roman" w:eastAsia="Times New Roman" w:hAnsi="Times New Roman" w:cs="Times New Roman"/>
                <w:kern w:val="0"/>
                <w:sz w:val="22"/>
                <w:szCs w:val="22"/>
                <w:lang w:eastAsia="lv-LV"/>
                <w14:ligatures w14:val="none"/>
              </w:rPr>
              <w:t>, lai tam pēc kreditora pieprasījuma piemērotu maksātnespējas procedūru.</w:t>
            </w:r>
          </w:p>
          <w:p w14:paraId="5A9F1AEF" w14:textId="581B551B"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Pieņemot lēmumu par projekta iesniedzēja atbilstību kritērijam, balstās uz projekta iesniegumam pievienoto informāciju uz iesniegšanas dienu un publiski pieejamiem</w:t>
            </w:r>
            <w:r w:rsidRPr="007D603C">
              <w:rPr>
                <w:rStyle w:val="Vresatsauce"/>
                <w:rFonts w:ascii="Times New Roman" w:eastAsia="Times New Roman" w:hAnsi="Times New Roman" w:cs="Times New Roman"/>
                <w:kern w:val="0"/>
                <w:sz w:val="22"/>
                <w:szCs w:val="22"/>
                <w:lang w:eastAsia="lv-LV"/>
                <w14:ligatures w14:val="none"/>
              </w:rPr>
              <w:footnoteReference w:id="18"/>
            </w:r>
            <w:r w:rsidRPr="007D603C">
              <w:rPr>
                <w:rFonts w:ascii="Times New Roman" w:eastAsia="Times New Roman" w:hAnsi="Times New Roman" w:cs="Times New Roman"/>
                <w:kern w:val="0"/>
                <w:sz w:val="22"/>
                <w:szCs w:val="22"/>
                <w:lang w:eastAsia="lv-LV"/>
                <w14:ligatures w14:val="none"/>
              </w:rPr>
              <w:t>, ticamiem datiem par projekta iesniedzēju un tā saistītiem uzņēmumiem (ja attiecināms), tai skaitā:</w:t>
            </w:r>
          </w:p>
          <w:p w14:paraId="2166C412" w14:textId="77777777" w:rsidR="00B8154F" w:rsidRPr="007D603C" w:rsidRDefault="00B8154F" w:rsidP="005B50CF">
            <w:pPr>
              <w:pStyle w:val="Sarakstarindkopa"/>
              <w:numPr>
                <w:ilvl w:val="0"/>
                <w:numId w:val="23"/>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kapitāldaļu turētājiem;</w:t>
            </w:r>
          </w:p>
          <w:p w14:paraId="3CD0A205" w14:textId="08F103E1" w:rsidR="00B8154F" w:rsidRPr="007D603C" w:rsidRDefault="00B8154F" w:rsidP="005B50CF">
            <w:pPr>
              <w:pStyle w:val="Sarakstarindkopa"/>
              <w:numPr>
                <w:ilvl w:val="0"/>
                <w:numId w:val="23"/>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finanšu situāciju:</w:t>
            </w:r>
          </w:p>
          <w:p w14:paraId="555014C9" w14:textId="68ACCE8B" w:rsidR="00B8154F" w:rsidRPr="007D603C" w:rsidRDefault="00B8154F" w:rsidP="005B50CF">
            <w:pPr>
              <w:pStyle w:val="Sarakstarindkopa"/>
              <w:numPr>
                <w:ilvl w:val="0"/>
                <w:numId w:val="24"/>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pēdējo gada pārskatu</w:t>
            </w:r>
            <w:r w:rsidRPr="007D603C">
              <w:rPr>
                <w:rFonts w:ascii="Times New Roman" w:eastAsia="Times New Roman" w:hAnsi="Times New Roman" w:cs="Times New Roman"/>
                <w:kern w:val="0"/>
                <w:sz w:val="22"/>
                <w:szCs w:val="22"/>
                <w:vertAlign w:val="superscript"/>
                <w:lang w:eastAsia="lv-LV"/>
                <w14:ligatures w14:val="none"/>
              </w:rPr>
              <w:footnoteReference w:id="19"/>
            </w:r>
            <w:r w:rsidRPr="007D603C">
              <w:rPr>
                <w:rFonts w:ascii="Times New Roman" w:eastAsia="Times New Roman" w:hAnsi="Times New Roman" w:cs="Times New Roman"/>
                <w:kern w:val="0"/>
                <w:sz w:val="22"/>
                <w:szCs w:val="22"/>
                <w:lang w:eastAsia="lv-LV"/>
                <w14:ligatures w14:val="none"/>
              </w:rPr>
              <w:t>, kurš iesniegts saskaņā ar normatīvo aktu prasībām un attiecīgi pārskata iesniegšanas savlaicīgums tiek vērtēts kontekstā ar šajā punktā definētajiem dokumentu iesniegšanas termiņiem;</w:t>
            </w:r>
          </w:p>
          <w:p w14:paraId="170AFEAA" w14:textId="473DA291" w:rsidR="00B8154F" w:rsidRPr="007D603C" w:rsidRDefault="00B8154F" w:rsidP="005B50CF">
            <w:pPr>
              <w:pStyle w:val="Sarakstarindkopa"/>
              <w:numPr>
                <w:ilvl w:val="0"/>
                <w:numId w:val="24"/>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20"/>
            </w:r>
            <w:r w:rsidRPr="007D603C">
              <w:rPr>
                <w:rFonts w:ascii="Times New Roman" w:eastAsia="Times New Roman" w:hAnsi="Times New Roman" w:cs="Times New Roman"/>
                <w:kern w:val="0"/>
                <w:sz w:val="22"/>
                <w:szCs w:val="22"/>
                <w:lang w:eastAsia="lv-LV"/>
                <w14:ligatures w14:val="none"/>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r w:rsidRPr="007D603C">
              <w:rPr>
                <w:rFonts w:ascii="Times New Roman" w:eastAsia="Times New Roman" w:hAnsi="Times New Roman" w:cs="Times New Roman"/>
                <w:kern w:val="0"/>
                <w:sz w:val="22"/>
                <w:szCs w:val="22"/>
                <w:lang w:eastAsia="lv-LV"/>
                <w14:ligatures w14:val="none"/>
              </w:rPr>
              <w:lastRenderedPageBreak/>
              <w:t>starpperiodu pārskatu par projekta iesniedzēja un par saistīto uzņēmumu (ja attiecināms) par starpperiodu, kuru apstiprinājis zvērināts revidents un ne “vecāku” kā viens mēnesis uz projekta iesnieguma iesniegšanas dienu;</w:t>
            </w:r>
          </w:p>
          <w:p w14:paraId="13225B10" w14:textId="22F0F1C0" w:rsidR="00B8154F" w:rsidRPr="007D603C" w:rsidRDefault="00B8154F" w:rsidP="005B50CF">
            <w:pPr>
              <w:pStyle w:val="Sarakstarindkopa"/>
              <w:numPr>
                <w:ilvl w:val="0"/>
                <w:numId w:val="23"/>
              </w:numPr>
              <w:spacing w:after="120"/>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informāciju par pamatkapitāla palielināšanu (parakstīts), kuru vērtē kompleksi kopā ar zvērināta revidenta apstiprinātu operatīvo starpperiodu pārskatu.</w:t>
            </w:r>
          </w:p>
          <w:p w14:paraId="3C033629" w14:textId="4DCB1F3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7D603C">
              <w:rPr>
                <w:rFonts w:ascii="Times New Roman" w:eastAsia="Times New Roman" w:hAnsi="Times New Roman" w:cs="Times New Roman"/>
                <w:kern w:val="0"/>
                <w:sz w:val="22"/>
                <w:szCs w:val="22"/>
                <w:vertAlign w:val="superscript"/>
                <w:lang w:eastAsia="lv-LV"/>
                <w14:ligatures w14:val="none"/>
              </w:rPr>
              <w:footnoteReference w:id="21"/>
            </w:r>
            <w:r w:rsidRPr="007D603C">
              <w:rPr>
                <w:rFonts w:ascii="Times New Roman" w:eastAsia="Times New Roman" w:hAnsi="Times New Roman" w:cs="Times New Roman"/>
                <w:kern w:val="0"/>
                <w:sz w:val="22"/>
                <w:szCs w:val="22"/>
                <w:lang w:eastAsia="lv-LV"/>
                <w14:ligatures w14:val="none"/>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B8154F" w:rsidRPr="007D603C" w14:paraId="62F54D8F" w14:textId="77777777" w:rsidTr="00926BC3">
        <w:trPr>
          <w:trHeight w:val="625"/>
          <w:jc w:val="center"/>
        </w:trPr>
        <w:tc>
          <w:tcPr>
            <w:tcW w:w="988" w:type="dxa"/>
            <w:vMerge/>
          </w:tcPr>
          <w:p w14:paraId="720495EB"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34F852A8"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3587BB4B"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328F1EE" w14:textId="7C6EACCA"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3C8DCA77"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w:t>
            </w:r>
          </w:p>
          <w:p w14:paraId="4752A531" w14:textId="77777777" w:rsidR="00B8154F" w:rsidRPr="007D603C" w:rsidRDefault="00B8154F" w:rsidP="005B50CF">
            <w:pPr>
              <w:pStyle w:val="Sarakstarindkopa"/>
              <w:numPr>
                <w:ilvl w:val="0"/>
                <w:numId w:val="25"/>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kaut vienai no Komisijas regulas Nr. 651/2014 2. panta 18. punktā minētajām situācijām uz projekta iesnieguma iesniegšanas dienu un/vai komercdarbības atbalsta piešķiršanas dienu atbilst:</w:t>
            </w:r>
          </w:p>
          <w:p w14:paraId="3B6581AB" w14:textId="77777777" w:rsidR="00B8154F" w:rsidRPr="007D603C" w:rsidRDefault="00B8154F" w:rsidP="005B50CF">
            <w:pPr>
              <w:pStyle w:val="Sarakstarindkopa"/>
              <w:numPr>
                <w:ilvl w:val="0"/>
                <w:numId w:val="26"/>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iesniedzējs, kurš ir autonoms uzņēmums;</w:t>
            </w:r>
          </w:p>
          <w:p w14:paraId="3A7D0659" w14:textId="77777777" w:rsidR="003C57A9" w:rsidRPr="007D603C" w:rsidRDefault="00B8154F" w:rsidP="005B50CF">
            <w:pPr>
              <w:pStyle w:val="Sarakstarindkopa"/>
              <w:numPr>
                <w:ilvl w:val="0"/>
                <w:numId w:val="26"/>
              </w:numPr>
              <w:spacing w:after="120"/>
              <w:ind w:left="714"/>
              <w:contextualSpacing w:val="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iesniedzējs, kurš ir saistīts uzņēmums;</w:t>
            </w:r>
          </w:p>
          <w:p w14:paraId="70EE6F05" w14:textId="41F04B14" w:rsidR="00B8154F" w:rsidRPr="007D603C" w:rsidRDefault="00B8154F" w:rsidP="005B50CF">
            <w:pPr>
              <w:pStyle w:val="Sarakstarindkopa"/>
              <w:numPr>
                <w:ilvl w:val="0"/>
                <w:numId w:val="29"/>
              </w:numPr>
              <w:spacing w:after="120"/>
              <w:ind w:left="311"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nav pieejama finanšu informācija:</w:t>
            </w:r>
          </w:p>
          <w:p w14:paraId="671EE990" w14:textId="77777777" w:rsidR="00B8154F" w:rsidRPr="007D603C" w:rsidRDefault="00B8154F" w:rsidP="005B50CF">
            <w:pPr>
              <w:pStyle w:val="Sarakstarindkopa"/>
              <w:numPr>
                <w:ilvl w:val="0"/>
                <w:numId w:val="27"/>
              </w:numPr>
              <w:ind w:left="741" w:hanging="425"/>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par pēdējo pilno pārskata gadu pirms projekta iesnieguma iesniegšanas, ja nav ievēroti normatīvie akti par gada pārskata iesniegšanu, piemēram, projekts iesniegts 21.05.2019., bet pēdējais pieejamais gada pārskats ir par 2017. gadu;</w:t>
            </w:r>
          </w:p>
          <w:p w14:paraId="44D60E74" w14:textId="4C115027" w:rsidR="00B8154F" w:rsidRPr="007D603C" w:rsidRDefault="00B8154F" w:rsidP="005B50CF">
            <w:pPr>
              <w:pStyle w:val="Sarakstarindkopa"/>
              <w:numPr>
                <w:ilvl w:val="0"/>
                <w:numId w:val="27"/>
              </w:numPr>
              <w:spacing w:after="120"/>
              <w:ind w:left="741" w:hanging="425"/>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r w:rsidRPr="007D603C">
              <w:rPr>
                <w:rFonts w:ascii="Times New Roman" w:eastAsia="Times New Roman" w:hAnsi="Times New Roman" w:cs="Times New Roman"/>
                <w:kern w:val="0"/>
                <w:sz w:val="22"/>
                <w:szCs w:val="22"/>
                <w:lang w:eastAsia="lv-LV"/>
                <w14:ligatures w14:val="none"/>
              </w:rPr>
              <w:lastRenderedPageBreak/>
              <w:t>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B8154F" w:rsidRPr="007D603C" w14:paraId="1746E23F" w14:textId="77777777" w:rsidTr="00926BC3">
        <w:trPr>
          <w:trHeight w:val="625"/>
          <w:jc w:val="center"/>
        </w:trPr>
        <w:tc>
          <w:tcPr>
            <w:tcW w:w="988" w:type="dxa"/>
            <w:vMerge w:val="restart"/>
          </w:tcPr>
          <w:p w14:paraId="57F76107" w14:textId="4D02D266"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2.2.</w:t>
            </w:r>
          </w:p>
        </w:tc>
        <w:tc>
          <w:tcPr>
            <w:tcW w:w="5105" w:type="dxa"/>
            <w:vMerge w:val="restart"/>
          </w:tcPr>
          <w:p w14:paraId="48524087" w14:textId="482D7EA9"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izmaksu lietderīgums ir pamatots ar projekta izmaksu un ieguvumu analīzi.</w:t>
            </w:r>
          </w:p>
        </w:tc>
        <w:tc>
          <w:tcPr>
            <w:tcW w:w="1134" w:type="dxa"/>
            <w:vMerge w:val="restart"/>
          </w:tcPr>
          <w:p w14:paraId="168265F8" w14:textId="67A12B84"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238E964A" w14:textId="338AC5CB"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6858FA6"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iesniegumam pievienota projekta izmaksu un ieguvumu analīze un tiek izpildīti šādi nosacījumi: </w:t>
            </w:r>
          </w:p>
          <w:p w14:paraId="7CE4DA06" w14:textId="1AB2A65C"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izmaksu un ieguvumu analīze sagatavota atbilstoši normatīvajā aktā, kas nosaka kārtību, kādā Eiropas Savienības fondu vadībā iesaistītās institūcijas nodrošina šo fondu ieviešanu 2021.–2027. gada plānošanas periodā noteiktajam; </w:t>
            </w:r>
          </w:p>
          <w:p w14:paraId="728D08CB" w14:textId="06B5CFC4"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analīzēs aprēķini ir aritmētiski korekti un izsekojami;</w:t>
            </w:r>
          </w:p>
          <w:p w14:paraId="27975440" w14:textId="1B28C90E"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aprēķinātā projekta ekonomiskā ienesīguma norma ir lielāka par sociālā diskonta likmi;</w:t>
            </w:r>
          </w:p>
          <w:p w14:paraId="7387E281" w14:textId="70E1A2A0"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 aprēķinātā projekta ekonomiskā neto pašreizējā vērtība ir lielāka par nulli;</w:t>
            </w:r>
          </w:p>
          <w:p w14:paraId="3F09651A" w14:textId="2A599499"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 ir izmantoti uz projektu iesniegumu atlases izsludināšanas/ uzaicinājumu izsūtīšanas brīdi aktuālie makroekonomiskie pieņēmumi un prognozes, ja nolikumā nav noteikts citādi;</w:t>
            </w:r>
          </w:p>
          <w:p w14:paraId="30285B64" w14:textId="2042F9BC"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analīze pamato projekta plānotā atbalsta samērīgumu, līdz minimumam ierobežojot atbalstu, nodrošinot, ka netiek pieļauta pārkompensācija.</w:t>
            </w:r>
          </w:p>
        </w:tc>
      </w:tr>
      <w:tr w:rsidR="00B8154F" w:rsidRPr="007D603C" w14:paraId="6842777F" w14:textId="77777777" w:rsidTr="00926BC3">
        <w:trPr>
          <w:trHeight w:val="625"/>
          <w:jc w:val="center"/>
        </w:trPr>
        <w:tc>
          <w:tcPr>
            <w:tcW w:w="988" w:type="dxa"/>
            <w:vMerge/>
          </w:tcPr>
          <w:p w14:paraId="074E8061"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699FC75A"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31AFB7CA"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D2A9008" w14:textId="6DBFB669"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24E45FF8" w14:textId="1BB8AF61"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3128D205" w14:textId="77777777" w:rsidTr="00926BC3">
        <w:trPr>
          <w:trHeight w:val="625"/>
          <w:jc w:val="center"/>
        </w:trPr>
        <w:tc>
          <w:tcPr>
            <w:tcW w:w="988" w:type="dxa"/>
            <w:vMerge/>
          </w:tcPr>
          <w:p w14:paraId="6B6CC5C4"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46EBD9DA"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61115E8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264552E" w14:textId="7A2161DF"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E24B462" w14:textId="50A5CB13"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B8154F" w:rsidRPr="007D603C" w14:paraId="0C1A6B08" w14:textId="77777777" w:rsidTr="00926BC3">
        <w:trPr>
          <w:trHeight w:val="409"/>
          <w:jc w:val="center"/>
        </w:trPr>
        <w:tc>
          <w:tcPr>
            <w:tcW w:w="6093" w:type="dxa"/>
            <w:gridSpan w:val="2"/>
            <w:vMerge w:val="restart"/>
            <w:shd w:val="clear" w:color="auto" w:fill="F2F2F2" w:themeFill="background1" w:themeFillShade="F2"/>
            <w:vAlign w:val="center"/>
          </w:tcPr>
          <w:p w14:paraId="13088B67" w14:textId="0EA7ABB8" w:rsidR="00B8154F" w:rsidRPr="007D603C" w:rsidRDefault="00B8154F" w:rsidP="00B8154F">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kern w:val="0"/>
                <w14:ligatures w14:val="none"/>
              </w:rPr>
              <w:t>3. SPECIFISKIE ATBILSTĪBAS KRITĒRIJI</w:t>
            </w:r>
          </w:p>
        </w:tc>
        <w:tc>
          <w:tcPr>
            <w:tcW w:w="2549" w:type="dxa"/>
            <w:gridSpan w:val="2"/>
            <w:shd w:val="clear" w:color="auto" w:fill="F2F2F2" w:themeFill="background1" w:themeFillShade="F2"/>
            <w:vAlign w:val="center"/>
          </w:tcPr>
          <w:p w14:paraId="15C7CB60" w14:textId="647B37E2"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2CD1EA68" w14:textId="38E16057" w:rsidR="00B8154F" w:rsidRPr="007D603C" w:rsidRDefault="00B8154F" w:rsidP="00B8154F">
            <w:pPr>
              <w:jc w:val="center"/>
              <w:rPr>
                <w:rFonts w:ascii="Times New Roman" w:eastAsia="Times New Roman" w:hAnsi="Times New Roman" w:cs="Times New Roman"/>
                <w:b/>
                <w:bCs/>
                <w:kern w:val="0"/>
                <w:sz w:val="22"/>
                <w:szCs w:val="22"/>
                <w:lang w:eastAsia="lv-LV"/>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B8154F" w:rsidRPr="007D603C" w14:paraId="467E9362" w14:textId="77777777" w:rsidTr="00926BC3">
        <w:trPr>
          <w:trHeight w:val="625"/>
          <w:jc w:val="center"/>
        </w:trPr>
        <w:tc>
          <w:tcPr>
            <w:tcW w:w="6093" w:type="dxa"/>
            <w:gridSpan w:val="2"/>
            <w:vMerge/>
          </w:tcPr>
          <w:p w14:paraId="54E6BF56"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shd w:val="clear" w:color="auto" w:fill="F2F2F2" w:themeFill="background1" w:themeFillShade="F2"/>
            <w:vAlign w:val="center"/>
          </w:tcPr>
          <w:p w14:paraId="334719F0" w14:textId="363D293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hAnsi="Times New Roman" w:cs="Times New Roman"/>
                <w:b/>
                <w:bCs/>
                <w:sz w:val="22"/>
                <w:szCs w:val="22"/>
              </w:rPr>
              <w:t>Kritērija veids</w:t>
            </w:r>
          </w:p>
        </w:tc>
        <w:tc>
          <w:tcPr>
            <w:tcW w:w="1415" w:type="dxa"/>
            <w:tcBorders>
              <w:top w:val="single" w:sz="4" w:space="0" w:color="auto"/>
              <w:bottom w:val="single" w:sz="4" w:space="0" w:color="auto"/>
            </w:tcBorders>
            <w:shd w:val="clear" w:color="auto" w:fill="F2F2F2" w:themeFill="background1" w:themeFillShade="F2"/>
            <w:vAlign w:val="center"/>
          </w:tcPr>
          <w:p w14:paraId="49BAE1E8" w14:textId="63630642"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hAnsi="Times New Roman" w:cs="Times New Roman"/>
                <w:b/>
                <w:bCs/>
                <w:sz w:val="22"/>
                <w:szCs w:val="22"/>
              </w:rPr>
              <w:t>Jā; Jā, ar nosacījumu; Nē; N/A</w:t>
            </w:r>
          </w:p>
        </w:tc>
        <w:tc>
          <w:tcPr>
            <w:tcW w:w="6360" w:type="dxa"/>
            <w:vMerge/>
          </w:tcPr>
          <w:p w14:paraId="21795354" w14:textId="77777777" w:rsidR="00B8154F" w:rsidRPr="007D603C" w:rsidRDefault="00B8154F" w:rsidP="00B8154F">
            <w:pPr>
              <w:spacing w:after="120"/>
              <w:jc w:val="both"/>
              <w:rPr>
                <w:rFonts w:ascii="Times New Roman" w:eastAsia="Times New Roman" w:hAnsi="Times New Roman" w:cs="Times New Roman"/>
                <w:b/>
                <w:bCs/>
                <w:kern w:val="0"/>
                <w:sz w:val="22"/>
                <w:szCs w:val="22"/>
                <w:lang w:eastAsia="lv-LV"/>
                <w14:ligatures w14:val="none"/>
              </w:rPr>
            </w:pPr>
          </w:p>
        </w:tc>
      </w:tr>
      <w:tr w:rsidR="00B8154F" w:rsidRPr="007D603C" w14:paraId="2C79F581" w14:textId="77777777" w:rsidTr="00926BC3">
        <w:trPr>
          <w:trHeight w:val="625"/>
          <w:jc w:val="center"/>
        </w:trPr>
        <w:tc>
          <w:tcPr>
            <w:tcW w:w="988" w:type="dxa"/>
            <w:vMerge w:val="restart"/>
          </w:tcPr>
          <w:p w14:paraId="00E8F697" w14:textId="02E0CB2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3.1.</w:t>
            </w:r>
          </w:p>
        </w:tc>
        <w:tc>
          <w:tcPr>
            <w:tcW w:w="5105" w:type="dxa"/>
            <w:vMerge w:val="restart"/>
          </w:tcPr>
          <w:p w14:paraId="0448A61F" w14:textId="47A10663"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Projekts tiek īstenots aglomerācijā ar piesārņojuma slodzes apjomu 10 000 - 100 000 cilvēkekvivalenti.</w:t>
            </w:r>
          </w:p>
        </w:tc>
        <w:tc>
          <w:tcPr>
            <w:tcW w:w="1134" w:type="dxa"/>
            <w:vMerge w:val="restart"/>
          </w:tcPr>
          <w:p w14:paraId="7219ADA1" w14:textId="6CDF7A15"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N</w:t>
            </w:r>
          </w:p>
        </w:tc>
        <w:tc>
          <w:tcPr>
            <w:tcW w:w="1415" w:type="dxa"/>
            <w:tcBorders>
              <w:top w:val="single" w:sz="4" w:space="0" w:color="auto"/>
              <w:bottom w:val="single" w:sz="4" w:space="0" w:color="auto"/>
            </w:tcBorders>
            <w:shd w:val="clear" w:color="auto" w:fill="auto"/>
          </w:tcPr>
          <w:p w14:paraId="5E26F1EE" w14:textId="3BD5177D"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171C1C64" w14:textId="799EB531"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norādītā projekta īstenošanas vieta atrodas aglomerācijā ar piesārņojuma slodzes apjomu cilvēkekvivalentos (turpmāk – CE) lielāku par 10 000, bet nepārsniedzot 100 000 atbilstoši Vides aizsardzības un reģionālās attīstības ministrijas publicētajam aglomerāciju ar CE 10 000 – 100 000 sarakstam</w:t>
            </w:r>
            <w:r w:rsidRPr="007D603C">
              <w:rPr>
                <w:rStyle w:val="Vresatsauce"/>
                <w:rFonts w:ascii="Times New Roman" w:eastAsia="Times New Roman" w:hAnsi="Times New Roman" w:cs="Times New Roman"/>
                <w:kern w:val="0"/>
                <w:sz w:val="22"/>
                <w:szCs w:val="22"/>
                <w:lang w:eastAsia="lv-LV"/>
                <w14:ligatures w14:val="none"/>
              </w:rPr>
              <w:footnoteReference w:id="22"/>
            </w:r>
            <w:r w:rsidRPr="007D603C">
              <w:rPr>
                <w:rFonts w:ascii="Times New Roman" w:eastAsia="Times New Roman" w:hAnsi="Times New Roman" w:cs="Times New Roman"/>
                <w:kern w:val="0"/>
                <w:sz w:val="22"/>
                <w:szCs w:val="22"/>
                <w:lang w:eastAsia="lv-LV"/>
                <w14:ligatures w14:val="none"/>
              </w:rPr>
              <w:t>, kas pieejams VARAM tīmekļa vietnē</w:t>
            </w:r>
            <w:r w:rsidRPr="007D603C">
              <w:rPr>
                <w:rStyle w:val="Vresatsauce"/>
                <w:rFonts w:ascii="Times New Roman" w:eastAsia="Times New Roman" w:hAnsi="Times New Roman" w:cs="Times New Roman"/>
                <w:kern w:val="0"/>
                <w:sz w:val="22"/>
                <w:szCs w:val="22"/>
                <w:lang w:eastAsia="lv-LV"/>
                <w14:ligatures w14:val="none"/>
              </w:rPr>
              <w:footnoteReference w:id="23"/>
            </w:r>
            <w:r w:rsidRPr="007D603C">
              <w:rPr>
                <w:rFonts w:ascii="Times New Roman" w:eastAsia="Times New Roman" w:hAnsi="Times New Roman" w:cs="Times New Roman"/>
                <w:kern w:val="0"/>
                <w:sz w:val="22"/>
                <w:szCs w:val="22"/>
                <w:lang w:eastAsia="lv-LV"/>
                <w14:ligatures w14:val="none"/>
              </w:rPr>
              <w:t>.</w:t>
            </w:r>
          </w:p>
        </w:tc>
      </w:tr>
      <w:tr w:rsidR="00B8154F" w:rsidRPr="007D603C" w14:paraId="17FD8F1D" w14:textId="77777777" w:rsidTr="00926BC3">
        <w:trPr>
          <w:trHeight w:val="625"/>
          <w:jc w:val="center"/>
        </w:trPr>
        <w:tc>
          <w:tcPr>
            <w:tcW w:w="988" w:type="dxa"/>
            <w:vMerge/>
          </w:tcPr>
          <w:p w14:paraId="37B83609"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30FDC712"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tcPr>
          <w:p w14:paraId="12CAC22D"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787FA83" w14:textId="179EFF77"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6A235FB" w14:textId="47C692D0"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tiek konstatēts, ka projektu plānots īstenot aglomerācijā, kuras piesārņojuma slodzes apjoms CE ir mazāks par 10 000 vai lielāks par 100 000 (projekta īstenošanas vieta neatrodas Vides aizsardzības un reģionālās attīstības ministrijas publicētajā aglomerāciju ar CE 10 000 – 100 000 sarakstā).</w:t>
            </w:r>
          </w:p>
        </w:tc>
      </w:tr>
      <w:tr w:rsidR="00B8154F" w:rsidRPr="007D603C" w14:paraId="4670F519" w14:textId="77777777" w:rsidTr="00926BC3">
        <w:trPr>
          <w:trHeight w:val="625"/>
          <w:jc w:val="center"/>
        </w:trPr>
        <w:tc>
          <w:tcPr>
            <w:tcW w:w="988" w:type="dxa"/>
            <w:vMerge w:val="restart"/>
          </w:tcPr>
          <w:p w14:paraId="0D4D1C72" w14:textId="534F142A"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3.2.</w:t>
            </w:r>
          </w:p>
        </w:tc>
        <w:tc>
          <w:tcPr>
            <w:tcW w:w="5105" w:type="dxa"/>
            <w:vMerge w:val="restart"/>
          </w:tcPr>
          <w:p w14:paraId="6248FB08" w14:textId="5EEC7D92" w:rsidR="00B8154F" w:rsidRPr="007D603C" w:rsidRDefault="00B8154F" w:rsidP="00B8154F">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iesniegumā sniegtā informācija atbilst komercdarbības atbalsta nosacījumiem, kas noteikti SAM MK noteikumos.</w:t>
            </w:r>
          </w:p>
        </w:tc>
        <w:tc>
          <w:tcPr>
            <w:tcW w:w="1134" w:type="dxa"/>
            <w:vMerge w:val="restart"/>
          </w:tcPr>
          <w:p w14:paraId="24D355E6" w14:textId="536FB4DE"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A9312EC" w14:textId="79A6F991"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EDA7B13" w14:textId="6CFB3DBC" w:rsidR="00343C6B"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iesniegums atbilst SAM MK noteikumu </w:t>
            </w:r>
            <w:r w:rsidR="00CD0496" w:rsidRPr="007D603C">
              <w:rPr>
                <w:rFonts w:ascii="Times New Roman" w:eastAsia="Times New Roman" w:hAnsi="Times New Roman" w:cs="Times New Roman"/>
                <w:kern w:val="0"/>
                <w:sz w:val="22"/>
                <w:szCs w:val="22"/>
                <w:lang w:eastAsia="lv-LV"/>
                <w14:ligatures w14:val="none"/>
              </w:rPr>
              <w:t>15</w:t>
            </w:r>
            <w:r w:rsidRPr="007D603C">
              <w:rPr>
                <w:rFonts w:ascii="Times New Roman" w:eastAsia="Times New Roman" w:hAnsi="Times New Roman" w:cs="Times New Roman"/>
                <w:kern w:val="0"/>
                <w:sz w:val="22"/>
                <w:szCs w:val="22"/>
                <w:lang w:eastAsia="lv-LV"/>
                <w14:ligatures w14:val="none"/>
              </w:rPr>
              <w:t xml:space="preserve">. un </w:t>
            </w:r>
            <w:r w:rsidR="00CD0496" w:rsidRPr="007D603C">
              <w:rPr>
                <w:rFonts w:ascii="Times New Roman" w:eastAsia="Times New Roman" w:hAnsi="Times New Roman" w:cs="Times New Roman"/>
                <w:kern w:val="0"/>
                <w:sz w:val="22"/>
                <w:szCs w:val="22"/>
                <w:lang w:eastAsia="lv-LV"/>
                <w14:ligatures w14:val="none"/>
              </w:rPr>
              <w:t>20</w:t>
            </w:r>
            <w:r w:rsidRPr="007D603C">
              <w:rPr>
                <w:rFonts w:ascii="Times New Roman" w:eastAsia="Times New Roman" w:hAnsi="Times New Roman" w:cs="Times New Roman"/>
                <w:kern w:val="0"/>
                <w:sz w:val="22"/>
                <w:szCs w:val="22"/>
                <w:lang w:eastAsia="lv-LV"/>
                <w14:ligatures w14:val="none"/>
              </w:rPr>
              <w:t>. punkta nosacījumiem, kā arī:</w:t>
            </w:r>
          </w:p>
          <w:p w14:paraId="5541117F" w14:textId="039D0015" w:rsidR="00B8154F" w:rsidRPr="007D603C" w:rsidRDefault="00B8154F" w:rsidP="005B50CF">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lai noteiktu, vai piešķirtais atbalsts ir saderīgs ar Eiropas Komisijas lēmumu Nr. 2012/21/ES izvērtē ar pašvaldību noslēgto pakalpojuma līgumu par sabiedrisko ūdenssaimniecības  pakalpojumu sniegšanu atbilstību SAM MK noteikumu 16. punktā izvirzītajām prasībām;</w:t>
            </w:r>
          </w:p>
          <w:p w14:paraId="3C491366" w14:textId="57C5BADA" w:rsidR="00B8154F" w:rsidRPr="007D603C" w:rsidRDefault="00B8154F" w:rsidP="005B50CF">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iesniegumam ir pievienots vispārējas tautsaimnieciskas nozīmes pakalpojuma pilnvarojuma uzlicēja apliecinājums par atlīdzības (kompensācijas) maksājumu kontroli un pārskatīšanu, lai nodrošinātu minēto maksājumu pārmaksas novēršanu;</w:t>
            </w:r>
          </w:p>
          <w:p w14:paraId="376D1B2F" w14:textId="77777777" w:rsidR="00FC3061" w:rsidRPr="007D603C" w:rsidRDefault="00B8154F" w:rsidP="00FC3061">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tiek sniegta informācija, ka atbalsta apvienošana (kumulācija) nav paredzēta, vai, ja atbalsta apvienošana (kumulācija) ir paredzēta, tiek minēti atbalsta apvienošanas (kumulācijas), nosacījumi un to kontrole</w:t>
            </w:r>
            <w:r w:rsidR="00FC3061" w:rsidRPr="006E319B">
              <w:rPr>
                <w:rFonts w:ascii="Times New Roman" w:eastAsia="Times New Roman" w:hAnsi="Times New Roman" w:cs="Times New Roman"/>
                <w:kern w:val="0"/>
                <w:sz w:val="22"/>
                <w:szCs w:val="22"/>
                <w:lang w:eastAsia="lv-LV"/>
                <w14:ligatures w14:val="none"/>
              </w:rPr>
              <w:t>;</w:t>
            </w:r>
          </w:p>
          <w:p w14:paraId="19E47218" w14:textId="5B8EC1AB" w:rsidR="00142D74" w:rsidRPr="007D603C" w:rsidRDefault="00142D74" w:rsidP="006E319B">
            <w:pPr>
              <w:pStyle w:val="Sarakstarindkopa"/>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Vērtē projekta iesnieguma sadaļā </w:t>
            </w:r>
            <w:r w:rsidR="0013655B">
              <w:rPr>
                <w:rFonts w:ascii="Times New Roman" w:eastAsia="Times New Roman" w:hAnsi="Times New Roman" w:cs="Times New Roman"/>
                <w:kern w:val="0"/>
                <w:sz w:val="22"/>
                <w:szCs w:val="22"/>
                <w:lang w:eastAsia="lv-LV"/>
                <w14:ligatures w14:val="none"/>
              </w:rPr>
              <w:t>“</w:t>
            </w:r>
            <w:r w:rsidRPr="007D603C">
              <w:rPr>
                <w:rFonts w:ascii="Times New Roman" w:eastAsia="Times New Roman" w:hAnsi="Times New Roman" w:cs="Times New Roman"/>
                <w:kern w:val="0"/>
                <w:sz w:val="22"/>
                <w:szCs w:val="22"/>
                <w:lang w:eastAsia="lv-LV"/>
                <w14:ligatures w14:val="none"/>
              </w:rPr>
              <w:t>Projekta saturiskā saistība ar citiem projektiem</w:t>
            </w:r>
            <w:r w:rsidR="007122B4">
              <w:rPr>
                <w:rFonts w:ascii="Times New Roman" w:eastAsia="Times New Roman" w:hAnsi="Times New Roman" w:cs="Times New Roman"/>
                <w:kern w:val="0"/>
                <w:sz w:val="22"/>
                <w:szCs w:val="22"/>
                <w:lang w:eastAsia="lv-LV"/>
                <w14:ligatures w14:val="none"/>
              </w:rPr>
              <w:t>”</w:t>
            </w:r>
            <w:r w:rsidRPr="007D603C">
              <w:rPr>
                <w:rFonts w:ascii="Times New Roman" w:eastAsia="Times New Roman" w:hAnsi="Times New Roman" w:cs="Times New Roman"/>
                <w:kern w:val="0"/>
                <w:sz w:val="22"/>
                <w:szCs w:val="22"/>
                <w:lang w:eastAsia="lv-LV"/>
                <w14:ligatures w14:val="none"/>
              </w:rPr>
              <w:t xml:space="preserve"> sniegto informāciju par projekta iesniedzēja saņemto un plānoto komercdarbības atbalstu, kas sniegts kā kompensācija par sabiedriskajiem pakalpojumiem dažiem uzņēmumiem, kuriem uzticēts sniegt pakalpojumus ar vispārēju </w:t>
            </w:r>
            <w:r w:rsidRPr="007D603C">
              <w:rPr>
                <w:rFonts w:ascii="Times New Roman" w:eastAsia="Times New Roman" w:hAnsi="Times New Roman" w:cs="Times New Roman"/>
                <w:kern w:val="0"/>
                <w:sz w:val="22"/>
                <w:szCs w:val="22"/>
                <w:lang w:eastAsia="lv-LV"/>
                <w14:ligatures w14:val="none"/>
              </w:rPr>
              <w:lastRenderedPageBreak/>
              <w:t>tautsaimniecisku nozīmi, citas atbalsta programmas vai individuālā atbalsta projekta ietvaros par vienām un tām pašām attiecināmajām izmaksām.</w:t>
            </w:r>
          </w:p>
          <w:p w14:paraId="5749D4AE" w14:textId="4D369571" w:rsidR="00B8154F" w:rsidRPr="007D603C" w:rsidRDefault="00FC3061" w:rsidP="00FC3061">
            <w:pPr>
              <w:pStyle w:val="Sarakstarindkopa"/>
              <w:numPr>
                <w:ilvl w:val="0"/>
                <w:numId w:val="14"/>
              </w:numPr>
              <w:spacing w:after="120"/>
              <w:ind w:left="316"/>
              <w:jc w:val="both"/>
              <w:rPr>
                <w:rFonts w:ascii="Times New Roman" w:hAnsi="Times New Roman"/>
                <w:kern w:val="0"/>
                <w:sz w:val="22"/>
                <w14:ligatures w14:val="none"/>
              </w:rPr>
            </w:pPr>
            <w:r w:rsidRPr="006E319B">
              <w:rPr>
                <w:rFonts w:ascii="Times New Roman" w:eastAsia="Times New Roman" w:hAnsi="Times New Roman" w:cs="Times New Roman"/>
                <w:kern w:val="0"/>
                <w:sz w:val="22"/>
                <w:szCs w:val="22"/>
                <w:lang w:eastAsia="lv-LV"/>
                <w14:ligatures w14:val="none"/>
              </w:rPr>
              <w:t>projekta iesnieguma sadaļā “Valsts atbalsts” ir norādīts atbilstošs atbalsta mērķis</w:t>
            </w:r>
            <w:r w:rsidR="006E319B">
              <w:rPr>
                <w:rFonts w:ascii="Times New Roman" w:eastAsia="Times New Roman" w:hAnsi="Times New Roman" w:cs="Times New Roman"/>
                <w:kern w:val="0"/>
                <w:sz w:val="22"/>
                <w:szCs w:val="22"/>
                <w:lang w:eastAsia="lv-LV"/>
                <w14:ligatures w14:val="none"/>
              </w:rPr>
              <w:t xml:space="preserve"> – </w:t>
            </w:r>
            <w:r w:rsidRPr="006E319B">
              <w:rPr>
                <w:rFonts w:ascii="Times New Roman" w:eastAsia="Times New Roman" w:hAnsi="Times New Roman" w:cs="Times New Roman"/>
                <w:kern w:val="0"/>
                <w:sz w:val="22"/>
                <w:szCs w:val="22"/>
                <w:lang w:eastAsia="lv-LV"/>
                <w14:ligatures w14:val="none"/>
              </w:rPr>
              <w:t>Eiropas Komisijas 2011.</w:t>
            </w:r>
            <w:r w:rsidR="006E319B">
              <w:rPr>
                <w:rFonts w:ascii="Times New Roman" w:eastAsia="Times New Roman" w:hAnsi="Times New Roman" w:cs="Times New Roman"/>
                <w:kern w:val="0"/>
                <w:sz w:val="22"/>
                <w:szCs w:val="22"/>
                <w:lang w:eastAsia="lv-LV"/>
                <w14:ligatures w14:val="none"/>
              </w:rPr>
              <w:t> </w:t>
            </w:r>
            <w:r w:rsidRPr="006E319B">
              <w:rPr>
                <w:rFonts w:ascii="Times New Roman" w:eastAsia="Times New Roman" w:hAnsi="Times New Roman" w:cs="Times New Roman"/>
                <w:kern w:val="0"/>
                <w:sz w:val="22"/>
                <w:szCs w:val="22"/>
                <w:lang w:eastAsia="lv-LV"/>
                <w14:ligatures w14:val="none"/>
              </w:rPr>
              <w:t>gada 20.</w:t>
            </w:r>
            <w:r w:rsidR="006E319B">
              <w:rPr>
                <w:rFonts w:ascii="Times New Roman" w:eastAsia="Times New Roman" w:hAnsi="Times New Roman" w:cs="Times New Roman"/>
                <w:kern w:val="0"/>
                <w:sz w:val="22"/>
                <w:szCs w:val="22"/>
                <w:lang w:eastAsia="lv-LV"/>
                <w14:ligatures w14:val="none"/>
              </w:rPr>
              <w:t> </w:t>
            </w:r>
            <w:r w:rsidRPr="006E319B">
              <w:rPr>
                <w:rFonts w:ascii="Times New Roman" w:eastAsia="Times New Roman" w:hAnsi="Times New Roman" w:cs="Times New Roman"/>
                <w:kern w:val="0"/>
                <w:sz w:val="22"/>
                <w:szCs w:val="22"/>
                <w:lang w:eastAsia="lv-LV"/>
                <w14:ligatures w14:val="none"/>
              </w:rPr>
              <w:t>decembra lēmums Nr.</w:t>
            </w:r>
            <w:r w:rsidRPr="007D603C">
              <w:rPr>
                <w:rFonts w:ascii="Times New Roman" w:eastAsia="Times New Roman" w:hAnsi="Times New Roman" w:cs="Times New Roman"/>
                <w:kern w:val="0"/>
                <w:sz w:val="22"/>
                <w:szCs w:val="22"/>
                <w:lang w:eastAsia="lv-LV"/>
                <w14:ligatures w14:val="none"/>
              </w:rPr>
              <w:t xml:space="preserve"> </w:t>
            </w:r>
            <w:r w:rsidRPr="006E319B">
              <w:rPr>
                <w:rFonts w:ascii="Times New Roman" w:eastAsia="Times New Roman" w:hAnsi="Times New Roman" w:cs="Times New Roman"/>
                <w:kern w:val="0"/>
                <w:sz w:val="22"/>
                <w:szCs w:val="22"/>
                <w:lang w:eastAsia="lv-LV"/>
                <w14:ligatures w14:val="none"/>
              </w:rPr>
              <w:t>2012/21/ES par līguma par Eiropas Savienības darbību 106. panta 2. punkts</w:t>
            </w:r>
          </w:p>
        </w:tc>
      </w:tr>
      <w:tr w:rsidR="000710F5" w:rsidRPr="007D603C" w14:paraId="1F4BFA71" w14:textId="77777777" w:rsidTr="00926BC3">
        <w:trPr>
          <w:trHeight w:val="625"/>
          <w:jc w:val="center"/>
        </w:trPr>
        <w:tc>
          <w:tcPr>
            <w:tcW w:w="988" w:type="dxa"/>
            <w:vMerge/>
          </w:tcPr>
          <w:p w14:paraId="1588EC1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40D5894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AFFD2EA"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34B335A" w14:textId="40C7BC01"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6FDBD18" w14:textId="250A844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24F4FFAE" w14:textId="77777777" w:rsidTr="00926BC3">
        <w:trPr>
          <w:trHeight w:val="625"/>
          <w:jc w:val="center"/>
        </w:trPr>
        <w:tc>
          <w:tcPr>
            <w:tcW w:w="988" w:type="dxa"/>
            <w:vMerge/>
          </w:tcPr>
          <w:p w14:paraId="541D24F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7D1F011F"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297AFEB8"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E8AA771" w14:textId="498450FF"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84688A5" w14:textId="3238F41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9A8B20D" w14:textId="77777777" w:rsidTr="00926BC3">
        <w:trPr>
          <w:trHeight w:val="625"/>
          <w:jc w:val="center"/>
        </w:trPr>
        <w:tc>
          <w:tcPr>
            <w:tcW w:w="988" w:type="dxa"/>
            <w:vMerge w:val="restart"/>
          </w:tcPr>
          <w:p w14:paraId="7180ADFC" w14:textId="1350C57B" w:rsidR="000710F5" w:rsidRPr="007D603C" w:rsidRDefault="000710F5" w:rsidP="000710F5">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3.3.</w:t>
            </w:r>
          </w:p>
        </w:tc>
        <w:tc>
          <w:tcPr>
            <w:tcW w:w="5105" w:type="dxa"/>
            <w:vMerge w:val="restart"/>
          </w:tcPr>
          <w:p w14:paraId="709F9614" w14:textId="6AE30443"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paredzētās darbības atbilst Notekūdeņu apsaimniekošanas investīciju plānam 2021.–2027. gadam vai Upju baseinu apsaimniekošanas un Plūdu riska pārvaldības plānam 2021.–2027. gadam.</w:t>
            </w:r>
          </w:p>
        </w:tc>
        <w:tc>
          <w:tcPr>
            <w:tcW w:w="1134" w:type="dxa"/>
            <w:vMerge w:val="restart"/>
          </w:tcPr>
          <w:p w14:paraId="354D6F15" w14:textId="5BB81600"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76AB4F2B" w14:textId="4B09CF7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5091CF5" w14:textId="3E260D4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aprakstītās darbības atbilst Notekūdeņu apsaimniekošanas investīciju plānam 2021.–2027. gadam</w:t>
            </w:r>
            <w:r w:rsidRPr="007D603C">
              <w:rPr>
                <w:rStyle w:val="Vresatsauce"/>
                <w:rFonts w:ascii="Times New Roman" w:eastAsia="Times New Roman" w:hAnsi="Times New Roman" w:cs="Times New Roman"/>
                <w:kern w:val="0"/>
                <w:sz w:val="22"/>
                <w:szCs w:val="22"/>
                <w:lang w:eastAsia="lv-LV"/>
                <w14:ligatures w14:val="none"/>
              </w:rPr>
              <w:footnoteReference w:id="24"/>
            </w:r>
            <w:r w:rsidRPr="007D603C">
              <w:rPr>
                <w:rFonts w:ascii="Times New Roman" w:eastAsia="Times New Roman" w:hAnsi="Times New Roman" w:cs="Times New Roman"/>
                <w:kern w:val="0"/>
                <w:sz w:val="22"/>
                <w:szCs w:val="22"/>
                <w:lang w:eastAsia="lv-LV"/>
                <w14:ligatures w14:val="none"/>
              </w:rPr>
              <w:t xml:space="preserve"> vai Upju baseinu apsaimniekošanas un Plūdu riska pārvaldības plānam 2021.–2027. gadam</w:t>
            </w:r>
            <w:r w:rsidRPr="007D603C">
              <w:rPr>
                <w:rStyle w:val="Vresatsauce"/>
                <w:rFonts w:ascii="Times New Roman" w:eastAsia="Times New Roman" w:hAnsi="Times New Roman" w:cs="Times New Roman"/>
                <w:kern w:val="0"/>
                <w:sz w:val="22"/>
                <w:szCs w:val="22"/>
                <w:lang w:eastAsia="lv-LV"/>
                <w14:ligatures w14:val="none"/>
              </w:rPr>
              <w:footnoteReference w:id="25"/>
            </w:r>
            <w:r w:rsidRPr="007D603C">
              <w:rPr>
                <w:rFonts w:ascii="Times New Roman" w:eastAsia="Times New Roman" w:hAnsi="Times New Roman" w:cs="Times New Roman"/>
                <w:kern w:val="0"/>
                <w:sz w:val="22"/>
                <w:szCs w:val="22"/>
                <w:lang w:eastAsia="lv-LV"/>
                <w14:ligatures w14:val="none"/>
              </w:rPr>
              <w:t>. Projekta iesniegumā ir pamatots, kā projekta darbības atbilst prioritārajam investīciju virzienam Notekūdeņu apsaimniekošanas investīciju plānā 2021.–2027. gadam vai attīrīto notekūdeņu izvada izbūves gadījumā sniegts pamatojums, kuram no projekta iesniegumā norādītajai aglomerācijai atbilstošajam Upju baseinu apsaimniekošanas un Plūdu riska pārvaldības plānam 2021.–2027. gadam un tajā izvirzītajiem īstenojamiem pasākumiem atbilst projektā plānotās darbības.</w:t>
            </w:r>
          </w:p>
        </w:tc>
      </w:tr>
      <w:tr w:rsidR="000710F5" w:rsidRPr="007D603C" w14:paraId="60A2E8E2" w14:textId="77777777" w:rsidTr="00926BC3">
        <w:trPr>
          <w:trHeight w:val="625"/>
          <w:jc w:val="center"/>
        </w:trPr>
        <w:tc>
          <w:tcPr>
            <w:tcW w:w="988" w:type="dxa"/>
            <w:vMerge/>
          </w:tcPr>
          <w:p w14:paraId="1748E31A"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23D0E32"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B568561"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147C5B0" w14:textId="5269B43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977B68B" w14:textId="336F0671"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49EAC723" w14:textId="77777777" w:rsidTr="00926BC3">
        <w:trPr>
          <w:trHeight w:val="625"/>
          <w:jc w:val="center"/>
        </w:trPr>
        <w:tc>
          <w:tcPr>
            <w:tcW w:w="988" w:type="dxa"/>
            <w:vMerge/>
          </w:tcPr>
          <w:p w14:paraId="3B7AAD3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C536E1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7B27BA2"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53DE09F" w14:textId="3C34937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1DF2DBE" w14:textId="1B904A2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CF4A3A8" w14:textId="77777777" w:rsidTr="00926BC3">
        <w:trPr>
          <w:trHeight w:val="625"/>
          <w:jc w:val="center"/>
        </w:trPr>
        <w:tc>
          <w:tcPr>
            <w:tcW w:w="988" w:type="dxa"/>
            <w:vMerge w:val="restart"/>
          </w:tcPr>
          <w:p w14:paraId="404ED77E" w14:textId="41CD459A" w:rsidR="000710F5" w:rsidRPr="007D603C" w:rsidRDefault="000710F5" w:rsidP="000710F5">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3.4.</w:t>
            </w:r>
          </w:p>
        </w:tc>
        <w:tc>
          <w:tcPr>
            <w:tcW w:w="5105" w:type="dxa"/>
            <w:vMerge w:val="restart"/>
          </w:tcPr>
          <w:p w14:paraId="2BADD62A" w14:textId="0D841485"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īstenošanas laikā un SAM MK noteikumos noteiktajā periodā nekustamais īpašums, kurā tiks veiktas projektā paredzētās darbības, ir projekta iesniedzēja īpašumā un, ja attiecināms, projektā iesaistītajam cita īpašnieka zemesgabalam ir noteikts apgrūtinājums.</w:t>
            </w:r>
          </w:p>
        </w:tc>
        <w:tc>
          <w:tcPr>
            <w:tcW w:w="1134" w:type="dxa"/>
            <w:vMerge w:val="restart"/>
          </w:tcPr>
          <w:p w14:paraId="46FDD77C" w14:textId="1F13DA68"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13407BCD" w14:textId="59A4BC9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477310CC" w14:textId="5539949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tiek nodrošināts, ka projekta īstenošanas laikā un SAM MK noteikumos noteiktajā periodā nekustamais īpašums, </w:t>
            </w:r>
            <w:r w:rsidR="00375DD4" w:rsidRPr="007D603C">
              <w:rPr>
                <w:rFonts w:ascii="Times New Roman" w:eastAsia="Times New Roman" w:hAnsi="Times New Roman" w:cs="Times New Roman"/>
                <w:kern w:val="0"/>
                <w:sz w:val="22"/>
                <w:szCs w:val="22"/>
                <w:lang w:eastAsia="lv-LV"/>
                <w14:ligatures w14:val="none"/>
              </w:rPr>
              <w:t>tai skaitā zeme un infrastruktūra,</w:t>
            </w:r>
            <w:r w:rsidRPr="007D603C">
              <w:rPr>
                <w:rFonts w:ascii="Times New Roman" w:eastAsia="Times New Roman" w:hAnsi="Times New Roman" w:cs="Times New Roman"/>
                <w:kern w:val="0"/>
                <w:sz w:val="22"/>
                <w:szCs w:val="22"/>
                <w:lang w:eastAsia="lv-LV"/>
                <w14:ligatures w14:val="none"/>
              </w:rPr>
              <w:t xml:space="preserve"> kurā paredzēta infrastruktūras izveide, ir projekta iesniedzēja īpašumā.</w:t>
            </w:r>
          </w:p>
          <w:p w14:paraId="245838BA" w14:textId="408EF58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iesniegumam pievienotie dokumenti apliecina, ka nekustamais īpašums, kurā tiks veiktas projektā paredzētās darbības, ir finansējuma saņēmēja īpašumā projekta īstenošanas laikā un SAM MK noteikumu </w:t>
            </w:r>
            <w:r w:rsidR="45766EA8" w:rsidRPr="0015114C">
              <w:rPr>
                <w:rFonts w:ascii="Times New Roman" w:hAnsi="Times New Roman"/>
                <w:kern w:val="0"/>
                <w:sz w:val="22"/>
                <w14:ligatures w14:val="none"/>
              </w:rPr>
              <w:t>2</w:t>
            </w:r>
            <w:r w:rsidR="17C21AB9" w:rsidRPr="0015114C">
              <w:rPr>
                <w:rFonts w:ascii="Times New Roman" w:hAnsi="Times New Roman"/>
                <w:kern w:val="0"/>
                <w:sz w:val="22"/>
                <w14:ligatures w14:val="none"/>
              </w:rPr>
              <w:t>2</w:t>
            </w:r>
            <w:r w:rsidRPr="0015114C">
              <w:rPr>
                <w:rFonts w:ascii="Times New Roman" w:hAnsi="Times New Roman"/>
                <w:kern w:val="0"/>
                <w:sz w:val="22"/>
                <w14:ligatures w14:val="none"/>
              </w:rPr>
              <w:t>. punktā</w:t>
            </w:r>
            <w:r w:rsidRPr="007D603C">
              <w:rPr>
                <w:rFonts w:ascii="Times New Roman" w:eastAsia="Times New Roman" w:hAnsi="Times New Roman" w:cs="Times New Roman"/>
                <w:kern w:val="0"/>
                <w:sz w:val="22"/>
                <w:szCs w:val="22"/>
                <w:lang w:eastAsia="lv-LV"/>
                <w14:ligatures w14:val="none"/>
              </w:rPr>
              <w:t xml:space="preserve"> noteiktajā periodā.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 Ja īpašuma tiesības plānots nostiprināt zemesgrāmatā līdz pirmā maksājuma pieprasījuma iesniegšanai sadarbības iestādē, ir pievienots finansējuma saņēmēja apliecinājums par nosacījuma izpildi.</w:t>
            </w:r>
          </w:p>
          <w:p w14:paraId="67851082" w14:textId="476CFBD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Gadījumā, ja nekustamais īpašums, kurā plānots īstenot projekta iesniegumā minētās darbības, atrodas brīvostas teritorijā, ar īpašumtiesībām kritērija vērtēšanā saprotams arī spēkā esošs līgums par apbūves tiesību un projekta iesniedzēja apliecinājums iegūt attiecīgo nekustamo īpašumu īpašumā (t.sk. īpašumtiesības nostiprināt zemesgrāmatā) līdz noslēguma maksājuma pieprasījuma iesniegšanai sadarbības iestādē atbilstoši SAM MK noteikumu </w:t>
            </w:r>
            <w:r w:rsidR="00C62D73" w:rsidRPr="007D603C">
              <w:rPr>
                <w:rFonts w:ascii="Times New Roman" w:eastAsia="Times New Roman" w:hAnsi="Times New Roman" w:cs="Times New Roman"/>
                <w:kern w:val="0"/>
                <w:sz w:val="22"/>
                <w:szCs w:val="22"/>
                <w:lang w:eastAsia="lv-LV"/>
                <w14:ligatures w14:val="none"/>
              </w:rPr>
              <w:t>23</w:t>
            </w:r>
            <w:r w:rsidRPr="007D603C">
              <w:rPr>
                <w:rFonts w:ascii="Times New Roman" w:eastAsia="Times New Roman" w:hAnsi="Times New Roman" w:cs="Times New Roman"/>
                <w:kern w:val="0"/>
                <w:sz w:val="22"/>
                <w:szCs w:val="22"/>
                <w:lang w:eastAsia="lv-LV"/>
                <w14:ligatures w14:val="none"/>
              </w:rPr>
              <w:t>. punktam.</w:t>
            </w:r>
          </w:p>
          <w:p w14:paraId="76D73C5E" w14:textId="1179B60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Gadījumā, ja projektā paredzēta attīrīto notekūdeņu izvada izbūve, pārbūve vai atjaunošana, augstākminētās prasības īpašumtiesību nodrošināšanai attiecināmas uz tām darbībām projektā, kas nav izvada izbūve, pārbūve vai atjaunošana finansējuma saņēmēja īpašumā esošu zemesgabalu ietvaros. Attiecībā uz izvada pārbūvi vai atjaunošanu, ja tas šķērso citu īpašnieku zemesgabalus, projekta iesniegumam pievienotie dokumenti apliecina, ka ar nekustamā īpašuma (vai nekustamo īpašumu) īpašnieku(-</w:t>
            </w:r>
            <w:proofErr w:type="spellStart"/>
            <w:r w:rsidRPr="007D603C">
              <w:rPr>
                <w:rFonts w:ascii="Times New Roman" w:eastAsia="Times New Roman" w:hAnsi="Times New Roman" w:cs="Times New Roman"/>
                <w:kern w:val="0"/>
                <w:sz w:val="22"/>
                <w:szCs w:val="22"/>
                <w:lang w:eastAsia="lv-LV"/>
                <w14:ligatures w14:val="none"/>
              </w:rPr>
              <w:t>iem</w:t>
            </w:r>
            <w:proofErr w:type="spellEnd"/>
            <w:r w:rsidRPr="007D603C">
              <w:rPr>
                <w:rFonts w:ascii="Times New Roman" w:eastAsia="Times New Roman" w:hAnsi="Times New Roman" w:cs="Times New Roman"/>
                <w:kern w:val="0"/>
                <w:sz w:val="22"/>
                <w:szCs w:val="22"/>
                <w:lang w:eastAsia="lv-LV"/>
                <w14:ligatures w14:val="none"/>
              </w:rPr>
              <w:t xml:space="preserve">) ir saskaņotas projekta darbības, kā arī par apgrūtinājumu par labu finansējuma saņēmējam projekta vērtētājam ir iespējams pārliecināties Apgrūtināto teritoriju informācijas sistēmā. Jauna izvada izbūves gadījumā projekta iesniedzējam ir spēkā esošs līgums par apbūves tiesību un par apgrūtinājumu par labu finansējuma saņēmējam projekta īstenošanas </w:t>
            </w:r>
            <w:r w:rsidRPr="007D603C">
              <w:rPr>
                <w:rFonts w:ascii="Times New Roman" w:eastAsia="Times New Roman" w:hAnsi="Times New Roman" w:cs="Times New Roman"/>
                <w:kern w:val="0"/>
                <w:sz w:val="22"/>
                <w:szCs w:val="22"/>
                <w:lang w:eastAsia="lv-LV"/>
                <w14:ligatures w14:val="none"/>
              </w:rPr>
              <w:lastRenderedPageBreak/>
              <w:t>laikā ir iespējams pārliecināties Apgrūtināto teritoriju informācijas sistēmā līdz projekta noslēguma maksājuma pieprasījumam.</w:t>
            </w:r>
          </w:p>
          <w:p w14:paraId="2BDA3374" w14:textId="29DB6BB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Ja projektā tiek veikta tikai iekārtu uzstādīšana bez būvniecības (uz būvdarbu līguma pamata), tāpat attiecināmas iepriekš minētās īpašumtiesību prasības. Izņēmuma gadījumā, ja nekustamais īpašums, kurā plānots īstenot projekta iesniegumā minētās darbības (bez būvniecības uz būvdarbu līguma pamata), atrodas brīvostas teritorijā, projekta iesniedzējam jābūt spēkā esošam nekustamā īpašuma apbūves tiesības vai nomas līgumam, kura darbība nav īsāka par projekta dzīves ciklu, nodrošinot to līdz noslēguma maksājuma pieprasījumam. Ja projektā iesniegumā pievienoto līgumu darbības termiņš ir īsāks par projekta dzīves ciklu, tiek iesniegts apliecinājums par minēto prasību izpildi līdz noslēguma maksājuma pieprasījuma iesniegšanai sadarbības iestādē.</w:t>
            </w:r>
          </w:p>
        </w:tc>
      </w:tr>
      <w:tr w:rsidR="000710F5" w:rsidRPr="007D603C" w14:paraId="13D86590" w14:textId="77777777" w:rsidTr="00926BC3">
        <w:trPr>
          <w:trHeight w:val="625"/>
          <w:jc w:val="center"/>
        </w:trPr>
        <w:tc>
          <w:tcPr>
            <w:tcW w:w="988" w:type="dxa"/>
            <w:vMerge/>
          </w:tcPr>
          <w:p w14:paraId="76B39932"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3091949"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6F1BF024"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DD88121" w14:textId="1FE2BA9A"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5DE7FC5" w14:textId="4B1299E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r w:rsidR="00810EB4" w:rsidRPr="007D603C">
              <w:rPr>
                <w:rFonts w:ascii="Times New Roman" w:eastAsia="ヒラギノ角ゴ Pro W3" w:hAnsi="Times New Roman" w:cs="Times New Roman"/>
                <w:kern w:val="0"/>
                <w:sz w:val="22"/>
                <w:szCs w:val="22"/>
                <w14:ligatures w14:val="none"/>
              </w:rPr>
              <w:t>, piemēram, veikt atbilstošu precizējumu – iesniegt attiecīgos zemes piederību apliecinošos dokumentus.</w:t>
            </w:r>
          </w:p>
        </w:tc>
      </w:tr>
      <w:tr w:rsidR="000710F5" w:rsidRPr="007D603C" w14:paraId="0BBF48F0" w14:textId="77777777" w:rsidTr="00926BC3">
        <w:trPr>
          <w:trHeight w:val="625"/>
          <w:jc w:val="center"/>
        </w:trPr>
        <w:tc>
          <w:tcPr>
            <w:tcW w:w="988" w:type="dxa"/>
            <w:vMerge/>
          </w:tcPr>
          <w:p w14:paraId="6FBCF33E"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3ECC78A0"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453C6991"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9AAB88B" w14:textId="581D7B1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576704E" w14:textId="55586C1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7D1D2511" w14:textId="77777777" w:rsidTr="00926BC3">
        <w:trPr>
          <w:trHeight w:val="461"/>
          <w:jc w:val="center"/>
        </w:trPr>
        <w:tc>
          <w:tcPr>
            <w:tcW w:w="15002" w:type="dxa"/>
            <w:gridSpan w:val="5"/>
            <w:vAlign w:val="center"/>
          </w:tcPr>
          <w:p w14:paraId="5A65593B" w14:textId="08CFBA1B" w:rsidR="000710F5" w:rsidRPr="007D603C" w:rsidRDefault="000710F5" w:rsidP="000710F5">
            <w:pPr>
              <w:jc w:val="both"/>
              <w:rPr>
                <w:rFonts w:ascii="Times New Roman" w:eastAsia="Times New Roman" w:hAnsi="Times New Roman" w:cs="Times New Roman"/>
                <w:kern w:val="0"/>
                <w:lang w:eastAsia="lv-LV"/>
                <w14:ligatures w14:val="none"/>
              </w:rPr>
            </w:pPr>
            <w:r w:rsidRPr="007D603C">
              <w:rPr>
                <w:rFonts w:ascii="Times New Roman" w:eastAsia="Times New Roman" w:hAnsi="Times New Roman" w:cs="Times New Roman"/>
                <w:b/>
                <w:bCs/>
                <w:kern w:val="0"/>
                <w:lang w:eastAsia="lv-LV"/>
                <w14:ligatures w14:val="none"/>
              </w:rPr>
              <w:t>3.5. Horizontālā principa “Nenodarīt būtisku kaitējumu” specifiskie atbilstības kritēriji</w:t>
            </w:r>
          </w:p>
        </w:tc>
      </w:tr>
      <w:tr w:rsidR="000710F5" w:rsidRPr="007D603C" w14:paraId="2410DBF0" w14:textId="77777777" w:rsidTr="00926BC3">
        <w:trPr>
          <w:trHeight w:val="625"/>
          <w:jc w:val="center"/>
        </w:trPr>
        <w:tc>
          <w:tcPr>
            <w:tcW w:w="988" w:type="dxa"/>
            <w:vMerge w:val="restart"/>
          </w:tcPr>
          <w:p w14:paraId="6223E7F2" w14:textId="7B0902A5"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3.5.1.</w:t>
            </w:r>
          </w:p>
        </w:tc>
        <w:tc>
          <w:tcPr>
            <w:tcW w:w="5105" w:type="dxa"/>
            <w:vMerge w:val="restart"/>
          </w:tcPr>
          <w:p w14:paraId="168628FA" w14:textId="6CCABAD8" w:rsidR="000710F5" w:rsidRPr="007D603C" w:rsidRDefault="000710F5" w:rsidP="000710F5">
            <w:pPr>
              <w:spacing w:after="12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ietvaros veicamiem iepirkumiem piemēro Ministru kabineta 2017. gada 20. jūnija noteikumos Nr. 353 “Prasības zaļajam publiskajam iepirkumam un to piemērošanas kārtība” iekļautajām grupām noteiktos zaļā publiskā iepirkuma kritērijus (ja attiecināms).</w:t>
            </w:r>
          </w:p>
        </w:tc>
        <w:tc>
          <w:tcPr>
            <w:tcW w:w="1134" w:type="dxa"/>
            <w:vMerge w:val="restart"/>
          </w:tcPr>
          <w:p w14:paraId="33DEAE2D" w14:textId="2E682EB3"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00CCC666" w14:textId="1B964F3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4AE3E68F" w14:textId="5BBB8E31"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w:t>
            </w:r>
            <w:r w:rsidRPr="007D603C">
              <w:rPr>
                <w:rStyle w:val="Vresatsauce"/>
                <w:rFonts w:ascii="Times New Roman" w:eastAsia="Times New Roman" w:hAnsi="Times New Roman" w:cs="Times New Roman"/>
                <w:kern w:val="0"/>
                <w:sz w:val="22"/>
                <w:szCs w:val="22"/>
                <w:lang w:eastAsia="lv-LV"/>
                <w14:ligatures w14:val="none"/>
              </w:rPr>
              <w:footnoteReference w:id="26"/>
            </w:r>
            <w:r w:rsidRPr="007D603C">
              <w:rPr>
                <w:rFonts w:ascii="Times New Roman" w:eastAsia="Times New Roman" w:hAnsi="Times New Roman" w:cs="Times New Roman"/>
                <w:kern w:val="0"/>
                <w:sz w:val="22"/>
                <w:szCs w:val="22"/>
                <w:lang w:eastAsia="lv-LV"/>
                <w14:ligatures w14:val="none"/>
              </w:rPr>
              <w:t xml:space="preserve"> 1. pielikumā visos gadījumos un 2. pielikumā gadījumos, kur tas attiecināms un iespējams.</w:t>
            </w:r>
          </w:p>
        </w:tc>
      </w:tr>
      <w:tr w:rsidR="000710F5" w:rsidRPr="007D603C" w14:paraId="36BEFC37" w14:textId="77777777" w:rsidTr="00926BC3">
        <w:trPr>
          <w:trHeight w:val="625"/>
          <w:jc w:val="center"/>
        </w:trPr>
        <w:tc>
          <w:tcPr>
            <w:tcW w:w="988" w:type="dxa"/>
            <w:vMerge/>
          </w:tcPr>
          <w:p w14:paraId="36CBDCDC"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45E4A57C"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6FAD5D69"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8E57D67" w14:textId="7068EE4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4708C6CA" w14:textId="1EA560C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B93ECD9" w14:textId="77777777" w:rsidTr="00926BC3">
        <w:trPr>
          <w:trHeight w:val="625"/>
          <w:jc w:val="center"/>
        </w:trPr>
        <w:tc>
          <w:tcPr>
            <w:tcW w:w="988" w:type="dxa"/>
            <w:vMerge/>
          </w:tcPr>
          <w:p w14:paraId="259CCCE9"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0B6DCECE"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0EA3653E"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D6FBC0A" w14:textId="048B089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328D8E2C" w14:textId="2418082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3A20330" w14:textId="77777777" w:rsidTr="00926BC3">
        <w:trPr>
          <w:trHeight w:val="625"/>
          <w:jc w:val="center"/>
        </w:trPr>
        <w:tc>
          <w:tcPr>
            <w:tcW w:w="988" w:type="dxa"/>
            <w:vMerge/>
          </w:tcPr>
          <w:p w14:paraId="74F229E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093D900E"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19CC318B"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9956DC6" w14:textId="668F154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04A11B53" w14:textId="38B1AF8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0710F5" w:rsidRPr="007D603C" w14:paraId="60F61A9B" w14:textId="77777777" w:rsidTr="00926BC3">
        <w:trPr>
          <w:trHeight w:val="625"/>
          <w:jc w:val="center"/>
        </w:trPr>
        <w:tc>
          <w:tcPr>
            <w:tcW w:w="988" w:type="dxa"/>
            <w:vMerge w:val="restart"/>
          </w:tcPr>
          <w:p w14:paraId="66556C1A" w14:textId="4D743DD8"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3.5.2.</w:t>
            </w:r>
          </w:p>
        </w:tc>
        <w:tc>
          <w:tcPr>
            <w:tcW w:w="5105" w:type="dxa"/>
            <w:vMerge w:val="restart"/>
          </w:tcPr>
          <w:p w14:paraId="76210B9E" w14:textId="123A8658"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darbībām ir jāveic ietekmes uz vidi novērtējums vai sākotnējais izvērtējums (ja attiecināms).</w:t>
            </w:r>
          </w:p>
        </w:tc>
        <w:tc>
          <w:tcPr>
            <w:tcW w:w="1134" w:type="dxa"/>
            <w:vMerge w:val="restart"/>
          </w:tcPr>
          <w:p w14:paraId="6CC794FF" w14:textId="0859207B"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3FABEA5B" w14:textId="5E3FB90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58EEFCC"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norādīts, vai projekta ietvaros plānotajām darbībām jāveic vai ir veikts ietekmes uz vidi novērtējums vai sākotnējais izvērtējums.</w:t>
            </w:r>
          </w:p>
          <w:p w14:paraId="67923834" w14:textId="77777777"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Ietekmes uz vidi novērtējuma vai sākotnējā izvērtējuma informācija tiek pārbaudīta:</w:t>
            </w:r>
          </w:p>
          <w:p w14:paraId="6F830D96" w14:textId="15D1DCC8"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iesnieguma pielikumā pievienotajā Valsts vides dienesta izziņā par ietekmes uz vidi novērtējuma, sākotnējā izvērtējuma vai tehnisko noteikumu nepieciešamību (ja attiecināms);</w:t>
            </w:r>
          </w:p>
          <w:p w14:paraId="11AD2683" w14:textId="2600A230"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Valsts vides dienesta reģistrā “Lēmumi par IVN piemērošanu”</w:t>
            </w:r>
            <w:r w:rsidRPr="007D603C">
              <w:rPr>
                <w:rStyle w:val="Vresatsauce"/>
                <w:rFonts w:ascii="Times New Roman" w:eastAsia="Times New Roman" w:hAnsi="Times New Roman" w:cs="Times New Roman"/>
                <w:kern w:val="0"/>
                <w:sz w:val="22"/>
                <w:szCs w:val="22"/>
                <w:lang w:eastAsia="lv-LV"/>
                <w14:ligatures w14:val="none"/>
              </w:rPr>
              <w:footnoteReference w:id="27"/>
            </w:r>
            <w:r w:rsidRPr="007D603C">
              <w:rPr>
                <w:rFonts w:ascii="Times New Roman" w:eastAsia="Times New Roman" w:hAnsi="Times New Roman" w:cs="Times New Roman"/>
                <w:kern w:val="0"/>
                <w:sz w:val="22"/>
                <w:szCs w:val="22"/>
                <w:lang w:eastAsia="lv-LV"/>
                <w14:ligatures w14:val="none"/>
              </w:rPr>
              <w:t>;</w:t>
            </w:r>
          </w:p>
          <w:p w14:paraId="42D4CD4B" w14:textId="77777777"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Vides pārraudzības valsts biroja tīmekļvietnes sadaļā “Ietekmes uz vidi novērtējumu projekti”</w:t>
            </w:r>
            <w:r w:rsidRPr="007D603C">
              <w:rPr>
                <w:rStyle w:val="Vresatsauce"/>
                <w:rFonts w:ascii="Times New Roman" w:eastAsia="Times New Roman" w:hAnsi="Times New Roman" w:cs="Times New Roman"/>
                <w:kern w:val="0"/>
                <w:sz w:val="22"/>
                <w:szCs w:val="22"/>
                <w:lang w:eastAsia="lv-LV"/>
                <w14:ligatures w14:val="none"/>
              </w:rPr>
              <w:footnoteReference w:id="28"/>
            </w:r>
            <w:r w:rsidR="0D13D435" w:rsidRPr="007D603C">
              <w:rPr>
                <w:rFonts w:ascii="Times New Roman" w:eastAsia="Times New Roman" w:hAnsi="Times New Roman" w:cs="Times New Roman"/>
                <w:kern w:val="0"/>
                <w:sz w:val="22"/>
                <w:szCs w:val="22"/>
                <w:lang w:eastAsia="lv-LV"/>
                <w14:ligatures w14:val="none"/>
              </w:rPr>
              <w:t>.</w:t>
            </w:r>
          </w:p>
          <w:p w14:paraId="414A784E" w14:textId="066098DB" w:rsidR="000710F5" w:rsidRPr="007D603C" w:rsidRDefault="000710F5" w:rsidP="000710F5">
            <w:pPr>
              <w:spacing w:after="120"/>
              <w:ind w:left="4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iesniegšanas brīdī var nebūt pabeigts ietekmes uz vidi novērtējums vai sākotnējais izvērtējums. Tādā gadījumā līgumā par projekta īstenošanu iekļauj nosacījumu, ka novērtējums vai izvērtējums jāpabeidz līdz projektā paredzētās darbības uzsākšanai (ja attiecināms), informējot sadarbības iestādi tiklīdz novērtējums vai sākotnējais izvērtējums ir pabeigts, kas ļauj īstenot projektā plānotās darbības.</w:t>
            </w:r>
          </w:p>
        </w:tc>
      </w:tr>
      <w:tr w:rsidR="000710F5" w:rsidRPr="007D603C" w14:paraId="2DD7DEC8" w14:textId="77777777" w:rsidTr="00926BC3">
        <w:trPr>
          <w:trHeight w:val="625"/>
          <w:jc w:val="center"/>
        </w:trPr>
        <w:tc>
          <w:tcPr>
            <w:tcW w:w="988" w:type="dxa"/>
            <w:vMerge/>
          </w:tcPr>
          <w:p w14:paraId="5C67971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D1BD44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FAA69F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7B1582B" w14:textId="4DA9C058"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79903F43" w14:textId="080E1D8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1DF5D235" w14:textId="77777777" w:rsidTr="00926BC3">
        <w:trPr>
          <w:trHeight w:val="625"/>
          <w:jc w:val="center"/>
        </w:trPr>
        <w:tc>
          <w:tcPr>
            <w:tcW w:w="988" w:type="dxa"/>
            <w:vMerge/>
          </w:tcPr>
          <w:p w14:paraId="4D8A78C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448F14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D5D9328"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59E30EE4" w14:textId="0444CD6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76BF24DB" w14:textId="777FD30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1112632" w14:textId="77777777" w:rsidTr="00926BC3">
        <w:trPr>
          <w:trHeight w:val="625"/>
          <w:jc w:val="center"/>
        </w:trPr>
        <w:tc>
          <w:tcPr>
            <w:tcW w:w="988" w:type="dxa"/>
            <w:vMerge/>
          </w:tcPr>
          <w:p w14:paraId="7A8DFD6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43FB44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AF31F6C"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0924BD" w14:textId="5E88D5A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75D32A78" w14:textId="0EFC04E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sniegts skaidrojums, ka projektā paredzētajām darbībām nav nepieciešams veikt ietekmes uz vidi novērtējumu vai sākotnējo izvērtējumu, pievienojot attiecīgu izziņu no kompetentās iestādes.</w:t>
            </w:r>
          </w:p>
        </w:tc>
      </w:tr>
      <w:tr w:rsidR="000710F5" w:rsidRPr="007D603C" w14:paraId="128994D0" w14:textId="77777777" w:rsidTr="00926BC3">
        <w:trPr>
          <w:trHeight w:val="625"/>
          <w:jc w:val="center"/>
        </w:trPr>
        <w:tc>
          <w:tcPr>
            <w:tcW w:w="988" w:type="dxa"/>
            <w:vMerge w:val="restart"/>
          </w:tcPr>
          <w:p w14:paraId="14DDAF0C" w14:textId="55A9FF4B"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3.5.3.</w:t>
            </w:r>
          </w:p>
        </w:tc>
        <w:tc>
          <w:tcPr>
            <w:tcW w:w="5105" w:type="dxa"/>
            <w:vMerge w:val="restart"/>
          </w:tcPr>
          <w:p w14:paraId="1791172F" w14:textId="3333D80E"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paredzētajām darbībām ir izsniegta atbilstoša piesārņojošas darbības atļauja A vai B kategorijas piesārņojošas darbības veikšanai vai arī pievienots apliecinājums tādu saņemt līdz noslēguma maksājuma iesniegšanai.</w:t>
            </w:r>
          </w:p>
        </w:tc>
        <w:tc>
          <w:tcPr>
            <w:tcW w:w="1134" w:type="dxa"/>
            <w:vMerge w:val="restart"/>
          </w:tcPr>
          <w:p w14:paraId="343325EA" w14:textId="075D303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2942528F" w14:textId="1ED0378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065F58A" w14:textId="4EF1446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iesniegumā norādīta informācija par spēkā esošu A vai B kategorijas piesārņojošas darbības atļauju, kas ietver projektā paredzētās darbības vai arī pievienots apliecinājums, ka atbilstoša piesārņojošas darbības atļauja (vai grozījumi esošajā atļaujā) tiks saņemta projekta īstenošanas laikā līdz noslēguma maksājuma iesniegšanai. Informācija tiek pārbaudīta Valsts vides dienesta reģistrā “A un B atļaujas”</w:t>
            </w:r>
            <w:r w:rsidRPr="007D603C">
              <w:rPr>
                <w:rStyle w:val="Vresatsauce"/>
                <w:rFonts w:ascii="Times New Roman" w:eastAsia="Times New Roman" w:hAnsi="Times New Roman" w:cs="Times New Roman"/>
                <w:kern w:val="0"/>
                <w:sz w:val="22"/>
                <w:szCs w:val="22"/>
                <w:lang w:eastAsia="lv-LV"/>
                <w14:ligatures w14:val="none"/>
              </w:rPr>
              <w:footnoteReference w:id="29"/>
            </w:r>
            <w:r w:rsidRPr="007D603C">
              <w:rPr>
                <w:rFonts w:ascii="Times New Roman" w:eastAsia="Times New Roman" w:hAnsi="Times New Roman" w:cs="Times New Roman"/>
                <w:kern w:val="0"/>
                <w:sz w:val="22"/>
                <w:szCs w:val="22"/>
                <w:lang w:eastAsia="lv-LV"/>
                <w14:ligatures w14:val="none"/>
              </w:rPr>
              <w:t xml:space="preserve"> (atļauju un licenču meklētājā).</w:t>
            </w:r>
          </w:p>
        </w:tc>
      </w:tr>
      <w:tr w:rsidR="000710F5" w:rsidRPr="007D603C" w14:paraId="0F1D93E0" w14:textId="77777777" w:rsidTr="00926BC3">
        <w:trPr>
          <w:trHeight w:val="625"/>
          <w:jc w:val="center"/>
        </w:trPr>
        <w:tc>
          <w:tcPr>
            <w:tcW w:w="988" w:type="dxa"/>
            <w:vMerge/>
          </w:tcPr>
          <w:p w14:paraId="431EB5C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C3027F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E7A5A6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6EA8D7D" w14:textId="34EFF48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0F42C21D" w14:textId="07395365"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D26CF0C" w14:textId="77777777" w:rsidTr="00926BC3">
        <w:trPr>
          <w:trHeight w:val="625"/>
          <w:jc w:val="center"/>
        </w:trPr>
        <w:tc>
          <w:tcPr>
            <w:tcW w:w="988" w:type="dxa"/>
            <w:vMerge/>
          </w:tcPr>
          <w:p w14:paraId="1DA7FDB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0BD3F6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73732A9"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B9F2CBF" w14:textId="7484A82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48493CC" w14:textId="3BAC71D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15D98C77" w14:textId="77777777" w:rsidTr="00926BC3">
        <w:trPr>
          <w:trHeight w:val="625"/>
          <w:jc w:val="center"/>
        </w:trPr>
        <w:tc>
          <w:tcPr>
            <w:tcW w:w="988" w:type="dxa"/>
            <w:vMerge w:val="restart"/>
          </w:tcPr>
          <w:p w14:paraId="54E20CAC" w14:textId="0AA0738C"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3.5.4.</w:t>
            </w:r>
          </w:p>
        </w:tc>
        <w:tc>
          <w:tcPr>
            <w:tcW w:w="5105" w:type="dxa"/>
            <w:vMerge w:val="restart"/>
          </w:tcPr>
          <w:p w14:paraId="7F0D1280" w14:textId="79C0A6D7"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būvniecības procesa laikā tiks nodrošināti labākie pieejamie tehniskie risinājumi trokšņu, putekļu un piesārņojuma emisiju samazināšanai (ja attiecināms).</w:t>
            </w:r>
          </w:p>
        </w:tc>
        <w:tc>
          <w:tcPr>
            <w:tcW w:w="1134" w:type="dxa"/>
            <w:vMerge w:val="restart"/>
          </w:tcPr>
          <w:p w14:paraId="338BA78B" w14:textId="56037323"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0FA760D5" w14:textId="3E0CEAD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93E7051"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iesniedzējs ir iekļāvis projekta iesniegumā informāciju, apliecinot, ka būvniecības procesa laikā tiks nodrošināti labākie pieejamie tehniskie risinājumi trokšņu, putekļu un piesārņojuma emisiju samazināšanai.</w:t>
            </w:r>
          </w:p>
          <w:p w14:paraId="233A7CFC" w14:textId="166DA991" w:rsidR="000710F5" w:rsidRPr="007D603C" w:rsidRDefault="2E14180F"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Informācija par labākajiem pieejamiem tehniskajiem risinājumiem pieejama </w:t>
            </w:r>
            <w:hyperlink r:id="rId11" w:history="1">
              <w:r w:rsidRPr="007D603C">
                <w:rPr>
                  <w:rStyle w:val="Hipersaite"/>
                  <w:rFonts w:ascii="Times New Roman" w:eastAsia="Times New Roman" w:hAnsi="Times New Roman" w:cs="Times New Roman"/>
                  <w:kern w:val="0"/>
                  <w:sz w:val="22"/>
                  <w:szCs w:val="22"/>
                  <w:lang w:eastAsia="lv-LV"/>
                  <w14:ligatures w14:val="none"/>
                </w:rPr>
                <w:t>šeit</w:t>
              </w:r>
            </w:hyperlink>
            <w:r w:rsidR="000710F5" w:rsidRPr="007D603C">
              <w:rPr>
                <w:rStyle w:val="Vresatsauce"/>
                <w:rFonts w:ascii="Times New Roman" w:eastAsia="Times New Roman" w:hAnsi="Times New Roman" w:cs="Times New Roman"/>
                <w:kern w:val="0"/>
                <w:sz w:val="22"/>
                <w:szCs w:val="22"/>
                <w:lang w:eastAsia="lv-LV"/>
                <w14:ligatures w14:val="none"/>
              </w:rPr>
              <w:footnoteReference w:id="30"/>
            </w:r>
            <w:r w:rsidRPr="007D603C">
              <w:rPr>
                <w:rFonts w:ascii="Times New Roman" w:eastAsia="Times New Roman" w:hAnsi="Times New Roman" w:cs="Times New Roman"/>
                <w:kern w:val="0"/>
                <w:sz w:val="22"/>
                <w:szCs w:val="22"/>
                <w:lang w:eastAsia="lv-LV"/>
                <w14:ligatures w14:val="none"/>
              </w:rPr>
              <w:t>.</w:t>
            </w:r>
          </w:p>
        </w:tc>
      </w:tr>
      <w:tr w:rsidR="000710F5" w:rsidRPr="007D603C" w14:paraId="76DA474A" w14:textId="77777777" w:rsidTr="00926BC3">
        <w:trPr>
          <w:trHeight w:val="625"/>
          <w:jc w:val="center"/>
        </w:trPr>
        <w:tc>
          <w:tcPr>
            <w:tcW w:w="988" w:type="dxa"/>
            <w:vMerge/>
          </w:tcPr>
          <w:p w14:paraId="55EE7E8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979F8C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74AF445"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189B117" w14:textId="109A4AC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0A5B97C6" w14:textId="757E117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A5ED97C" w14:textId="77777777" w:rsidTr="00926BC3">
        <w:trPr>
          <w:trHeight w:val="625"/>
          <w:jc w:val="center"/>
        </w:trPr>
        <w:tc>
          <w:tcPr>
            <w:tcW w:w="988" w:type="dxa"/>
            <w:vMerge/>
          </w:tcPr>
          <w:p w14:paraId="2EEDE336"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73255D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115423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79B5D02" w14:textId="0A341DE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E4BBB57" w14:textId="2BC3BCE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156C68C" w14:textId="77777777" w:rsidTr="00926BC3">
        <w:trPr>
          <w:trHeight w:val="264"/>
          <w:jc w:val="center"/>
        </w:trPr>
        <w:tc>
          <w:tcPr>
            <w:tcW w:w="988" w:type="dxa"/>
            <w:vMerge/>
          </w:tcPr>
          <w:p w14:paraId="53CA650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1691B3FA"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6EB244C6"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80560A8" w14:textId="3AFC526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1159E945" w14:textId="54E6429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netiks veikta būvniecība projektā.  </w:t>
            </w:r>
          </w:p>
        </w:tc>
      </w:tr>
      <w:tr w:rsidR="000710F5" w:rsidRPr="007D603C" w14:paraId="0D0A4BFC" w14:textId="77777777" w:rsidTr="00926BC3">
        <w:trPr>
          <w:trHeight w:val="625"/>
          <w:jc w:val="center"/>
        </w:trPr>
        <w:tc>
          <w:tcPr>
            <w:tcW w:w="988" w:type="dxa"/>
            <w:vMerge w:val="restart"/>
          </w:tcPr>
          <w:p w14:paraId="390BB177" w14:textId="1141A7F3"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3.5.5.</w:t>
            </w:r>
          </w:p>
        </w:tc>
        <w:tc>
          <w:tcPr>
            <w:tcW w:w="5105" w:type="dxa"/>
            <w:vMerge w:val="restart"/>
          </w:tcPr>
          <w:p w14:paraId="10A3FC73" w14:textId="744BCC3A"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ietvaros radītie elektrisko un elektronisko iekārtu atkritumi un citi atkritumi tiek apsaimniekoti atbilstoši normatīvo aktu prasībām: tiks nodrošināta to savākšana, atkalizmantošana, sagatavošana pārstrādei un reģenerācijai, pārstrāde vai reģenerācija sadarbībā ar attiecīgu piesārņojošās darbības atļaujas saņēmušu komersantu (ja attiecināms).</w:t>
            </w:r>
          </w:p>
        </w:tc>
        <w:tc>
          <w:tcPr>
            <w:tcW w:w="1134" w:type="dxa"/>
            <w:vMerge w:val="restart"/>
          </w:tcPr>
          <w:p w14:paraId="7E186F90" w14:textId="194CD78F"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0A7CD277" w14:textId="33F64B1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1A2C91D" w14:textId="73C8D432"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iesniedzējs ir iekļāvis projekta iesniegumā informāciju, 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0710F5" w:rsidRPr="007D603C" w14:paraId="4BC760E9" w14:textId="77777777" w:rsidTr="00926BC3">
        <w:trPr>
          <w:trHeight w:val="625"/>
          <w:jc w:val="center"/>
        </w:trPr>
        <w:tc>
          <w:tcPr>
            <w:tcW w:w="988" w:type="dxa"/>
            <w:vMerge/>
          </w:tcPr>
          <w:p w14:paraId="5F11AC2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40566E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E4A4C05"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3531EF4" w14:textId="0AAC59E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46D746E4" w14:textId="179CE3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4194658" w14:textId="77777777" w:rsidTr="00926BC3">
        <w:trPr>
          <w:trHeight w:val="625"/>
          <w:jc w:val="center"/>
        </w:trPr>
        <w:tc>
          <w:tcPr>
            <w:tcW w:w="988" w:type="dxa"/>
            <w:vMerge/>
          </w:tcPr>
          <w:p w14:paraId="3ADD9A7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27ACC0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F2D0E3"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D4456DA" w14:textId="11028A0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1C4C07C" w14:textId="39D19A0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4AEFCC2" w14:textId="77777777" w:rsidTr="00926BC3">
        <w:trPr>
          <w:trHeight w:val="625"/>
          <w:jc w:val="center"/>
        </w:trPr>
        <w:tc>
          <w:tcPr>
            <w:tcW w:w="988" w:type="dxa"/>
            <w:vMerge/>
          </w:tcPr>
          <w:p w14:paraId="58AC43A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3AC6BE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8B38D7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B483D84" w14:textId="2975F97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2D6CDEE0" w14:textId="39F10B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projekta iesniedzējs projekta iesniegumā sniedz informāciju, ka, īstenojot projektu, netiks radīti elektriskie un elektronisko iekārtu atkritumi, un citi attiecināmie atkritumi.</w:t>
            </w:r>
          </w:p>
        </w:tc>
      </w:tr>
      <w:tr w:rsidR="000710F5" w:rsidRPr="007D603C" w14:paraId="235A7C87" w14:textId="77777777" w:rsidTr="00926BC3">
        <w:trPr>
          <w:trHeight w:val="625"/>
          <w:jc w:val="center"/>
        </w:trPr>
        <w:tc>
          <w:tcPr>
            <w:tcW w:w="988" w:type="dxa"/>
            <w:vMerge w:val="restart"/>
          </w:tcPr>
          <w:p w14:paraId="08237FF6" w14:textId="665F8C2D"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3.5.6.</w:t>
            </w:r>
          </w:p>
        </w:tc>
        <w:tc>
          <w:tcPr>
            <w:tcW w:w="5105" w:type="dxa"/>
            <w:vMerge w:val="restart"/>
          </w:tcPr>
          <w:p w14:paraId="54F0BFE8" w14:textId="5A83C141"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projekts ietver neizmantojamas būves vai lietošanai bīstamas ēkas vai citu vidi degradējošu objektu nojaukšanu, tad projekta iesniedzējs apliecina, ka vismaz 70 procenti (pēc masas) no nebīstamiem būvgružiem un ēku nojaukšanas atkritumiem, kas būvlaukumā radušies būvniecības laikā (izņemot </w:t>
            </w:r>
            <w:r w:rsidRPr="007D603C">
              <w:rPr>
                <w:rFonts w:ascii="Times New Roman" w:eastAsia="ヒラギノ角ゴ Pro W3" w:hAnsi="Times New Roman" w:cs="Times New Roman"/>
                <w:kern w:val="0"/>
                <w:sz w:val="22"/>
                <w:szCs w:val="22"/>
                <w14:ligatures w14:val="none"/>
              </w:rPr>
              <w:lastRenderedPageBreak/>
              <w:t>dabiskos materiālus), tiks sagatavoti atkalizmantošanai, pārstrādei un citu materiālu reģenerācijai (tostarp aizbēršanas darbībām, kurās atkritumus izmanto citu materiālu aizstāšanai) (ja attiecināms).</w:t>
            </w:r>
          </w:p>
        </w:tc>
        <w:tc>
          <w:tcPr>
            <w:tcW w:w="1134" w:type="dxa"/>
            <w:vMerge w:val="restart"/>
          </w:tcPr>
          <w:p w14:paraId="32FF0252" w14:textId="434AD3A2"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lastRenderedPageBreak/>
              <w:t>P, N/A</w:t>
            </w:r>
          </w:p>
        </w:tc>
        <w:tc>
          <w:tcPr>
            <w:tcW w:w="1415" w:type="dxa"/>
            <w:tcBorders>
              <w:top w:val="single" w:sz="4" w:space="0" w:color="auto"/>
              <w:bottom w:val="single" w:sz="4" w:space="0" w:color="auto"/>
            </w:tcBorders>
            <w:shd w:val="clear" w:color="auto" w:fill="auto"/>
          </w:tcPr>
          <w:p w14:paraId="7C08D1DC" w14:textId="28A5BE5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BF7E770" w14:textId="3F0AF0E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neizmantojamu būvju vai lietošanai bīstamu ēku vai citu vidi degradējošu objektu nojaukšanas gadījumā projekta iesniedzējs ir apliecinājis, ka vismaz 70 procenti (pēc masas) no nebīstamiem būvgružiem un ēku nojaukšanas atkritumiem, kas būvlaukumā radušies būvniecības laikā (izņemot dabiskos materiālus), tiks sagatavoti atkalizmantošanai, pārstrādei un citu materiālu </w:t>
            </w:r>
            <w:r w:rsidRPr="007D603C">
              <w:rPr>
                <w:rFonts w:ascii="Times New Roman" w:eastAsia="Times New Roman" w:hAnsi="Times New Roman" w:cs="Times New Roman"/>
                <w:kern w:val="0"/>
                <w:sz w:val="22"/>
                <w:szCs w:val="22"/>
                <w:lang w:eastAsia="lv-LV"/>
                <w14:ligatures w14:val="none"/>
              </w:rPr>
              <w:lastRenderedPageBreak/>
              <w:t>reģenerācijai (tostarp aizbēršanas darbībām, kurās atkritumus izmanto citu materiālu aizstāšanai). Pārbauda, vai projekta iesniegumā ir iekļauts apliecinājums par Ministru kabineta 2021. gada 26. oktobra noteikumu Nr. 712 “Atkritumu dalītas savākšanas, sagatavošanas atkārtotai izmantošanai, pārstrādes un materiālu reģenerācijas noteikumi”</w:t>
            </w:r>
            <w:r w:rsidRPr="007D603C">
              <w:rPr>
                <w:rStyle w:val="Vresatsauce"/>
                <w:rFonts w:ascii="Times New Roman" w:eastAsia="Times New Roman" w:hAnsi="Times New Roman" w:cs="Times New Roman"/>
                <w:kern w:val="0"/>
                <w:sz w:val="22"/>
                <w:szCs w:val="22"/>
                <w:lang w:eastAsia="lv-LV"/>
                <w14:ligatures w14:val="none"/>
              </w:rPr>
              <w:footnoteReference w:id="31"/>
            </w:r>
            <w:r w:rsidRPr="007D603C">
              <w:rPr>
                <w:rFonts w:ascii="Times New Roman" w:eastAsia="Times New Roman" w:hAnsi="Times New Roman" w:cs="Times New Roman"/>
                <w:kern w:val="0"/>
                <w:sz w:val="22"/>
                <w:szCs w:val="22"/>
                <w:lang w:eastAsia="lv-LV"/>
                <w14:ligatures w14:val="none"/>
              </w:rPr>
              <w:t xml:space="preserve"> 6. punkta prasību ievērošanu (ja attiecināms saskaņā ar projekta iesniegumā plānotajām darbībām).</w:t>
            </w:r>
          </w:p>
          <w:p w14:paraId="7967EF76" w14:textId="5076A6A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Ja projektā plānota neizmantojamas būves vai lietošanai bīstamas ēkas vai citu vidi degradējošu objektu nojaukšana, veicot iepirkuma procedūru, ir piemērojams zaļā publiskā iepirkuma princips “aprites cikla skatījums”.</w:t>
            </w:r>
          </w:p>
        </w:tc>
      </w:tr>
      <w:tr w:rsidR="000710F5" w:rsidRPr="007D603C" w14:paraId="1EBE0B85" w14:textId="77777777" w:rsidTr="00926BC3">
        <w:trPr>
          <w:trHeight w:val="625"/>
          <w:jc w:val="center"/>
        </w:trPr>
        <w:tc>
          <w:tcPr>
            <w:tcW w:w="988" w:type="dxa"/>
            <w:vMerge/>
          </w:tcPr>
          <w:p w14:paraId="7CBEBAD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C12820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D122752"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7B4F27" w14:textId="79835323"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1986742" w14:textId="050FCDE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651628F" w14:textId="77777777" w:rsidTr="00926BC3">
        <w:trPr>
          <w:trHeight w:val="625"/>
          <w:jc w:val="center"/>
        </w:trPr>
        <w:tc>
          <w:tcPr>
            <w:tcW w:w="988" w:type="dxa"/>
            <w:vMerge/>
          </w:tcPr>
          <w:p w14:paraId="7BCCBE2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8A82AB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67BD08C"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6FC86DE" w14:textId="3E194F8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10CEBDBB" w14:textId="0FBD364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0C7454AF" w14:textId="77777777" w:rsidTr="00926BC3">
        <w:trPr>
          <w:trHeight w:val="625"/>
          <w:jc w:val="center"/>
        </w:trPr>
        <w:tc>
          <w:tcPr>
            <w:tcW w:w="988" w:type="dxa"/>
            <w:vMerge/>
          </w:tcPr>
          <w:p w14:paraId="5B3EE78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17462A1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9C9D00E"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E3F9428" w14:textId="6C0C40B6"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7823B219" w14:textId="6753ABE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projekts neietver neizmantojamas būves vai lietošanai bīstamas ēkas vai citu vidi degradējošu objektu nojaukšanu.</w:t>
            </w:r>
          </w:p>
        </w:tc>
      </w:tr>
      <w:tr w:rsidR="000710F5" w:rsidRPr="007D603C" w14:paraId="205F35E7" w14:textId="77777777" w:rsidTr="00926BC3">
        <w:trPr>
          <w:trHeight w:val="625"/>
          <w:jc w:val="center"/>
        </w:trPr>
        <w:tc>
          <w:tcPr>
            <w:tcW w:w="988" w:type="dxa"/>
            <w:vMerge w:val="restart"/>
          </w:tcPr>
          <w:p w14:paraId="65E16AC1" w14:textId="063DE564"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3.5.7.</w:t>
            </w:r>
          </w:p>
        </w:tc>
        <w:tc>
          <w:tcPr>
            <w:tcW w:w="5105" w:type="dxa"/>
            <w:vMerge w:val="restart"/>
          </w:tcPr>
          <w:p w14:paraId="13C95C43" w14:textId="453AE0EA"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ietvaros radītie azbestu saturoši materiāli tiek apstrādāti un transportēti atbilstoši normatīvajiem aktiem par darba aizsardzības prasībām darbā ar azbestu un azbesta atkritumu apsaimniekošanu (ja attiecināms).</w:t>
            </w:r>
          </w:p>
        </w:tc>
        <w:tc>
          <w:tcPr>
            <w:tcW w:w="1134" w:type="dxa"/>
            <w:vMerge w:val="restart"/>
          </w:tcPr>
          <w:p w14:paraId="2EE52A44" w14:textId="55A078C9"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289347D3" w14:textId="08469E5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CAC3D16" w14:textId="45A3E6D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w:t>
            </w:r>
          </w:p>
          <w:p w14:paraId="35372A51" w14:textId="66B0489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īstenošanā tiks lūgts būvdarbu veicējam sagatavot un iesniegt rakstisku apliecinājumu par azbesta savākšanu, atkalizmantošanu, sagatavošanu pārstrādei un reģenerācijai, pārstrādi vai reģenerāciju un </w:t>
            </w:r>
            <w:r w:rsidRPr="007D603C">
              <w:rPr>
                <w:rFonts w:ascii="Times New Roman" w:eastAsia="Times New Roman" w:hAnsi="Times New Roman" w:cs="Times New Roman"/>
                <w:kern w:val="0"/>
                <w:sz w:val="22"/>
                <w:szCs w:val="22"/>
                <w:lang w:eastAsia="lv-LV"/>
                <w14:ligatures w14:val="none"/>
              </w:rPr>
              <w:lastRenderedPageBreak/>
              <w:t>nodošanu komersantam, kas saņēmis attiecīgu piesārņojošās darbības vai atkritumu apsaimniekošanas  atļauju.</w:t>
            </w:r>
          </w:p>
        </w:tc>
      </w:tr>
      <w:tr w:rsidR="000710F5" w:rsidRPr="007D603C" w14:paraId="2DB9A295" w14:textId="77777777" w:rsidTr="00926BC3">
        <w:trPr>
          <w:trHeight w:val="625"/>
          <w:jc w:val="center"/>
        </w:trPr>
        <w:tc>
          <w:tcPr>
            <w:tcW w:w="988" w:type="dxa"/>
            <w:vMerge/>
          </w:tcPr>
          <w:p w14:paraId="7FA3958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1ACB8E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A3F6E9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E822818" w14:textId="18358251"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3248CBA7" w14:textId="1C8D34B2"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FB06C2B" w14:textId="77777777" w:rsidTr="00926BC3">
        <w:trPr>
          <w:trHeight w:val="625"/>
          <w:jc w:val="center"/>
        </w:trPr>
        <w:tc>
          <w:tcPr>
            <w:tcW w:w="988" w:type="dxa"/>
            <w:vMerge/>
          </w:tcPr>
          <w:p w14:paraId="459EEA9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C9AB97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56C9C17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50F540A" w14:textId="57D529E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817AF65" w14:textId="74A2413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D9817D8" w14:textId="77777777" w:rsidTr="00926BC3">
        <w:trPr>
          <w:trHeight w:val="759"/>
          <w:jc w:val="center"/>
        </w:trPr>
        <w:tc>
          <w:tcPr>
            <w:tcW w:w="988" w:type="dxa"/>
            <w:vMerge/>
          </w:tcPr>
          <w:p w14:paraId="1BB84BC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84081A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DBB253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F8F42E8" w14:textId="27B65466"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606CA9F" w14:textId="4E6FFEF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projekta iesniedzējs projekta iesniegumā apliecina, ka projekta ietvaros neradīsies azbestu saturoši atkritumi.</w:t>
            </w:r>
          </w:p>
        </w:tc>
      </w:tr>
      <w:tr w:rsidR="000710F5" w:rsidRPr="007D603C" w14:paraId="4ED3130E" w14:textId="77777777" w:rsidTr="00926BC3">
        <w:trPr>
          <w:trHeight w:val="625"/>
          <w:jc w:val="center"/>
        </w:trPr>
        <w:tc>
          <w:tcPr>
            <w:tcW w:w="988" w:type="dxa"/>
            <w:vMerge w:val="restart"/>
          </w:tcPr>
          <w:p w14:paraId="0ED78A65" w14:textId="7B879751"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3.5.8.</w:t>
            </w:r>
          </w:p>
        </w:tc>
        <w:tc>
          <w:tcPr>
            <w:tcW w:w="5105" w:type="dxa"/>
            <w:vMerge w:val="restart"/>
          </w:tcPr>
          <w:p w14:paraId="7DE4FEC2" w14:textId="22D42ED4"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tiks nodrošināts, ka būvniecības procesa laikā tiks ievērotas prasības par koku ciršanas aizliegumu putnu ligzdošanas periodā un nodrošināta esošo koku veselības stāvokļa aizsardzība, tai skaitā nekaitējot koku saknēm (ja attiecināms).</w:t>
            </w:r>
          </w:p>
        </w:tc>
        <w:tc>
          <w:tcPr>
            <w:tcW w:w="1134" w:type="dxa"/>
            <w:vMerge w:val="restart"/>
          </w:tcPr>
          <w:p w14:paraId="550E4FE9" w14:textId="37106AF1"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211C8C2A" w14:textId="0BE37E3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F39FE06" w14:textId="088189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iesniegumā apliecināts, ka projekta ietvaros būvniecības procesa laikā tiks ievērotas prasības par koku ciršanas aizliegumu putnu ligzdošanas periodā atbilstoši Ministru kabineta 2012. gada 2. maija noteikumos Nr. 309 “Noteikumi par koku ciršanu ārpus meža”</w:t>
            </w:r>
            <w:r w:rsidRPr="007D603C">
              <w:rPr>
                <w:rStyle w:val="Vresatsauce"/>
                <w:rFonts w:ascii="Times New Roman" w:eastAsia="Times New Roman" w:hAnsi="Times New Roman" w:cs="Times New Roman"/>
                <w:kern w:val="0"/>
                <w:sz w:val="22"/>
                <w:szCs w:val="22"/>
                <w:lang w:eastAsia="lv-LV"/>
                <w14:ligatures w14:val="none"/>
              </w:rPr>
              <w:footnoteReference w:id="32"/>
            </w:r>
            <w:r w:rsidRPr="007D603C">
              <w:rPr>
                <w:rFonts w:ascii="Times New Roman" w:eastAsia="Times New Roman" w:hAnsi="Times New Roman" w:cs="Times New Roman"/>
                <w:kern w:val="0"/>
                <w:sz w:val="22"/>
                <w:szCs w:val="22"/>
                <w:lang w:eastAsia="lv-LV"/>
                <w14:ligatures w14:val="none"/>
              </w:rPr>
              <w:t xml:space="preserve"> noteiktajam termiņam. Tiks ievērotas attiecīgās pašvaldības vadlīnijas vai saistošie noteikumi par koku aizsardzību.</w:t>
            </w:r>
          </w:p>
        </w:tc>
      </w:tr>
      <w:tr w:rsidR="000710F5" w:rsidRPr="007D603C" w14:paraId="1806499D" w14:textId="77777777" w:rsidTr="00926BC3">
        <w:trPr>
          <w:trHeight w:val="625"/>
          <w:jc w:val="center"/>
        </w:trPr>
        <w:tc>
          <w:tcPr>
            <w:tcW w:w="988" w:type="dxa"/>
            <w:vMerge/>
          </w:tcPr>
          <w:p w14:paraId="128EE8F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F8CF0C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CFDC4FB"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E7A9DFD" w14:textId="316CBAB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610BAD5A" w14:textId="726CEF3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59AB2152" w14:textId="77777777" w:rsidTr="00926BC3">
        <w:trPr>
          <w:trHeight w:val="625"/>
          <w:jc w:val="center"/>
        </w:trPr>
        <w:tc>
          <w:tcPr>
            <w:tcW w:w="988" w:type="dxa"/>
            <w:vMerge/>
          </w:tcPr>
          <w:p w14:paraId="396F326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9EC6BE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DF3A33A"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6C9D818" w14:textId="33442965"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873B31D" w14:textId="24638F4D"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0604C80C" w14:textId="77777777" w:rsidTr="00926BC3">
        <w:trPr>
          <w:trHeight w:val="404"/>
          <w:jc w:val="center"/>
        </w:trPr>
        <w:tc>
          <w:tcPr>
            <w:tcW w:w="988" w:type="dxa"/>
            <w:vMerge/>
          </w:tcPr>
          <w:p w14:paraId="152A331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EF5B25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2C7C96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585B8A0" w14:textId="58F4C78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608ADEA" w14:textId="6FC84245"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netiks veikta būvniecība.</w:t>
            </w:r>
          </w:p>
        </w:tc>
      </w:tr>
      <w:tr w:rsidR="000710F5" w:rsidRPr="007D603C" w14:paraId="58EE4F1C" w14:textId="77777777" w:rsidTr="00926BC3">
        <w:trPr>
          <w:trHeight w:val="409"/>
          <w:jc w:val="center"/>
        </w:trPr>
        <w:tc>
          <w:tcPr>
            <w:tcW w:w="15002" w:type="dxa"/>
            <w:gridSpan w:val="5"/>
            <w:vAlign w:val="center"/>
          </w:tcPr>
          <w:p w14:paraId="7E2E7FEB" w14:textId="08251A6E" w:rsidR="000710F5" w:rsidRPr="007D603C" w:rsidRDefault="000710F5" w:rsidP="000710F5">
            <w:pPr>
              <w:jc w:val="both"/>
              <w:rPr>
                <w:rFonts w:ascii="Times New Roman" w:eastAsia="Times New Roman" w:hAnsi="Times New Roman" w:cs="Times New Roman"/>
                <w:kern w:val="0"/>
                <w:lang w:eastAsia="lv-LV"/>
                <w14:ligatures w14:val="none"/>
              </w:rPr>
            </w:pPr>
            <w:bookmarkStart w:id="2" w:name="_Hlk165401934"/>
            <w:r w:rsidRPr="007D603C">
              <w:rPr>
                <w:rFonts w:ascii="Times New Roman" w:eastAsia="Times New Roman" w:hAnsi="Times New Roman" w:cs="Times New Roman"/>
                <w:b/>
                <w:bCs/>
                <w:kern w:val="0"/>
                <w:lang w:eastAsia="lv-LV"/>
                <w14:ligatures w14:val="none"/>
              </w:rPr>
              <w:t xml:space="preserve">3.6. </w:t>
            </w:r>
            <w:r w:rsidRPr="007D603C" w:rsidDel="000643E3">
              <w:rPr>
                <w:rFonts w:ascii="Times New Roman" w:eastAsia="Times New Roman" w:hAnsi="Times New Roman" w:cs="Times New Roman"/>
                <w:b/>
                <w:bCs/>
                <w:kern w:val="0"/>
                <w:lang w:eastAsia="lv-LV"/>
                <w14:ligatures w14:val="none"/>
              </w:rPr>
              <w:t>Horizontālā principa “</w:t>
            </w:r>
            <w:r w:rsidRPr="007D603C">
              <w:rPr>
                <w:rFonts w:ascii="Times New Roman" w:eastAsia="Times New Roman" w:hAnsi="Times New Roman" w:cs="Times New Roman"/>
                <w:b/>
                <w:bCs/>
                <w:kern w:val="0"/>
                <w:lang w:eastAsia="lv-LV"/>
                <w14:ligatures w14:val="none"/>
              </w:rPr>
              <w:t>Energoefektivitāte pirmajā vietā” un “</w:t>
            </w:r>
            <w:r w:rsidRPr="007D603C" w:rsidDel="000643E3">
              <w:rPr>
                <w:rFonts w:ascii="Times New Roman" w:eastAsia="Times New Roman" w:hAnsi="Times New Roman" w:cs="Times New Roman"/>
                <w:b/>
                <w:bCs/>
                <w:kern w:val="0"/>
                <w:lang w:eastAsia="lv-LV"/>
                <w14:ligatures w14:val="none"/>
              </w:rPr>
              <w:t>Klimatdrošināšana”</w:t>
            </w:r>
            <w:r w:rsidRPr="007D603C">
              <w:rPr>
                <w:rFonts w:ascii="Times New Roman" w:eastAsia="Times New Roman" w:hAnsi="Times New Roman" w:cs="Times New Roman"/>
                <w:b/>
                <w:bCs/>
                <w:kern w:val="0"/>
                <w:lang w:eastAsia="lv-LV"/>
                <w14:ligatures w14:val="none"/>
              </w:rPr>
              <w:t xml:space="preserve"> </w:t>
            </w:r>
            <w:r w:rsidRPr="007D603C" w:rsidDel="000643E3">
              <w:rPr>
                <w:rFonts w:ascii="Times New Roman" w:eastAsia="Times New Roman" w:hAnsi="Times New Roman" w:cs="Times New Roman"/>
                <w:b/>
                <w:bCs/>
                <w:kern w:val="0"/>
                <w:lang w:eastAsia="lv-LV"/>
                <w14:ligatures w14:val="none"/>
              </w:rPr>
              <w:t>specifisk</w:t>
            </w:r>
            <w:r w:rsidRPr="007D603C">
              <w:rPr>
                <w:rFonts w:ascii="Times New Roman" w:eastAsia="Times New Roman" w:hAnsi="Times New Roman" w:cs="Times New Roman"/>
                <w:b/>
                <w:bCs/>
                <w:kern w:val="0"/>
                <w:lang w:eastAsia="lv-LV"/>
                <w14:ligatures w14:val="none"/>
              </w:rPr>
              <w:t>ie</w:t>
            </w:r>
            <w:r w:rsidRPr="007D603C" w:rsidDel="000643E3">
              <w:rPr>
                <w:rFonts w:ascii="Times New Roman" w:eastAsia="Times New Roman" w:hAnsi="Times New Roman" w:cs="Times New Roman"/>
                <w:b/>
                <w:bCs/>
                <w:kern w:val="0"/>
                <w:lang w:eastAsia="lv-LV"/>
                <w14:ligatures w14:val="none"/>
              </w:rPr>
              <w:t xml:space="preserve"> atbilstības kritērij</w:t>
            </w:r>
            <w:r w:rsidRPr="007D603C">
              <w:rPr>
                <w:rFonts w:ascii="Times New Roman" w:eastAsia="Times New Roman" w:hAnsi="Times New Roman" w:cs="Times New Roman"/>
                <w:b/>
                <w:bCs/>
                <w:kern w:val="0"/>
                <w:lang w:eastAsia="lv-LV"/>
                <w14:ligatures w14:val="none"/>
              </w:rPr>
              <w:t>i</w:t>
            </w:r>
          </w:p>
        </w:tc>
      </w:tr>
      <w:bookmarkEnd w:id="2"/>
      <w:tr w:rsidR="000710F5" w:rsidRPr="007D603C" w14:paraId="3875FEC8" w14:textId="77777777" w:rsidTr="00926BC3">
        <w:trPr>
          <w:trHeight w:val="625"/>
          <w:jc w:val="center"/>
        </w:trPr>
        <w:tc>
          <w:tcPr>
            <w:tcW w:w="988" w:type="dxa"/>
            <w:vMerge w:val="restart"/>
          </w:tcPr>
          <w:p w14:paraId="495DBF03" w14:textId="1AC4E83C"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3.6.1.</w:t>
            </w:r>
          </w:p>
        </w:tc>
        <w:tc>
          <w:tcPr>
            <w:tcW w:w="5105" w:type="dxa"/>
            <w:vMerge w:val="restart"/>
          </w:tcPr>
          <w:p w14:paraId="2C75A7C3" w14:textId="6282223D"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Projekta iesniegumā iekļautas darbības (ja attiecināms), kas paredz enerģijas ietaupījumu vai pasākumus, kas </w:t>
            </w:r>
            <w:r w:rsidRPr="007D603C">
              <w:rPr>
                <w:rFonts w:ascii="Times New Roman" w:eastAsia="ヒラギノ角ゴ Pro W3" w:hAnsi="Times New Roman" w:cs="Times New Roman"/>
                <w:kern w:val="0"/>
                <w:sz w:val="22"/>
                <w:szCs w:val="22"/>
                <w14:ligatures w14:val="none"/>
              </w:rPr>
              <w:lastRenderedPageBreak/>
              <w:t>kopumā vai daļēji ir aizstājami ar izmaksefektīviem, tehniski, ekonomiski un videi nekaitīgiem alternatīviem pasākumiem, un vienlīdz efektīvi nodrošina attiecīgo mērķu sasniegšanu.</w:t>
            </w:r>
          </w:p>
        </w:tc>
        <w:tc>
          <w:tcPr>
            <w:tcW w:w="1134" w:type="dxa"/>
            <w:vMerge w:val="restart"/>
          </w:tcPr>
          <w:p w14:paraId="38B1BD3B" w14:textId="27FDE71D"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lastRenderedPageBreak/>
              <w:t>P, N/A</w:t>
            </w:r>
          </w:p>
        </w:tc>
        <w:tc>
          <w:tcPr>
            <w:tcW w:w="1415" w:type="dxa"/>
            <w:tcBorders>
              <w:top w:val="single" w:sz="4" w:space="0" w:color="auto"/>
              <w:bottom w:val="single" w:sz="4" w:space="0" w:color="auto"/>
            </w:tcBorders>
            <w:shd w:val="clear" w:color="auto" w:fill="auto"/>
          </w:tcPr>
          <w:p w14:paraId="15B54EA9" w14:textId="529808D8"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A7809B9"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iesniegumā ir izvērtēta iespēja projektā iekļaut darbības, kas paredz enerģijas ietaupījumu. SAM MK </w:t>
            </w:r>
            <w:r w:rsidRPr="007D603C">
              <w:rPr>
                <w:rFonts w:ascii="Times New Roman" w:eastAsia="Times New Roman" w:hAnsi="Times New Roman" w:cs="Times New Roman"/>
                <w:kern w:val="0"/>
                <w:sz w:val="22"/>
                <w:szCs w:val="22"/>
                <w:lang w:eastAsia="lv-LV"/>
                <w14:ligatures w14:val="none"/>
              </w:rPr>
              <w:lastRenderedPageBreak/>
              <w:t>noteikumi neparedz atbalstu pārejai uz atjaunīgiem energoresursiem, tāpēc šajā kritērijā nevērtē šāda veida darbības.</w:t>
            </w:r>
          </w:p>
          <w:p w14:paraId="2A19C8D6" w14:textId="77777777"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Ja, plānojot projektā tieši paredzētās darbības atbilstoši noteiktajām atbalstāmajām darbībām, to izvērtējumā ir secināts, ka projektā iespējams iekļaut darbības, kas paredz enerģijas ietaupījumu (aizvieto esošās iekārtas, infrastruktūru), projekta iesniegumā jāsniedz skaidrojums par izvērtējuma secinājumiem. Ja izvērtējumā ir secināts, ka projektā ir iespējams iekļaut augstāk minētās darbības, tad ir sniedzama sekojoša informācija par to, kuras darbības ir iekļautas projektā:</w:t>
            </w:r>
          </w:p>
          <w:p w14:paraId="3A3A9049" w14:textId="57F5BCFC" w:rsidR="000710F5" w:rsidRPr="007D603C" w:rsidRDefault="000710F5" w:rsidP="005B50CF">
            <w:pPr>
              <w:pStyle w:val="Sarakstarindkopa"/>
              <w:numPr>
                <w:ilvl w:val="2"/>
                <w:numId w:val="16"/>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darbības, kas paredz enerģijas ietaupījumu;</w:t>
            </w:r>
          </w:p>
          <w:p w14:paraId="73BE127D" w14:textId="11ADBE4B" w:rsidR="000710F5" w:rsidRPr="007D603C" w:rsidRDefault="000710F5" w:rsidP="005B50CF">
            <w:pPr>
              <w:pStyle w:val="Sarakstarindkopa"/>
              <w:numPr>
                <w:ilvl w:val="2"/>
                <w:numId w:val="16"/>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citas darbības, kas ir izmaksefektīvi, tehniski, ekonomiski un videi nekaitīgi alternatīvi pasākumi un vienlīdz efektīvi nodrošina attiecīgo mērķu sasniegšanu.</w:t>
            </w:r>
          </w:p>
          <w:p w14:paraId="67977525" w14:textId="3EDAF68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Izvērtējumu sagatavo atbilstoši metodiskajiem ieteikumiem  enerģijas ietaupījumu ziņošanai un aprēķināšanai</w:t>
            </w:r>
            <w:r w:rsidRPr="007D603C">
              <w:rPr>
                <w:rStyle w:val="Vresatsauce"/>
                <w:rFonts w:ascii="Times New Roman" w:eastAsia="Times New Roman" w:hAnsi="Times New Roman" w:cs="Times New Roman"/>
                <w:kern w:val="0"/>
                <w:sz w:val="22"/>
                <w:szCs w:val="22"/>
                <w:lang w:eastAsia="lv-LV"/>
                <w14:ligatures w14:val="none"/>
              </w:rPr>
              <w:footnoteReference w:id="33"/>
            </w:r>
            <w:r w:rsidRPr="007D603C">
              <w:rPr>
                <w:rFonts w:ascii="Times New Roman" w:eastAsia="Times New Roman" w:hAnsi="Times New Roman" w:cs="Times New Roman"/>
                <w:kern w:val="0"/>
                <w:sz w:val="22"/>
                <w:szCs w:val="22"/>
                <w:lang w:eastAsia="lv-LV"/>
                <w14:ligatures w14:val="none"/>
              </w:rPr>
              <w:t xml:space="preserve">. </w:t>
            </w:r>
          </w:p>
        </w:tc>
      </w:tr>
      <w:tr w:rsidR="000710F5" w:rsidRPr="007D603C" w14:paraId="35603787" w14:textId="77777777" w:rsidTr="00926BC3">
        <w:trPr>
          <w:trHeight w:val="625"/>
          <w:jc w:val="center"/>
        </w:trPr>
        <w:tc>
          <w:tcPr>
            <w:tcW w:w="988" w:type="dxa"/>
            <w:vMerge/>
          </w:tcPr>
          <w:p w14:paraId="21BC1F8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912C5A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0356D4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CAF6124" w14:textId="2D9820F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7F2E7C37" w14:textId="7A5FC05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689162F" w14:textId="77777777" w:rsidTr="00926BC3">
        <w:trPr>
          <w:trHeight w:val="625"/>
          <w:jc w:val="center"/>
        </w:trPr>
        <w:tc>
          <w:tcPr>
            <w:tcW w:w="988" w:type="dxa"/>
            <w:vMerge/>
          </w:tcPr>
          <w:p w14:paraId="473EFF1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6CD3FB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1337D0"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B50ED98" w14:textId="40362735"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7AB7C18C" w14:textId="0E36A39F"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EEB6BA0" w14:textId="77777777" w:rsidTr="00926BC3">
        <w:trPr>
          <w:trHeight w:val="625"/>
          <w:jc w:val="center"/>
        </w:trPr>
        <w:tc>
          <w:tcPr>
            <w:tcW w:w="988" w:type="dxa"/>
            <w:vMerge/>
          </w:tcPr>
          <w:p w14:paraId="7579FB2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3A3F6D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4420FB2"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560D4DE" w14:textId="788AF6EA"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ED2FAC7" w14:textId="66E722D4" w:rsidR="000710F5" w:rsidRPr="007D603C" w:rsidRDefault="3FEA02B4" w:rsidP="30211CEE">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Kritērijs nav piemērojams, ja, </w:t>
            </w:r>
            <w:r w:rsidR="09E7355E" w:rsidRPr="007D603C">
              <w:rPr>
                <w:rFonts w:ascii="Times New Roman" w:eastAsia="Times New Roman" w:hAnsi="Times New Roman" w:cs="Times New Roman"/>
                <w:kern w:val="0"/>
                <w:sz w:val="22"/>
                <w:szCs w:val="22"/>
                <w:lang w:eastAsia="lv-LV"/>
                <w14:ligatures w14:val="none"/>
              </w:rPr>
              <w:t xml:space="preserve">projekta iesniegumā, balstoties uz veikto izvērtējumu, pamatots, ka projektā nav iespējams iekļaut </w:t>
            </w:r>
            <w:r w:rsidRPr="007D603C">
              <w:rPr>
                <w:rFonts w:ascii="Times New Roman" w:eastAsia="Times New Roman" w:hAnsi="Times New Roman" w:cs="Times New Roman"/>
                <w:kern w:val="0"/>
                <w:sz w:val="22"/>
                <w:szCs w:val="22"/>
                <w:lang w:eastAsia="lv-LV"/>
                <w14:ligatures w14:val="none"/>
              </w:rPr>
              <w:t>aizvietojošas darbības, kas paredz enerģijas ietaupījumu</w:t>
            </w:r>
            <w:r w:rsidR="3CA95653">
              <w:rPr>
                <w:rFonts w:ascii="Times New Roman" w:eastAsia="Times New Roman" w:hAnsi="Times New Roman" w:cs="Times New Roman"/>
                <w:kern w:val="0"/>
                <w:sz w:val="22"/>
                <w:szCs w:val="22"/>
                <w:lang w:eastAsia="lv-LV"/>
                <w14:ligatures w14:val="none"/>
              </w:rPr>
              <w:t xml:space="preserve"> </w:t>
            </w:r>
            <w:r w:rsidR="3CA95653" w:rsidRPr="2BA0FF0A">
              <w:rPr>
                <w:rFonts w:ascii="Times New Roman" w:eastAsia="Times New Roman" w:hAnsi="Times New Roman" w:cs="Times New Roman"/>
                <w:sz w:val="22"/>
                <w:szCs w:val="22"/>
                <w:lang w:eastAsia="lv-LV"/>
              </w:rPr>
              <w:t>un projekta iesniegumā ir norādīts, ka nepastāv objektīvi apstākļi enerģijas</w:t>
            </w:r>
            <w:r w:rsidR="3CA95653" w:rsidRPr="2BA0FF0A">
              <w:rPr>
                <w:rFonts w:ascii="Times New Roman" w:eastAsia="Times New Roman" w:hAnsi="Times New Roman" w:cs="Times New Roman"/>
                <w:b/>
                <w:bCs/>
                <w:sz w:val="22"/>
                <w:szCs w:val="22"/>
                <w:lang w:eastAsia="lv-LV"/>
              </w:rPr>
              <w:t xml:space="preserve"> </w:t>
            </w:r>
            <w:r w:rsidR="3CA95653" w:rsidRPr="2BA0FF0A">
              <w:rPr>
                <w:rFonts w:ascii="Times New Roman" w:eastAsia="Times New Roman" w:hAnsi="Times New Roman" w:cs="Times New Roman"/>
                <w:sz w:val="22"/>
                <w:szCs w:val="22"/>
                <w:lang w:eastAsia="lv-LV"/>
              </w:rPr>
              <w:t>ietaupījumam</w:t>
            </w:r>
            <w:r w:rsidR="047CCB36" w:rsidRPr="2BA0FF0A">
              <w:rPr>
                <w:rFonts w:ascii="Times New Roman" w:eastAsia="Times New Roman" w:hAnsi="Times New Roman" w:cs="Times New Roman"/>
                <w:sz w:val="22"/>
                <w:szCs w:val="22"/>
                <w:lang w:eastAsia="lv-LV"/>
              </w:rPr>
              <w:t>.</w:t>
            </w:r>
          </w:p>
        </w:tc>
      </w:tr>
      <w:tr w:rsidR="000710F5" w:rsidRPr="007D603C" w14:paraId="7438FD4E" w14:textId="77777777" w:rsidTr="00926BC3">
        <w:trPr>
          <w:trHeight w:val="625"/>
          <w:jc w:val="center"/>
        </w:trPr>
        <w:tc>
          <w:tcPr>
            <w:tcW w:w="988" w:type="dxa"/>
            <w:vMerge w:val="restart"/>
          </w:tcPr>
          <w:p w14:paraId="688CAFF7" w14:textId="4A6A52A2"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3.6.2.</w:t>
            </w:r>
          </w:p>
        </w:tc>
        <w:tc>
          <w:tcPr>
            <w:tcW w:w="5105" w:type="dxa"/>
            <w:vMerge w:val="restart"/>
          </w:tcPr>
          <w:p w14:paraId="78478492" w14:textId="788916C4"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tiek nodrošināta atbilstība pielāgošanās klimata pārmaiņām aspektiem, izvērtējot klimatiskās ietekmes faktorus un veidojot tādu infrastruktūru, kas ir noturīga pret šo faktoru izpausmi.</w:t>
            </w:r>
          </w:p>
        </w:tc>
        <w:tc>
          <w:tcPr>
            <w:tcW w:w="1134" w:type="dxa"/>
            <w:vMerge w:val="restart"/>
          </w:tcPr>
          <w:p w14:paraId="6AB5E02E" w14:textId="62E2912C"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E662A63" w14:textId="72F1AFB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893D79B" w14:textId="72A265C1"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w:t>
            </w:r>
          </w:p>
          <w:p w14:paraId="1AC32EC7" w14:textId="3294F06B" w:rsidR="000710F5" w:rsidRPr="007D603C" w:rsidRDefault="000710F5" w:rsidP="005B50CF">
            <w:pPr>
              <w:pStyle w:val="Sarakstarindkopa"/>
              <w:numPr>
                <w:ilvl w:val="0"/>
                <w:numId w:val="17"/>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ir veikts projektā paredzēto infrastruktūras darbību risku izvērtējums par vismaz šādiem klimata pārmaiņu radītājiem riskiem: spēji ekstrēmi klimatiskie notikumi, piemēram, karstuma viļņi (infrastruktūras pārkaršana un materiālu nolietojums </w:t>
            </w:r>
            <w:r w:rsidRPr="007D603C">
              <w:rPr>
                <w:rFonts w:ascii="Times New Roman" w:eastAsia="Times New Roman" w:hAnsi="Times New Roman" w:cs="Times New Roman"/>
                <w:kern w:val="0"/>
                <w:sz w:val="22"/>
                <w:szCs w:val="22"/>
                <w:lang w:eastAsia="lv-LV"/>
                <w14:ligatures w14:val="none"/>
              </w:rPr>
              <w:lastRenderedPageBreak/>
              <w:t>karstuma dēļ), vēja brāzmas (elektropārvades bojājumi), plūdi, lietusgāzes, sausums, sasalšanas un kušanas cikli. Šiem riskiem paredzēti novēršanas vai mazināšanas pasākumi;</w:t>
            </w:r>
          </w:p>
          <w:p w14:paraId="4CE6371F" w14:textId="7075FD21" w:rsidR="000710F5" w:rsidRPr="007D603C" w:rsidRDefault="000710F5" w:rsidP="005B50CF">
            <w:pPr>
              <w:pStyle w:val="Sarakstarindkopa"/>
              <w:numPr>
                <w:ilvl w:val="0"/>
                <w:numId w:val="17"/>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12" w:history="1">
              <w:r w:rsidRPr="007D603C">
                <w:rPr>
                  <w:rStyle w:val="Hipersaite"/>
                  <w:rFonts w:ascii="Times New Roman" w:eastAsia="Times New Roman" w:hAnsi="Times New Roman" w:cs="Times New Roman"/>
                  <w:kern w:val="0"/>
                  <w:sz w:val="22"/>
                  <w:szCs w:val="22"/>
                  <w:lang w:eastAsia="lv-LV"/>
                  <w14:ligatures w14:val="none"/>
                </w:rPr>
                <w:t>še</w:t>
              </w:r>
              <w:r w:rsidRPr="007D603C">
                <w:rPr>
                  <w:rStyle w:val="Hipersaite"/>
                  <w:rFonts w:ascii="Times New Roman" w:eastAsia="Times New Roman" w:hAnsi="Times New Roman" w:cs="Times New Roman"/>
                  <w:kern w:val="0"/>
                  <w:sz w:val="22"/>
                  <w:szCs w:val="22"/>
                  <w:lang w:eastAsia="lv-LV"/>
                  <w14:ligatures w14:val="none"/>
                </w:rPr>
                <w:t>i</w:t>
              </w:r>
              <w:r w:rsidRPr="007D603C">
                <w:rPr>
                  <w:rStyle w:val="Hipersaite"/>
                  <w:rFonts w:ascii="Times New Roman" w:eastAsia="Times New Roman" w:hAnsi="Times New Roman" w:cs="Times New Roman"/>
                  <w:kern w:val="0"/>
                  <w:sz w:val="22"/>
                  <w:szCs w:val="22"/>
                  <w:lang w:eastAsia="lv-LV"/>
                  <w14:ligatures w14:val="none"/>
                </w:rPr>
                <w:t>t</w:t>
              </w:r>
            </w:hyperlink>
            <w:r w:rsidRPr="007D603C">
              <w:rPr>
                <w:rStyle w:val="Vresatsauce"/>
                <w:rFonts w:ascii="Times New Roman" w:eastAsia="Times New Roman" w:hAnsi="Times New Roman" w:cs="Times New Roman"/>
                <w:kern w:val="0"/>
                <w:sz w:val="22"/>
                <w:szCs w:val="22"/>
                <w:lang w:eastAsia="lv-LV"/>
                <w14:ligatures w14:val="none"/>
              </w:rPr>
              <w:footnoteReference w:id="34"/>
            </w:r>
            <w:r w:rsidRPr="007D603C">
              <w:rPr>
                <w:rFonts w:ascii="Times New Roman" w:eastAsia="Times New Roman" w:hAnsi="Times New Roman" w:cs="Times New Roman"/>
                <w:kern w:val="0"/>
                <w:sz w:val="22"/>
                <w:szCs w:val="22"/>
                <w:lang w:eastAsia="lv-LV"/>
                <w14:ligatures w14:val="none"/>
              </w:rPr>
              <w:t>.</w:t>
            </w:r>
          </w:p>
          <w:p w14:paraId="10750477" w14:textId="1C2E694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Papildus vērtē, vai projekts tiek īstenots plūdu riskam pakļautajā teritorijā atbilstoši VSIA “Latvijas Vides, ģeoloģijas un meteoroloģijas centrs” Latvijas plūdu riska un plūdu draudu kartēm</w:t>
            </w:r>
            <w:r w:rsidRPr="007D603C">
              <w:rPr>
                <w:rStyle w:val="Vresatsauce"/>
                <w:rFonts w:ascii="Times New Roman" w:eastAsia="Times New Roman" w:hAnsi="Times New Roman" w:cs="Times New Roman"/>
                <w:kern w:val="0"/>
                <w:sz w:val="22"/>
                <w:szCs w:val="22"/>
                <w:lang w:eastAsia="lv-LV"/>
                <w14:ligatures w14:val="none"/>
              </w:rPr>
              <w:footnoteReference w:id="35"/>
            </w:r>
            <w:r w:rsidRPr="007D603C">
              <w:rPr>
                <w:rFonts w:ascii="Times New Roman" w:eastAsia="Times New Roman" w:hAnsi="Times New Roman" w:cs="Times New Roman"/>
                <w:kern w:val="0"/>
                <w:sz w:val="22"/>
                <w:szCs w:val="22"/>
                <w:lang w:eastAsia="lv-LV"/>
                <w14:ligatures w14:val="none"/>
              </w:rPr>
              <w:t>. Vērtēšanā izmanto pavasara plūdu kartes upēm un ezeriem, kā arī jūras vējuzplūdu piekrastes zonai kartes slāņus par 10 %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w:t>
            </w:r>
          </w:p>
        </w:tc>
      </w:tr>
      <w:tr w:rsidR="000710F5" w:rsidRPr="007D603C" w14:paraId="3EA78448" w14:textId="77777777" w:rsidTr="00926BC3">
        <w:trPr>
          <w:trHeight w:val="625"/>
          <w:jc w:val="center"/>
        </w:trPr>
        <w:tc>
          <w:tcPr>
            <w:tcW w:w="988" w:type="dxa"/>
            <w:vMerge/>
          </w:tcPr>
          <w:p w14:paraId="495A7C6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2F62E743"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04ED481"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B3B0033" w14:textId="3CEFF81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1838C3B" w14:textId="65C05EF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89CA1B2" w14:textId="77777777" w:rsidTr="00926BC3">
        <w:trPr>
          <w:trHeight w:val="625"/>
          <w:jc w:val="center"/>
        </w:trPr>
        <w:tc>
          <w:tcPr>
            <w:tcW w:w="988" w:type="dxa"/>
            <w:vMerge/>
          </w:tcPr>
          <w:p w14:paraId="3B8A979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EE783F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2BE15A3"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150DA90" w14:textId="5D0CA1A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45DDCA09" w14:textId="05D364C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296E71EE" w14:textId="77777777" w:rsidTr="00926BC3">
        <w:trPr>
          <w:trHeight w:val="625"/>
          <w:jc w:val="center"/>
        </w:trPr>
        <w:tc>
          <w:tcPr>
            <w:tcW w:w="988" w:type="dxa"/>
            <w:vMerge w:val="restart"/>
          </w:tcPr>
          <w:p w14:paraId="5BF40F1E" w14:textId="3D88A0F9"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3.6.3.</w:t>
            </w:r>
          </w:p>
        </w:tc>
        <w:tc>
          <w:tcPr>
            <w:tcW w:w="5105" w:type="dxa"/>
            <w:vMerge w:val="restart"/>
          </w:tcPr>
          <w:p w14:paraId="3CF4C97D" w14:textId="484F8C4C"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veikts siltumnīcefekta gāzu ietaupījuma apjoma aprēķins (ja attiecināms).</w:t>
            </w:r>
          </w:p>
        </w:tc>
        <w:tc>
          <w:tcPr>
            <w:tcW w:w="1134" w:type="dxa"/>
            <w:vMerge w:val="restart"/>
          </w:tcPr>
          <w:p w14:paraId="15E2A737" w14:textId="2100204C"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3335A48D" w14:textId="42CA4F9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BF67836" w14:textId="4905252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projektam pievienots aprēķins, nosakot siltumnīcefekta gāzu ietaupījuma apjomu pret situāciju, ja projekts netiktu īstenots un projektā plānotais notekūdeņu dūņu apjoms, rēķinot viena gada izteiksmē, tiktu apstrādāts ar esošo apstrādes metodi. Aprēķiniem izmantota pārbaudāma, publiski pieejama metodoloģija, pārbaudāmi un uzticami datu avoti.</w:t>
            </w:r>
          </w:p>
        </w:tc>
      </w:tr>
      <w:tr w:rsidR="000710F5" w:rsidRPr="007D603C" w14:paraId="35A2D42C" w14:textId="77777777" w:rsidTr="00926BC3">
        <w:trPr>
          <w:trHeight w:val="625"/>
          <w:jc w:val="center"/>
        </w:trPr>
        <w:tc>
          <w:tcPr>
            <w:tcW w:w="988" w:type="dxa"/>
            <w:vMerge/>
          </w:tcPr>
          <w:p w14:paraId="0D1587C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E06F91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3C8DF338"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B8705B" w14:textId="665D46C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3ABB11B3" w14:textId="7F0F6FE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47EBA356" w14:textId="77777777" w:rsidTr="00926BC3">
        <w:trPr>
          <w:trHeight w:val="625"/>
          <w:jc w:val="center"/>
        </w:trPr>
        <w:tc>
          <w:tcPr>
            <w:tcW w:w="988" w:type="dxa"/>
            <w:vMerge/>
          </w:tcPr>
          <w:p w14:paraId="42B27526"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345127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E31D87"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2F08EE5" w14:textId="2370123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11A6D2A4" w14:textId="673A966D"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BBCB84C" w14:textId="77777777" w:rsidTr="00926BC3">
        <w:trPr>
          <w:trHeight w:val="625"/>
          <w:jc w:val="center"/>
        </w:trPr>
        <w:tc>
          <w:tcPr>
            <w:tcW w:w="988" w:type="dxa"/>
            <w:vMerge/>
          </w:tcPr>
          <w:p w14:paraId="35E5F83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26FB43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260725A"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90FA329" w14:textId="7945CEDB"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17F34C24" w14:textId="5F9567E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projektā netiks uzlabotas vai izveidotas notekūdeņu dūņu apstrādes iekārtas.</w:t>
            </w:r>
          </w:p>
        </w:tc>
      </w:tr>
      <w:tr w:rsidR="000710F5" w:rsidRPr="007D603C" w14:paraId="39ACDE6E" w14:textId="77777777" w:rsidTr="00926BC3">
        <w:trPr>
          <w:trHeight w:val="409"/>
          <w:jc w:val="center"/>
        </w:trPr>
        <w:tc>
          <w:tcPr>
            <w:tcW w:w="15002" w:type="dxa"/>
            <w:gridSpan w:val="5"/>
            <w:vAlign w:val="center"/>
          </w:tcPr>
          <w:p w14:paraId="560FDD62" w14:textId="345FA3E7" w:rsidR="000710F5" w:rsidRPr="007D603C" w:rsidRDefault="000710F5" w:rsidP="000710F5">
            <w:pPr>
              <w:jc w:val="both"/>
              <w:rPr>
                <w:rFonts w:ascii="Times New Roman" w:eastAsia="Times New Roman" w:hAnsi="Times New Roman" w:cs="Times New Roman"/>
                <w:kern w:val="0"/>
                <w:lang w:eastAsia="lv-LV"/>
                <w14:ligatures w14:val="none"/>
              </w:rPr>
            </w:pPr>
            <w:r w:rsidRPr="007D603C">
              <w:rPr>
                <w:rFonts w:ascii="Times New Roman" w:eastAsia="Times New Roman" w:hAnsi="Times New Roman" w:cs="Times New Roman"/>
                <w:b/>
                <w:bCs/>
                <w:kern w:val="0"/>
                <w:lang w:eastAsia="lv-LV"/>
                <w14:ligatures w14:val="none"/>
              </w:rPr>
              <w:t>3.7. Horizontālā principa “Vienlīdzība, iekļaušana, nediskriminācija un pamattiesību ievērošana” (HP VINPI) specifiskais atbilstības kritērijs</w:t>
            </w:r>
          </w:p>
        </w:tc>
      </w:tr>
      <w:tr w:rsidR="000710F5" w:rsidRPr="007D603C" w14:paraId="5CB14D3B" w14:textId="77777777" w:rsidTr="00926BC3">
        <w:trPr>
          <w:trHeight w:val="625"/>
          <w:jc w:val="center"/>
        </w:trPr>
        <w:tc>
          <w:tcPr>
            <w:tcW w:w="988" w:type="dxa"/>
            <w:vMerge w:val="restart"/>
          </w:tcPr>
          <w:p w14:paraId="087BDEF9" w14:textId="4009111D"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3.7.1.</w:t>
            </w:r>
          </w:p>
        </w:tc>
        <w:tc>
          <w:tcPr>
            <w:tcW w:w="5105" w:type="dxa"/>
            <w:vMerge w:val="restart"/>
          </w:tcPr>
          <w:p w14:paraId="2671B7DD" w14:textId="1DB86E25"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ir paredzētas darbības, kas veicina horizontālā principa ”Vienlīdzība, iekļaušana, nediskriminācija un pamattiesību ievērošana” īstenošanu.</w:t>
            </w:r>
          </w:p>
          <w:p w14:paraId="1325BDB8" w14:textId="77777777" w:rsidR="000710F5" w:rsidRPr="007D603C" w:rsidRDefault="000710F5" w:rsidP="000710F5">
            <w:pPr>
              <w:jc w:val="both"/>
              <w:rPr>
                <w:rFonts w:ascii="Times New Roman" w:eastAsia="ヒラギノ角ゴ Pro W3" w:hAnsi="Times New Roman" w:cs="Times New Roman"/>
                <w:kern w:val="0"/>
                <w:sz w:val="22"/>
                <w:szCs w:val="22"/>
                <w14:ligatures w14:val="none"/>
              </w:rPr>
            </w:pPr>
          </w:p>
        </w:tc>
        <w:tc>
          <w:tcPr>
            <w:tcW w:w="1134" w:type="dxa"/>
            <w:vMerge w:val="restart"/>
          </w:tcPr>
          <w:p w14:paraId="29EBE55B" w14:textId="5896B21F"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9CA9FA9" w14:textId="288D8FC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B5C81AE" w14:textId="7440FA56"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Kritērija vērtēšanā izmanto Labklājības ministrijas (LM) un Tieslietu ministrijas (TM) izstrādātās vadlīnijas “Horizontālais princips “Vienlīdzība, iekļaušana, nediskriminācija un pamattiesību ievērošana” vadlīnijas īstenošanai un uzraudzībai (2021-2027).</w:t>
            </w:r>
          </w:p>
          <w:p w14:paraId="16E7C40F" w14:textId="7BD09B2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no projekta iesniegumā ietvertās informācijas ir secināms, ka projektā paredzēta </w:t>
            </w:r>
            <w:r w:rsidRPr="007D603C">
              <w:rPr>
                <w:rFonts w:ascii="Times New Roman" w:eastAsia="Times New Roman" w:hAnsi="Times New Roman" w:cs="Times New Roman"/>
                <w:b/>
                <w:bCs/>
                <w:kern w:val="0"/>
                <w:sz w:val="22"/>
                <w:szCs w:val="22"/>
                <w:lang w:eastAsia="lv-LV"/>
                <w14:ligatures w14:val="none"/>
              </w:rPr>
              <w:t>vismaz viena vispārīga HP VINPI darbība</w:t>
            </w:r>
            <w:r w:rsidRPr="007D603C">
              <w:rPr>
                <w:rFonts w:ascii="Times New Roman" w:eastAsia="Times New Roman" w:hAnsi="Times New Roman" w:cs="Times New Roman"/>
                <w:kern w:val="0"/>
                <w:sz w:val="22"/>
                <w:szCs w:val="22"/>
                <w:lang w:eastAsia="lv-LV"/>
                <w14:ligatures w14:val="none"/>
              </w:rPr>
              <w:t>, kas attiecas uz publicitāti, personālu vai publiskajiem iepirkumiem.</w:t>
            </w:r>
          </w:p>
          <w:p w14:paraId="545930BD"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Projektā ieteicams iekļaut, piemēram, šādas vispārīgas darbības:</w:t>
            </w:r>
          </w:p>
          <w:p w14:paraId="7B6C45A1" w14:textId="0CDCB57C" w:rsidR="000710F5" w:rsidRPr="007D603C" w:rsidRDefault="000710F5" w:rsidP="000710F5">
            <w:pPr>
              <w:jc w:val="both"/>
              <w:rPr>
                <w:rFonts w:ascii="Times New Roman" w:eastAsia="Times New Roman" w:hAnsi="Times New Roman" w:cs="Times New Roman"/>
                <w:kern w:val="0"/>
                <w:sz w:val="22"/>
                <w:szCs w:val="22"/>
                <w:u w:val="single"/>
                <w:lang w:eastAsia="lv-LV"/>
                <w14:ligatures w14:val="none"/>
              </w:rPr>
            </w:pPr>
            <w:r w:rsidRPr="007D603C">
              <w:rPr>
                <w:rFonts w:ascii="Times New Roman" w:eastAsia="Times New Roman" w:hAnsi="Times New Roman" w:cs="Times New Roman"/>
                <w:kern w:val="0"/>
                <w:sz w:val="22"/>
                <w:szCs w:val="22"/>
                <w:u w:val="single"/>
                <w:lang w:eastAsia="lv-LV"/>
                <w14:ligatures w14:val="none"/>
              </w:rPr>
              <w:t>Komunikācijas un vizuālā identitātes pasākumi:</w:t>
            </w:r>
          </w:p>
          <w:p w14:paraId="67B1F8F2" w14:textId="4470D219"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tīmekļvietnē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w:t>
            </w:r>
            <w:r w:rsidRPr="007D603C">
              <w:rPr>
                <w:rStyle w:val="Vresatsauce"/>
                <w:rFonts w:ascii="Times New Roman" w:eastAsia="Times New Roman" w:hAnsi="Times New Roman" w:cs="Times New Roman"/>
                <w:kern w:val="0"/>
                <w:sz w:val="22"/>
                <w:szCs w:val="22"/>
                <w:lang w:eastAsia="lv-LV"/>
                <w14:ligatures w14:val="none"/>
              </w:rPr>
              <w:footnoteReference w:id="36"/>
            </w:r>
            <w:r w:rsidRPr="007D603C">
              <w:rPr>
                <w:rFonts w:ascii="Times New Roman" w:eastAsia="Times New Roman" w:hAnsi="Times New Roman" w:cs="Times New Roman"/>
                <w:kern w:val="0"/>
                <w:sz w:val="22"/>
                <w:szCs w:val="22"/>
                <w:lang w:eastAsia="lv-LV"/>
                <w14:ligatures w14:val="none"/>
              </w:rPr>
              <w:t>);</w:t>
            </w:r>
          </w:p>
          <w:p w14:paraId="49DBF83B" w14:textId="579ABF1A"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w:t>
            </w:r>
            <w:r w:rsidRPr="007D603C">
              <w:rPr>
                <w:rFonts w:ascii="Times New Roman" w:eastAsia="Times New Roman" w:hAnsi="Times New Roman" w:cs="Times New Roman"/>
                <w:kern w:val="0"/>
                <w:sz w:val="22"/>
                <w:szCs w:val="22"/>
                <w:lang w:eastAsia="lv-LV"/>
                <w14:ligatures w14:val="none"/>
              </w:rPr>
              <w:lastRenderedPageBreak/>
              <w:t>metodisko materiālu “Ieteikumi diskrimināciju un stereotipus mazinošai komunikācijai ar sabiedrību”</w:t>
            </w:r>
            <w:r w:rsidRPr="007D603C">
              <w:rPr>
                <w:rStyle w:val="Vresatsauce"/>
                <w:rFonts w:ascii="Times New Roman" w:eastAsia="Times New Roman" w:hAnsi="Times New Roman" w:cs="Times New Roman"/>
                <w:kern w:val="0"/>
                <w:sz w:val="22"/>
                <w:szCs w:val="22"/>
                <w:lang w:eastAsia="lv-LV"/>
                <w14:ligatures w14:val="none"/>
              </w:rPr>
              <w:footnoteReference w:id="37"/>
            </w:r>
            <w:r w:rsidRPr="007D603C">
              <w:rPr>
                <w:rFonts w:ascii="Times New Roman" w:eastAsia="Times New Roman" w:hAnsi="Times New Roman" w:cs="Times New Roman"/>
                <w:kern w:val="0"/>
                <w:sz w:val="22"/>
                <w:szCs w:val="22"/>
                <w:lang w:eastAsia="lv-LV"/>
                <w14:ligatures w14:val="none"/>
              </w:rPr>
              <w:t>);</w:t>
            </w:r>
          </w:p>
          <w:p w14:paraId="07C91072" w14:textId="5C471AF0"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w:t>
            </w:r>
            <w:r w:rsidRPr="007D603C">
              <w:rPr>
                <w:rStyle w:val="Vresatsauce"/>
                <w:rFonts w:ascii="Times New Roman" w:eastAsia="Times New Roman" w:hAnsi="Times New Roman" w:cs="Times New Roman"/>
                <w:kern w:val="0"/>
                <w:sz w:val="22"/>
                <w:szCs w:val="22"/>
                <w:lang w:eastAsia="lv-LV"/>
                <w14:ligatures w14:val="none"/>
              </w:rPr>
              <w:footnoteReference w:id="38"/>
            </w:r>
            <w:r w:rsidRPr="007D603C">
              <w:rPr>
                <w:rFonts w:ascii="Times New Roman" w:eastAsia="Times New Roman" w:hAnsi="Times New Roman" w:cs="Times New Roman"/>
                <w:kern w:val="0"/>
                <w:sz w:val="22"/>
                <w:szCs w:val="22"/>
                <w:lang w:eastAsia="lv-LV"/>
                <w14:ligatures w14:val="none"/>
              </w:rPr>
              <w:t xml:space="preserve"> (</w:t>
            </w:r>
            <w:r w:rsidRPr="007D603C">
              <w:t>v</w:t>
            </w:r>
            <w:r w:rsidRPr="007D603C">
              <w:rPr>
                <w:rFonts w:ascii="Times New Roman" w:eastAsia="Times New Roman" w:hAnsi="Times New Roman" w:cs="Times New Roman"/>
                <w:kern w:val="0"/>
                <w:sz w:val="22"/>
                <w:szCs w:val="22"/>
                <w:lang w:eastAsia="lv-LV"/>
                <w14:ligatures w14:val="none"/>
              </w:rPr>
              <w:t>adlīnijas piekļūstamības izvērtējumam</w:t>
            </w:r>
            <w:r w:rsidRPr="007D603C">
              <w:rPr>
                <w:rStyle w:val="Vresatsauce"/>
                <w:rFonts w:ascii="Times New Roman" w:eastAsia="Times New Roman" w:hAnsi="Times New Roman" w:cs="Times New Roman"/>
                <w:kern w:val="0"/>
                <w:sz w:val="22"/>
                <w:szCs w:val="22"/>
                <w:lang w:eastAsia="lv-LV"/>
                <w14:ligatures w14:val="none"/>
              </w:rPr>
              <w:footnoteReference w:id="39"/>
            </w:r>
            <w:r w:rsidRPr="007D603C">
              <w:rPr>
                <w:rFonts w:ascii="Times New Roman" w:eastAsia="Times New Roman" w:hAnsi="Times New Roman" w:cs="Times New Roman"/>
                <w:kern w:val="0"/>
                <w:sz w:val="22"/>
                <w:szCs w:val="22"/>
                <w:lang w:eastAsia="lv-LV"/>
                <w14:ligatures w14:val="none"/>
              </w:rPr>
              <w:t xml:space="preserve">); </w:t>
            </w:r>
          </w:p>
          <w:p w14:paraId="2EF2BF3D" w14:textId="77777777"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p>
          <w:p w14:paraId="20154EFB" w14:textId="1285B80E"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6C83A65B" w14:textId="77777777" w:rsidR="000710F5" w:rsidRPr="007D603C" w:rsidRDefault="000710F5" w:rsidP="000710F5">
            <w:pPr>
              <w:jc w:val="both"/>
              <w:rPr>
                <w:rFonts w:ascii="Times New Roman" w:eastAsia="Times New Roman" w:hAnsi="Times New Roman" w:cs="Times New Roman"/>
                <w:kern w:val="0"/>
                <w:sz w:val="22"/>
                <w:szCs w:val="22"/>
                <w:u w:val="single"/>
                <w:lang w:eastAsia="lv-LV"/>
                <w14:ligatures w14:val="none"/>
              </w:rPr>
            </w:pPr>
            <w:r w:rsidRPr="007D603C">
              <w:rPr>
                <w:rFonts w:ascii="Times New Roman" w:eastAsia="Times New Roman" w:hAnsi="Times New Roman" w:cs="Times New Roman"/>
                <w:kern w:val="0"/>
                <w:sz w:val="22"/>
                <w:szCs w:val="22"/>
                <w:u w:val="single"/>
                <w:lang w:eastAsia="lv-LV"/>
                <w14:ligatures w14:val="none"/>
              </w:rPr>
              <w:t>Iepirkumi:</w:t>
            </w:r>
          </w:p>
          <w:p w14:paraId="1191F396" w14:textId="2926816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 videi/ objektam/ pasākuma norises vietai, kā arī veicinātu labākus darba nosacījumus cilvēkiem ar invaliditāti un nelabvēlīgākā situācijā esošiem cilvēkiem</w:t>
            </w:r>
            <w:r w:rsidRPr="007D603C">
              <w:rPr>
                <w:rStyle w:val="Vresatsauce"/>
                <w:rFonts w:ascii="Times New Roman" w:eastAsia="Times New Roman" w:hAnsi="Times New Roman" w:cs="Times New Roman"/>
                <w:kern w:val="0"/>
                <w:sz w:val="22"/>
                <w:szCs w:val="22"/>
                <w:lang w:eastAsia="lv-LV"/>
                <w14:ligatures w14:val="none"/>
              </w:rPr>
              <w:footnoteReference w:id="40"/>
            </w:r>
            <w:r w:rsidRPr="007D603C">
              <w:rPr>
                <w:rFonts w:ascii="Times New Roman" w:eastAsia="Times New Roman" w:hAnsi="Times New Roman" w:cs="Times New Roman"/>
                <w:kern w:val="0"/>
                <w:sz w:val="22"/>
                <w:szCs w:val="22"/>
                <w:lang w:eastAsia="lv-LV"/>
                <w14:ligatures w14:val="none"/>
              </w:rPr>
              <w:t>.</w:t>
            </w:r>
          </w:p>
          <w:p w14:paraId="4D5BFACC" w14:textId="273A852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lastRenderedPageBreak/>
              <w:t>Projektā var būt iekļautas arī citas vispārīgas, kā arī specifiskas darbības, ja tās izriet no projekta satura un paredz vienlīdzības, iekļaušanas, nediskriminācijas un pamattiesību ievērošanu un vienlīdz efektīvi nodrošina attiecīgo mērķu sasniegšanu.</w:t>
            </w:r>
          </w:p>
        </w:tc>
      </w:tr>
      <w:tr w:rsidR="000710F5" w:rsidRPr="007D603C" w14:paraId="233FA47D" w14:textId="77777777" w:rsidTr="00926BC3">
        <w:trPr>
          <w:trHeight w:val="625"/>
          <w:jc w:val="center"/>
        </w:trPr>
        <w:tc>
          <w:tcPr>
            <w:tcW w:w="988" w:type="dxa"/>
            <w:vMerge/>
          </w:tcPr>
          <w:p w14:paraId="18ECCA9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F23F95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322232B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500465C" w14:textId="59D2A16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69813E2" w14:textId="58CE55A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164C916" w14:textId="77777777" w:rsidTr="00926BC3">
        <w:trPr>
          <w:trHeight w:val="625"/>
          <w:jc w:val="center"/>
        </w:trPr>
        <w:tc>
          <w:tcPr>
            <w:tcW w:w="988" w:type="dxa"/>
            <w:vMerge/>
          </w:tcPr>
          <w:p w14:paraId="5B960BA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2649E10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B49CD4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595649C2" w14:textId="00870F3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E586D45" w14:textId="556F78B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3E7BF7F" w14:textId="77777777" w:rsidTr="00926BC3">
        <w:trPr>
          <w:trHeight w:val="409"/>
          <w:jc w:val="center"/>
        </w:trPr>
        <w:tc>
          <w:tcPr>
            <w:tcW w:w="6093" w:type="dxa"/>
            <w:gridSpan w:val="2"/>
            <w:vMerge w:val="restart"/>
            <w:shd w:val="clear" w:color="auto" w:fill="F2F2F2" w:themeFill="background1" w:themeFillShade="F2"/>
            <w:vAlign w:val="center"/>
          </w:tcPr>
          <w:p w14:paraId="36E7A002" w14:textId="19B6044B"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kern w:val="0"/>
                <w14:ligatures w14:val="none"/>
              </w:rPr>
              <w:t>4. KVALITĀTES KRITĒRIJI</w:t>
            </w:r>
          </w:p>
        </w:tc>
        <w:tc>
          <w:tcPr>
            <w:tcW w:w="2549" w:type="dxa"/>
            <w:gridSpan w:val="2"/>
            <w:shd w:val="clear" w:color="auto" w:fill="F2F2F2" w:themeFill="background1" w:themeFillShade="F2"/>
            <w:vAlign w:val="center"/>
          </w:tcPr>
          <w:p w14:paraId="6EF23E8C" w14:textId="7777777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5E56682F" w14:textId="77777777" w:rsidR="000710F5" w:rsidRPr="007D603C" w:rsidRDefault="000710F5" w:rsidP="000710F5">
            <w:pPr>
              <w:jc w:val="center"/>
              <w:rPr>
                <w:rFonts w:ascii="Times New Roman" w:eastAsia="Times New Roman" w:hAnsi="Times New Roman" w:cs="Times New Roman"/>
                <w:b/>
                <w:bCs/>
                <w:kern w:val="0"/>
                <w:sz w:val="22"/>
                <w:szCs w:val="22"/>
                <w:lang w:eastAsia="lv-LV"/>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0710F5" w:rsidRPr="007D603C" w14:paraId="21EFB270" w14:textId="77777777" w:rsidTr="00926BC3">
        <w:trPr>
          <w:trHeight w:val="349"/>
          <w:jc w:val="center"/>
        </w:trPr>
        <w:tc>
          <w:tcPr>
            <w:tcW w:w="6093" w:type="dxa"/>
            <w:gridSpan w:val="2"/>
            <w:vMerge/>
          </w:tcPr>
          <w:p w14:paraId="5CAA3E9B"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2549" w:type="dxa"/>
            <w:gridSpan w:val="2"/>
            <w:shd w:val="clear" w:color="auto" w:fill="F2F2F2" w:themeFill="background1" w:themeFillShade="F2"/>
            <w:vAlign w:val="center"/>
          </w:tcPr>
          <w:p w14:paraId="07961E76" w14:textId="5EB3887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hAnsi="Times New Roman" w:cs="Times New Roman"/>
                <w:b/>
                <w:bCs/>
                <w:sz w:val="22"/>
                <w:szCs w:val="22"/>
              </w:rPr>
              <w:t>Punktu skaits</w:t>
            </w:r>
          </w:p>
        </w:tc>
        <w:tc>
          <w:tcPr>
            <w:tcW w:w="6360" w:type="dxa"/>
            <w:vMerge/>
          </w:tcPr>
          <w:p w14:paraId="251B4340" w14:textId="77777777" w:rsidR="000710F5" w:rsidRPr="007D603C" w:rsidRDefault="000710F5" w:rsidP="000710F5">
            <w:pPr>
              <w:spacing w:after="120"/>
              <w:jc w:val="both"/>
              <w:rPr>
                <w:rFonts w:ascii="Times New Roman" w:eastAsia="Times New Roman" w:hAnsi="Times New Roman" w:cs="Times New Roman"/>
                <w:b/>
                <w:bCs/>
                <w:kern w:val="0"/>
                <w:sz w:val="22"/>
                <w:szCs w:val="22"/>
                <w:lang w:eastAsia="lv-LV"/>
                <w14:ligatures w14:val="none"/>
              </w:rPr>
            </w:pPr>
          </w:p>
        </w:tc>
      </w:tr>
      <w:tr w:rsidR="000710F5" w:rsidRPr="007D603C" w14:paraId="04BC1B07" w14:textId="77777777" w:rsidTr="00926BC3">
        <w:tblPrEx>
          <w:jc w:val="left"/>
          <w:tblLook w:val="04A0" w:firstRow="1" w:lastRow="0" w:firstColumn="1" w:lastColumn="0" w:noHBand="0" w:noVBand="1"/>
        </w:tblPrEx>
        <w:trPr>
          <w:trHeight w:val="131"/>
        </w:trPr>
        <w:tc>
          <w:tcPr>
            <w:tcW w:w="988" w:type="dxa"/>
            <w:tcBorders>
              <w:top w:val="single" w:sz="4" w:space="0" w:color="auto"/>
              <w:left w:val="single" w:sz="4" w:space="0" w:color="auto"/>
              <w:right w:val="single" w:sz="4" w:space="0" w:color="auto"/>
            </w:tcBorders>
            <w:shd w:val="clear" w:color="auto" w:fill="auto"/>
          </w:tcPr>
          <w:p w14:paraId="4FE4D0D8" w14:textId="54CC638B"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w:t>
            </w:r>
          </w:p>
        </w:tc>
        <w:tc>
          <w:tcPr>
            <w:tcW w:w="5105" w:type="dxa"/>
            <w:tcBorders>
              <w:top w:val="single" w:sz="4" w:space="0" w:color="auto"/>
              <w:left w:val="single" w:sz="4" w:space="0" w:color="auto"/>
              <w:right w:val="single" w:sz="4" w:space="0" w:color="auto"/>
            </w:tcBorders>
            <w:shd w:val="clear" w:color="auto" w:fill="auto"/>
          </w:tcPr>
          <w:p w14:paraId="182CD546" w14:textId="4AD49D62" w:rsidR="000710F5" w:rsidRPr="007D603C" w:rsidRDefault="000710F5" w:rsidP="000710F5">
            <w:pPr>
              <w:pStyle w:val="Sarakstarindkopa"/>
              <w:autoSpaceDE w:val="0"/>
              <w:autoSpaceDN w:val="0"/>
              <w:adjustRightInd w:val="0"/>
              <w:spacing w:after="12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b/>
                <w:bCs/>
                <w:color w:val="000000" w:themeColor="text1"/>
                <w:sz w:val="22"/>
                <w:szCs w:val="22"/>
                <w:shd w:val="clear" w:color="auto" w:fill="FFFFFF"/>
              </w:rPr>
              <w:t>Vidē nonākošā piesārņojuma samazinājums</w:t>
            </w:r>
            <w:r w:rsidRPr="007D603C">
              <w:rPr>
                <w:rFonts w:ascii="Times New Roman" w:hAnsi="Times New Roman" w:cs="Times New Roman"/>
                <w:color w:val="000000" w:themeColor="text1"/>
                <w:sz w:val="22"/>
                <w:szCs w:val="22"/>
                <w:shd w:val="clear" w:color="auto" w:fill="FFFFFF"/>
              </w:rPr>
              <w:t xml:space="preserve"> (izteikts kā slāpekļa un fosfora piesārņojuma samazinājums (%) pēc projekta īstenošanas) – projekta rezultātā no notekūdeņu attīrīšanas iekārtām izplūstošajos attīrītajos notekūdeņos</w:t>
            </w:r>
            <w:r w:rsidR="000C3856" w:rsidRPr="007D603C">
              <w:rPr>
                <w:rFonts w:ascii="Times New Roman" w:hAnsi="Times New Roman" w:cs="Times New Roman"/>
                <w:color w:val="000000" w:themeColor="text1"/>
                <w:sz w:val="22"/>
                <w:szCs w:val="22"/>
                <w:shd w:val="clear" w:color="auto" w:fill="FFFFFF"/>
              </w:rPr>
              <w:t xml:space="preserve"> nodrošina</w:t>
            </w:r>
            <w:r w:rsidR="00F80915" w:rsidRPr="007D603C">
              <w:rPr>
                <w:rStyle w:val="Vresatsauce"/>
                <w:rFonts w:ascii="Times New Roman" w:hAnsi="Times New Roman" w:cs="Times New Roman"/>
                <w:color w:val="000000" w:themeColor="text1"/>
                <w:sz w:val="22"/>
                <w:szCs w:val="22"/>
                <w:shd w:val="clear" w:color="auto" w:fill="FFFFFF"/>
              </w:rPr>
              <w:footnoteReference w:id="41"/>
            </w:r>
            <w:r w:rsidRPr="007D603C">
              <w:rPr>
                <w:rFonts w:ascii="Times New Roman" w:hAnsi="Times New Roman" w:cs="Times New Roman"/>
                <w:color w:val="000000" w:themeColor="text1"/>
                <w:sz w:val="22"/>
                <w:szCs w:val="22"/>
                <w:shd w:val="clear" w:color="auto" w:fill="FFFFFF"/>
              </w:rPr>
              <w:t>:</w:t>
            </w:r>
          </w:p>
        </w:tc>
        <w:tc>
          <w:tcPr>
            <w:tcW w:w="2549" w:type="dxa"/>
            <w:gridSpan w:val="2"/>
            <w:tcBorders>
              <w:top w:val="single" w:sz="4" w:space="0" w:color="auto"/>
              <w:left w:val="single" w:sz="4" w:space="0" w:color="auto"/>
              <w:right w:val="single" w:sz="4" w:space="0" w:color="auto"/>
            </w:tcBorders>
            <w:shd w:val="clear" w:color="auto" w:fill="auto"/>
          </w:tcPr>
          <w:p w14:paraId="37C996CE" w14:textId="77777777" w:rsidR="000710F5" w:rsidRPr="007D603C" w:rsidRDefault="000710F5" w:rsidP="000710F5">
            <w:pPr>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0AFE9A00" w14:textId="65DF04D7" w:rsidR="000710F5" w:rsidRPr="007D603C" w:rsidRDefault="000710F5" w:rsidP="000710F5">
            <w:pPr>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2FC0307C" w14:textId="77777777" w:rsidR="00B152EA"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Kritērija vērtēšanai izmanto projekta iesniegumā sniegto aprēķinu par to N un P piesārņojuma samazinājumu %, kas notekūdeņu attīrīšanas iekārtās nodrošināts pirms projekta īstenošanas un plānoto samazinājumu % pēc projekta īstenošanas (samazinājumu (%) pēc projekta īstenošanas nosaka, balstoties uz projekta iesniedzēja aprēķinātajiem datiem par plānoto projekta darbību ietekmi uz N un P piesārņojuma samazināšanu). Samazinājumu (%) pirms projekta īstenošanas nosaka, salīdzinot iekārtās ieplūstošo un vidē novadīto piesārņojuma daudzumu, kas aprēķināts pēc Valsts statistiskā pārskata 2-Ūdens veidlapā (izmanto jaunāko pieejamo informāciju)</w:t>
            </w:r>
            <w:r w:rsidR="00CA5EC1" w:rsidRPr="007D603C">
              <w:rPr>
                <w:rFonts w:ascii="Times New Roman" w:hAnsi="Times New Roman" w:cs="Times New Roman"/>
                <w:color w:val="000000" w:themeColor="text1"/>
                <w:sz w:val="22"/>
                <w:szCs w:val="22"/>
              </w:rPr>
              <w:t xml:space="preserve"> </w:t>
            </w:r>
            <w:r w:rsidR="001324EB" w:rsidRPr="007D603C">
              <w:rPr>
                <w:rFonts w:ascii="Times New Roman" w:hAnsi="Times New Roman" w:cs="Times New Roman"/>
                <w:color w:val="000000" w:themeColor="text1"/>
                <w:sz w:val="22"/>
                <w:szCs w:val="22"/>
              </w:rPr>
              <w:t>norādītā kopējā slāpekļa (</w:t>
            </w:r>
            <w:proofErr w:type="spellStart"/>
            <w:r w:rsidR="001324EB" w:rsidRPr="007D603C">
              <w:rPr>
                <w:rFonts w:ascii="Times New Roman" w:hAnsi="Times New Roman" w:cs="Times New Roman"/>
                <w:color w:val="000000" w:themeColor="text1"/>
                <w:sz w:val="22"/>
                <w:szCs w:val="22"/>
              </w:rPr>
              <w:t>N</w:t>
            </w:r>
            <w:r w:rsidR="001324EB" w:rsidRPr="007D603C">
              <w:rPr>
                <w:rFonts w:ascii="Times New Roman" w:hAnsi="Times New Roman" w:cs="Times New Roman"/>
                <w:color w:val="000000" w:themeColor="text1"/>
                <w:sz w:val="22"/>
                <w:szCs w:val="22"/>
                <w:vertAlign w:val="subscript"/>
              </w:rPr>
              <w:t>kop</w:t>
            </w:r>
            <w:proofErr w:type="spellEnd"/>
            <w:r w:rsidR="001324EB" w:rsidRPr="007D603C">
              <w:rPr>
                <w:rFonts w:ascii="Times New Roman" w:hAnsi="Times New Roman" w:cs="Times New Roman"/>
                <w:color w:val="000000" w:themeColor="text1"/>
                <w:sz w:val="22"/>
                <w:szCs w:val="22"/>
              </w:rPr>
              <w:t>) un kopējā fosfora (</w:t>
            </w:r>
            <w:proofErr w:type="spellStart"/>
            <w:r w:rsidR="001324EB" w:rsidRPr="007D603C">
              <w:rPr>
                <w:rFonts w:ascii="Times New Roman" w:hAnsi="Times New Roman" w:cs="Times New Roman"/>
                <w:color w:val="000000" w:themeColor="text1"/>
                <w:sz w:val="22"/>
                <w:szCs w:val="22"/>
              </w:rPr>
              <w:t>P</w:t>
            </w:r>
            <w:r w:rsidR="001324EB" w:rsidRPr="007D603C">
              <w:rPr>
                <w:rFonts w:ascii="Times New Roman" w:hAnsi="Times New Roman" w:cs="Times New Roman"/>
                <w:color w:val="000000" w:themeColor="text1"/>
                <w:sz w:val="22"/>
                <w:szCs w:val="22"/>
                <w:vertAlign w:val="subscript"/>
              </w:rPr>
              <w:t>kop</w:t>
            </w:r>
            <w:proofErr w:type="spellEnd"/>
            <w:r w:rsidR="001324EB" w:rsidRPr="007D603C">
              <w:rPr>
                <w:rFonts w:ascii="Times New Roman" w:hAnsi="Times New Roman" w:cs="Times New Roman"/>
                <w:color w:val="000000" w:themeColor="text1"/>
                <w:sz w:val="22"/>
                <w:szCs w:val="22"/>
              </w:rPr>
              <w:t>) paliekošā piesārņojuma apjoma. Aprēķinu veic, izmantojot veidlapas E tabulas “Paliekošais piesārņojums tonnas gadā” 4</w:t>
            </w:r>
            <w:r w:rsidR="009D2587" w:rsidRPr="007D603C">
              <w:rPr>
                <w:rFonts w:ascii="Times New Roman" w:hAnsi="Times New Roman" w:cs="Times New Roman"/>
                <w:color w:val="000000" w:themeColor="text1"/>
                <w:sz w:val="22"/>
                <w:szCs w:val="22"/>
              </w:rPr>
              <w:t>. k</w:t>
            </w:r>
            <w:r w:rsidR="001324EB" w:rsidRPr="007D603C">
              <w:rPr>
                <w:rFonts w:ascii="Times New Roman" w:hAnsi="Times New Roman" w:cs="Times New Roman"/>
                <w:color w:val="000000" w:themeColor="text1"/>
                <w:sz w:val="22"/>
                <w:szCs w:val="22"/>
              </w:rPr>
              <w:t>olonnā “Izejošais piesārņojums” un 3.</w:t>
            </w:r>
            <w:r w:rsidR="009D2587" w:rsidRPr="007D603C">
              <w:rPr>
                <w:rFonts w:ascii="Times New Roman" w:hAnsi="Times New Roman" w:cs="Times New Roman"/>
                <w:color w:val="000000" w:themeColor="text1"/>
                <w:sz w:val="22"/>
                <w:szCs w:val="22"/>
              </w:rPr>
              <w:t> </w:t>
            </w:r>
            <w:r w:rsidR="001324EB" w:rsidRPr="007D603C">
              <w:rPr>
                <w:rFonts w:ascii="Times New Roman" w:hAnsi="Times New Roman" w:cs="Times New Roman"/>
                <w:color w:val="000000" w:themeColor="text1"/>
                <w:sz w:val="22"/>
                <w:szCs w:val="22"/>
              </w:rPr>
              <w:t>kolonnā “Ienākošais piesārņojums” norādītos datus. Veic aprēķinu formulā:</w:t>
            </w:r>
          </w:p>
          <w:p w14:paraId="533A1039" w14:textId="2AFF9A10" w:rsidR="000710F5" w:rsidRPr="007D603C" w:rsidRDefault="000710F5" w:rsidP="0015114C">
            <w:pPr>
              <w:jc w:val="center"/>
              <w:rPr>
                <w:rFonts w:ascii="Times New Roman" w:hAnsi="Times New Roman" w:cs="Times New Roman"/>
                <w:color w:val="000000" w:themeColor="text1"/>
                <w:sz w:val="22"/>
                <w:szCs w:val="22"/>
              </w:rPr>
            </w:pPr>
            <m:oMathPara>
              <m:oMath>
                <m:r>
                  <w:rPr>
                    <w:rFonts w:ascii="Cambria Math" w:hAnsi="Cambria Math" w:cs="Times New Roman"/>
                    <w:color w:val="000000" w:themeColor="text1"/>
                    <w:sz w:val="22"/>
                    <w:szCs w:val="22"/>
                  </w:rPr>
                  <m:t>100-</m:t>
                </m:r>
                <m:f>
                  <m:fPr>
                    <m:ctrlPr>
                      <w:rPr>
                        <w:rFonts w:ascii="Cambria Math" w:hAnsi="Cambria Math" w:cs="Times New Roman"/>
                        <w:i/>
                        <w:color w:val="000000" w:themeColor="text1"/>
                        <w:sz w:val="22"/>
                        <w:szCs w:val="22"/>
                      </w:rPr>
                    </m:ctrlPr>
                  </m:fPr>
                  <m:num>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k</m:t>
                        </m:r>
                      </m:e>
                      <m:sub>
                        <m:r>
                          <w:rPr>
                            <w:rFonts w:ascii="Cambria Math" w:hAnsi="Cambria Math" w:cs="Times New Roman"/>
                            <w:color w:val="000000" w:themeColor="text1"/>
                            <w:sz w:val="22"/>
                            <w:szCs w:val="22"/>
                          </w:rPr>
                          <m:t>2</m:t>
                        </m:r>
                      </m:sub>
                    </m:sSub>
                    <m:r>
                      <w:rPr>
                        <w:rFonts w:ascii="Cambria Math" w:hAnsi="Cambria Math" w:cs="Times New Roman"/>
                        <w:color w:val="000000" w:themeColor="text1"/>
                        <w:sz w:val="22"/>
                        <w:szCs w:val="22"/>
                      </w:rPr>
                      <m:t xml:space="preserve"> (</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t</m:t>
                        </m:r>
                      </m:num>
                      <m:den>
                        <m:r>
                          <w:rPr>
                            <w:rFonts w:ascii="Cambria Math" w:hAnsi="Cambria Math" w:cs="Times New Roman"/>
                            <w:color w:val="000000" w:themeColor="text1"/>
                            <w:sz w:val="22"/>
                            <w:szCs w:val="22"/>
                          </w:rPr>
                          <m:t>gadā</m:t>
                        </m:r>
                      </m:den>
                    </m:f>
                    <m:r>
                      <w:rPr>
                        <w:rFonts w:ascii="Cambria Math" w:hAnsi="Cambria Math" w:cs="Times New Roman"/>
                        <w:color w:val="000000" w:themeColor="text1"/>
                        <w:sz w:val="22"/>
                        <w:szCs w:val="22"/>
                      </w:rPr>
                      <m:t>)</m:t>
                    </m:r>
                  </m:num>
                  <m:den>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k</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 xml:space="preserve"> (</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t</m:t>
                        </m:r>
                      </m:num>
                      <m:den>
                        <m:r>
                          <w:rPr>
                            <w:rFonts w:ascii="Cambria Math" w:hAnsi="Cambria Math" w:cs="Times New Roman"/>
                            <w:color w:val="000000" w:themeColor="text1"/>
                            <w:sz w:val="22"/>
                            <w:szCs w:val="22"/>
                          </w:rPr>
                          <m:t>gadā</m:t>
                        </m:r>
                      </m:den>
                    </m:f>
                    <m:r>
                      <w:rPr>
                        <w:rFonts w:ascii="Cambria Math" w:hAnsi="Cambria Math" w:cs="Times New Roman"/>
                        <w:color w:val="000000" w:themeColor="text1"/>
                        <w:sz w:val="22"/>
                        <w:szCs w:val="22"/>
                      </w:rPr>
                      <m:t>)</m:t>
                    </m:r>
                  </m:den>
                </m:f>
                <m:r>
                  <w:rPr>
                    <w:rFonts w:ascii="Cambria Math" w:hAnsi="Cambria Math" w:cs="Times New Roman"/>
                    <w:color w:val="000000" w:themeColor="text1"/>
                    <w:sz w:val="22"/>
                    <w:szCs w:val="22"/>
                  </w:rPr>
                  <m:t>⋅100</m:t>
                </m:r>
              </m:oMath>
            </m:oMathPara>
          </w:p>
          <w:p w14:paraId="1CFBE4A2" w14:textId="4DCFFD4D" w:rsidR="00E62D5E" w:rsidRPr="007D603C" w:rsidRDefault="00E62D5E" w:rsidP="000710F5">
            <w:pPr>
              <w:autoSpaceDE w:val="0"/>
              <w:autoSpaceDN w:val="0"/>
              <w:adjustRightInd w:val="0"/>
              <w:spacing w:before="120"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lastRenderedPageBreak/>
              <w:t xml:space="preserve">kur </w:t>
            </w:r>
            <w:proofErr w:type="spellStart"/>
            <w:r w:rsidRPr="007D603C">
              <w:rPr>
                <w:rFonts w:ascii="Times New Roman" w:hAnsi="Times New Roman" w:cs="Times New Roman"/>
                <w:color w:val="000000" w:themeColor="text1"/>
                <w:sz w:val="22"/>
                <w:szCs w:val="22"/>
              </w:rPr>
              <w:t>k</w:t>
            </w:r>
            <w:r w:rsidRPr="007D603C">
              <w:rPr>
                <w:rFonts w:ascii="Times New Roman" w:hAnsi="Times New Roman" w:cs="Times New Roman"/>
                <w:color w:val="000000" w:themeColor="text1"/>
                <w:sz w:val="22"/>
                <w:szCs w:val="22"/>
                <w:vertAlign w:val="subscript"/>
              </w:rPr>
              <w:t>2</w:t>
            </w:r>
            <w:proofErr w:type="spellEnd"/>
            <w:r w:rsidRPr="007D603C">
              <w:rPr>
                <w:rFonts w:ascii="Times New Roman" w:hAnsi="Times New Roman" w:cs="Times New Roman"/>
                <w:color w:val="000000" w:themeColor="text1"/>
                <w:sz w:val="22"/>
                <w:szCs w:val="22"/>
              </w:rPr>
              <w:t xml:space="preserve"> = izejošais piesārņojums, t/gadā (E tabulas 4. kolonna) un </w:t>
            </w:r>
            <w:proofErr w:type="spellStart"/>
            <w:r w:rsidRPr="007D603C">
              <w:rPr>
                <w:rFonts w:ascii="Times New Roman" w:hAnsi="Times New Roman" w:cs="Times New Roman"/>
                <w:color w:val="000000" w:themeColor="text1"/>
                <w:sz w:val="22"/>
                <w:szCs w:val="22"/>
              </w:rPr>
              <w:t>k</w:t>
            </w:r>
            <w:r w:rsidRPr="007D603C">
              <w:rPr>
                <w:rFonts w:ascii="Times New Roman" w:hAnsi="Times New Roman" w:cs="Times New Roman"/>
                <w:color w:val="000000" w:themeColor="text1"/>
                <w:sz w:val="22"/>
                <w:szCs w:val="22"/>
                <w:vertAlign w:val="subscript"/>
              </w:rPr>
              <w:t>1</w:t>
            </w:r>
            <w:proofErr w:type="spellEnd"/>
            <w:r w:rsidRPr="007D603C">
              <w:rPr>
                <w:rFonts w:ascii="Times New Roman" w:hAnsi="Times New Roman" w:cs="Times New Roman"/>
                <w:color w:val="000000" w:themeColor="text1"/>
                <w:sz w:val="22"/>
                <w:szCs w:val="22"/>
              </w:rPr>
              <w:t xml:space="preserve"> = ienākošais piesārņojums, t/gadā (E tabulas 3. kolonna). </w:t>
            </w:r>
          </w:p>
          <w:p w14:paraId="43B8A0F5" w14:textId="36956978" w:rsidR="000710F5" w:rsidRPr="007D603C" w:rsidRDefault="000710F5" w:rsidP="000710F5">
            <w:pPr>
              <w:autoSpaceDE w:val="0"/>
              <w:autoSpaceDN w:val="0"/>
              <w:adjustRightInd w:val="0"/>
              <w:spacing w:before="120"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Iegūtā % samazinājuma vērtību noapaļo līdz vienam ciparam aiz komata</w:t>
            </w:r>
            <w:r w:rsidRPr="007D603C">
              <w:rPr>
                <w:rStyle w:val="Vresatsauce"/>
                <w:rFonts w:ascii="Times New Roman" w:hAnsi="Times New Roman" w:cs="Times New Roman"/>
                <w:color w:val="000000" w:themeColor="text1"/>
                <w:sz w:val="22"/>
                <w:szCs w:val="22"/>
              </w:rPr>
              <w:footnoteReference w:id="42"/>
            </w:r>
            <w:r w:rsidRPr="007D603C">
              <w:rPr>
                <w:rFonts w:ascii="Times New Roman" w:hAnsi="Times New Roman" w:cs="Times New Roman"/>
                <w:color w:val="000000" w:themeColor="text1"/>
                <w:sz w:val="22"/>
                <w:szCs w:val="22"/>
              </w:rPr>
              <w:t>.</w:t>
            </w:r>
          </w:p>
          <w:p w14:paraId="4FF01B98" w14:textId="77777777" w:rsidR="000710F5" w:rsidRPr="007D603C" w:rsidRDefault="000710F5" w:rsidP="005B50CF">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Gadījumā, ja jau pirms projekta īstenošanas tiek īstenot</w:t>
            </w:r>
            <w:r w:rsidR="00AA784C" w:rsidRPr="007D603C">
              <w:rPr>
                <w:rFonts w:ascii="Times New Roman" w:hAnsi="Times New Roman" w:cs="Times New Roman"/>
                <w:color w:val="000000" w:themeColor="text1"/>
                <w:sz w:val="22"/>
                <w:szCs w:val="22"/>
              </w:rPr>
              <w:t>s</w:t>
            </w:r>
            <w:r w:rsidRPr="007D603C">
              <w:rPr>
                <w:rFonts w:ascii="Times New Roman" w:hAnsi="Times New Roman" w:cs="Times New Roman"/>
                <w:color w:val="000000" w:themeColor="text1"/>
                <w:sz w:val="22"/>
                <w:szCs w:val="22"/>
              </w:rPr>
              <w:t xml:space="preserve"> kād</w:t>
            </w:r>
            <w:r w:rsidR="00AA784C" w:rsidRPr="007D603C">
              <w:rPr>
                <w:rFonts w:ascii="Times New Roman" w:hAnsi="Times New Roman" w:cs="Times New Roman"/>
                <w:color w:val="000000" w:themeColor="text1"/>
                <w:sz w:val="22"/>
                <w:szCs w:val="22"/>
              </w:rPr>
              <w:t>s</w:t>
            </w:r>
            <w:r w:rsidRPr="007D603C">
              <w:rPr>
                <w:rFonts w:ascii="Times New Roman" w:hAnsi="Times New Roman" w:cs="Times New Roman"/>
                <w:color w:val="000000" w:themeColor="text1"/>
                <w:sz w:val="22"/>
                <w:szCs w:val="22"/>
              </w:rPr>
              <w:t xml:space="preserve"> no piesārņojuma samazinājuma mērķiem (%) (kas secināms pēc Valsts statistiskā pārskata 2-Ūdens veidlapā sniegtās informācijas), punktus iespējams piešķirt tikai tad, ja </w:t>
            </w:r>
            <w:r w:rsidR="00DC301E" w:rsidRPr="007D603C">
              <w:rPr>
                <w:rFonts w:ascii="Times New Roman" w:hAnsi="Times New Roman" w:cs="Times New Roman"/>
                <w:color w:val="000000" w:themeColor="text1"/>
                <w:sz w:val="22"/>
                <w:szCs w:val="22"/>
              </w:rPr>
              <w:t xml:space="preserve">pēc projekta īstenošanas </w:t>
            </w:r>
            <w:r w:rsidRPr="007D603C">
              <w:rPr>
                <w:rFonts w:ascii="Times New Roman" w:hAnsi="Times New Roman" w:cs="Times New Roman"/>
                <w:color w:val="000000" w:themeColor="text1"/>
                <w:sz w:val="22"/>
                <w:szCs w:val="22"/>
              </w:rPr>
              <w:t>tiek sasniegts lielāks piesārņojuma samazinājums (%)</w:t>
            </w:r>
            <w:r w:rsidR="001933D3" w:rsidRPr="007D603C">
              <w:rPr>
                <w:rFonts w:ascii="Times New Roman" w:hAnsi="Times New Roman" w:cs="Times New Roman"/>
                <w:color w:val="000000" w:themeColor="text1"/>
                <w:sz w:val="22"/>
                <w:szCs w:val="22"/>
              </w:rPr>
              <w:t xml:space="preserve"> gan kopējam slāpeklim, gan kopējam fosforam – tiek sasniegts tās piesārņojošās vielas samazinājums, kuras koncentrācija nenodrošināja </w:t>
            </w:r>
            <w:r w:rsidR="000A3146" w:rsidRPr="007D603C">
              <w:rPr>
                <w:rFonts w:ascii="Times New Roman" w:hAnsi="Times New Roman" w:cs="Times New Roman"/>
                <w:color w:val="000000" w:themeColor="text1"/>
                <w:sz w:val="22"/>
                <w:szCs w:val="22"/>
              </w:rPr>
              <w:t>4</w:t>
            </w:r>
            <w:r w:rsidR="001933D3" w:rsidRPr="007D603C">
              <w:rPr>
                <w:rFonts w:ascii="Times New Roman" w:hAnsi="Times New Roman" w:cs="Times New Roman"/>
                <w:color w:val="000000" w:themeColor="text1"/>
                <w:sz w:val="22"/>
                <w:szCs w:val="22"/>
              </w:rPr>
              <w:t>.1.1. apakškritērijā norādīto sasniedzamo piesārņojuma samazinājumu (%), t.i. punkti var tikt piešķirti arī par vienas no piesārņojošās vielas koncentrācijas samazinājuma nodrošināšanu, ja otras vielas koncentrācijas samazināšana jau ir nodrošināta pirms projekta īstenošanas</w:t>
            </w:r>
            <w:r w:rsidR="005B50CF" w:rsidRPr="007D603C">
              <w:rPr>
                <w:rFonts w:ascii="Times New Roman" w:hAnsi="Times New Roman" w:cs="Times New Roman"/>
                <w:color w:val="000000" w:themeColor="text1"/>
                <w:sz w:val="22"/>
                <w:szCs w:val="22"/>
              </w:rPr>
              <w:t>.</w:t>
            </w:r>
          </w:p>
          <w:p w14:paraId="2F87B875" w14:textId="63A7EAAF" w:rsidR="00115F84" w:rsidRPr="007D603C" w:rsidRDefault="00115F84" w:rsidP="005B50CF">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Ja pirms projekta īstenošanas tiek sasniegta abu piesārņojošo vielu koncentrācijas samazināšana (%), punkti netiek piešķirti.</w:t>
            </w:r>
          </w:p>
        </w:tc>
      </w:tr>
      <w:tr w:rsidR="000710F5" w:rsidRPr="007D603C" w14:paraId="434D5995"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3F6589B3" w14:textId="4F3E88F2"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4.1.1.</w:t>
            </w:r>
          </w:p>
        </w:tc>
        <w:tc>
          <w:tcPr>
            <w:tcW w:w="5105" w:type="dxa"/>
            <w:tcBorders>
              <w:left w:val="single" w:sz="4" w:space="0" w:color="auto"/>
              <w:right w:val="single" w:sz="4" w:space="0" w:color="auto"/>
            </w:tcBorders>
            <w:shd w:val="clear" w:color="auto" w:fill="auto"/>
          </w:tcPr>
          <w:p w14:paraId="35606DAC" w14:textId="5A43A278" w:rsidR="000710F5" w:rsidRPr="007D603C" w:rsidRDefault="00262C97" w:rsidP="000710F5">
            <w:pPr>
              <w:pStyle w:val="Sarakstarindkopa"/>
              <w:autoSpaceDE w:val="0"/>
              <w:autoSpaceDN w:val="0"/>
              <w:adjustRightInd w:val="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color w:val="000000" w:themeColor="text1"/>
                <w:sz w:val="22"/>
                <w:szCs w:val="22"/>
                <w:shd w:val="clear" w:color="auto" w:fill="FFFFFF"/>
              </w:rPr>
              <w:t>vismaz 80,0</w:t>
            </w:r>
            <w:r w:rsidR="00CD5DC7" w:rsidRPr="007D603C">
              <w:rPr>
                <w:rFonts w:ascii="Times New Roman" w:hAnsi="Times New Roman" w:cs="Times New Roman"/>
                <w:color w:val="000000" w:themeColor="text1"/>
                <w:sz w:val="22"/>
                <w:szCs w:val="22"/>
                <w:shd w:val="clear" w:color="auto" w:fill="FFFFFF"/>
              </w:rPr>
              <w:t> </w:t>
            </w:r>
            <w:r w:rsidRPr="007D603C">
              <w:rPr>
                <w:rFonts w:ascii="Times New Roman" w:hAnsi="Times New Roman" w:cs="Times New Roman"/>
                <w:color w:val="000000" w:themeColor="text1"/>
                <w:sz w:val="22"/>
                <w:szCs w:val="22"/>
                <w:shd w:val="clear" w:color="auto" w:fill="FFFFFF"/>
              </w:rPr>
              <w:t>% slāpekļa un vismaz 87,5</w:t>
            </w:r>
            <w:r w:rsidR="00CD5DC7" w:rsidRPr="007D603C">
              <w:rPr>
                <w:rFonts w:ascii="Times New Roman" w:hAnsi="Times New Roman" w:cs="Times New Roman"/>
                <w:color w:val="000000" w:themeColor="text1"/>
                <w:sz w:val="22"/>
                <w:szCs w:val="22"/>
                <w:shd w:val="clear" w:color="auto" w:fill="FFFFFF"/>
              </w:rPr>
              <w:t> </w:t>
            </w:r>
            <w:r w:rsidRPr="007D603C">
              <w:rPr>
                <w:rFonts w:ascii="Times New Roman" w:hAnsi="Times New Roman" w:cs="Times New Roman"/>
                <w:color w:val="000000" w:themeColor="text1"/>
                <w:sz w:val="22"/>
                <w:szCs w:val="22"/>
                <w:shd w:val="clear" w:color="auto" w:fill="FFFFFF"/>
              </w:rPr>
              <w:t>% fosfora samazinājumu (salīdzinot piesārņojumu attīrīšanas iekārtās ieplūstošajos un vidē novadītajos notekūdeņos)</w:t>
            </w:r>
          </w:p>
        </w:tc>
        <w:tc>
          <w:tcPr>
            <w:tcW w:w="2549" w:type="dxa"/>
            <w:gridSpan w:val="2"/>
            <w:tcBorders>
              <w:top w:val="single" w:sz="4" w:space="0" w:color="auto"/>
              <w:left w:val="single" w:sz="4" w:space="0" w:color="auto"/>
              <w:right w:val="single" w:sz="4" w:space="0" w:color="auto"/>
            </w:tcBorders>
            <w:shd w:val="clear" w:color="auto" w:fill="auto"/>
          </w:tcPr>
          <w:p w14:paraId="4F5C2A90" w14:textId="64430E0B" w:rsidR="000710F5" w:rsidRPr="007D603C" w:rsidRDefault="00CD5DC7" w:rsidP="000710F5">
            <w:pPr>
              <w:spacing w:before="100" w:beforeAutospacing="1" w:after="100" w:afterAutospacing="1"/>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DD9B04E"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bCs/>
                <w:color w:val="000000" w:themeColor="text1"/>
                <w:sz w:val="22"/>
                <w:szCs w:val="22"/>
                <w:highlight w:val="yellow"/>
              </w:rPr>
            </w:pPr>
          </w:p>
        </w:tc>
      </w:tr>
      <w:tr w:rsidR="000710F5" w:rsidRPr="007D603C" w14:paraId="12823080" w14:textId="77777777" w:rsidTr="00926BC3">
        <w:tblPrEx>
          <w:jc w:val="left"/>
          <w:tblLook w:val="04A0" w:firstRow="1" w:lastRow="0" w:firstColumn="1" w:lastColumn="0" w:noHBand="0" w:noVBand="1"/>
        </w:tblPrEx>
        <w:trPr>
          <w:trHeight w:val="838"/>
        </w:trPr>
        <w:tc>
          <w:tcPr>
            <w:tcW w:w="988" w:type="dxa"/>
            <w:tcBorders>
              <w:left w:val="single" w:sz="4" w:space="0" w:color="auto"/>
              <w:right w:val="single" w:sz="4" w:space="0" w:color="auto"/>
            </w:tcBorders>
            <w:shd w:val="clear" w:color="auto" w:fill="auto"/>
          </w:tcPr>
          <w:p w14:paraId="009AD065" w14:textId="4301EAC1"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w:t>
            </w:r>
            <w:r w:rsidR="00CD5DC7" w:rsidRPr="007D603C">
              <w:rPr>
                <w:rFonts w:ascii="Times New Roman" w:hAnsi="Times New Roman" w:cs="Times New Roman"/>
                <w:color w:val="000000" w:themeColor="text1"/>
                <w:sz w:val="22"/>
                <w:szCs w:val="22"/>
              </w:rPr>
              <w:t>2</w:t>
            </w:r>
            <w:r w:rsidRPr="007D603C">
              <w:rPr>
                <w:rFonts w:ascii="Times New Roman" w:hAnsi="Times New Roman" w:cs="Times New Roman"/>
                <w:color w:val="000000" w:themeColor="text1"/>
                <w:sz w:val="22"/>
                <w:szCs w:val="22"/>
              </w:rPr>
              <w:t>.</w:t>
            </w:r>
          </w:p>
        </w:tc>
        <w:tc>
          <w:tcPr>
            <w:tcW w:w="5105" w:type="dxa"/>
            <w:tcBorders>
              <w:left w:val="single" w:sz="4" w:space="0" w:color="auto"/>
              <w:right w:val="single" w:sz="4" w:space="0" w:color="auto"/>
            </w:tcBorders>
            <w:shd w:val="clear" w:color="auto" w:fill="auto"/>
          </w:tcPr>
          <w:p w14:paraId="4E396CC3" w14:textId="6C548DEE"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color w:val="000000" w:themeColor="text1"/>
                <w:sz w:val="22"/>
                <w:szCs w:val="22"/>
                <w:shd w:val="clear" w:color="auto" w:fill="FFFFFF"/>
              </w:rPr>
              <w:t>citu slāpekļa un fosfora samazinājumu, kas nenodrošina vismaz 4.1.1. apakškritērijā minēto samazinājumu</w:t>
            </w:r>
          </w:p>
        </w:tc>
        <w:tc>
          <w:tcPr>
            <w:tcW w:w="2549" w:type="dxa"/>
            <w:gridSpan w:val="2"/>
            <w:tcBorders>
              <w:top w:val="single" w:sz="4" w:space="0" w:color="auto"/>
              <w:left w:val="single" w:sz="4" w:space="0" w:color="auto"/>
              <w:right w:val="single" w:sz="4" w:space="0" w:color="auto"/>
            </w:tcBorders>
            <w:shd w:val="clear" w:color="auto" w:fill="auto"/>
          </w:tcPr>
          <w:p w14:paraId="0C0E45EB" w14:textId="77777777" w:rsidR="000710F5" w:rsidRPr="007D603C" w:rsidRDefault="000710F5" w:rsidP="000710F5">
            <w:pPr>
              <w:spacing w:before="100" w:beforeAutospacing="1" w:after="100" w:afterAutospacing="1"/>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1A9CF57B"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bCs/>
                <w:color w:val="000000" w:themeColor="text1"/>
                <w:sz w:val="22"/>
                <w:szCs w:val="22"/>
                <w:highlight w:val="yellow"/>
              </w:rPr>
            </w:pPr>
          </w:p>
        </w:tc>
      </w:tr>
      <w:tr w:rsidR="000710F5" w:rsidRPr="007D603C" w14:paraId="37A1234F" w14:textId="77777777" w:rsidTr="00926BC3">
        <w:tblPrEx>
          <w:jc w:val="left"/>
          <w:tblLook w:val="04A0" w:firstRow="1" w:lastRow="0" w:firstColumn="1" w:lastColumn="0" w:noHBand="0" w:noVBand="1"/>
        </w:tblPrEx>
        <w:trPr>
          <w:trHeight w:val="175"/>
        </w:trPr>
        <w:tc>
          <w:tcPr>
            <w:tcW w:w="988" w:type="dxa"/>
            <w:tcBorders>
              <w:top w:val="single" w:sz="4" w:space="0" w:color="auto"/>
              <w:left w:val="single" w:sz="4" w:space="0" w:color="auto"/>
              <w:right w:val="single" w:sz="4" w:space="0" w:color="auto"/>
            </w:tcBorders>
            <w:shd w:val="clear" w:color="auto" w:fill="auto"/>
          </w:tcPr>
          <w:p w14:paraId="278B568C" w14:textId="43660A2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w:t>
            </w:r>
          </w:p>
        </w:tc>
        <w:tc>
          <w:tcPr>
            <w:tcW w:w="5105" w:type="dxa"/>
            <w:tcBorders>
              <w:top w:val="single" w:sz="4" w:space="0" w:color="auto"/>
              <w:left w:val="single" w:sz="4" w:space="0" w:color="auto"/>
              <w:right w:val="single" w:sz="4" w:space="0" w:color="auto"/>
            </w:tcBorders>
            <w:shd w:val="clear" w:color="auto" w:fill="auto"/>
          </w:tcPr>
          <w:p w14:paraId="27840D9B" w14:textId="77777777" w:rsidR="000710F5" w:rsidRPr="007D603C" w:rsidRDefault="000710F5" w:rsidP="000710F5">
            <w:pPr>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Notekūdeņu attīrīšanas iekārtu novadītos notekūdeņus uzņemošā ūdensobjekta ekoloģiskā kvalitāte:</w:t>
            </w:r>
          </w:p>
        </w:tc>
        <w:tc>
          <w:tcPr>
            <w:tcW w:w="2549" w:type="dxa"/>
            <w:gridSpan w:val="2"/>
            <w:shd w:val="clear" w:color="auto" w:fill="auto"/>
          </w:tcPr>
          <w:p w14:paraId="42A45558"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100AB77F" w14:textId="793D604D" w:rsidR="000710F5" w:rsidRPr="007D603C" w:rsidRDefault="000710F5" w:rsidP="000710F5">
            <w:pPr>
              <w:pStyle w:val="Sarakstarindkopa"/>
              <w:autoSpaceDE w:val="0"/>
              <w:autoSpaceDN w:val="0"/>
              <w:adjustRightInd w:val="0"/>
              <w:ind w:left="0"/>
              <w:jc w:val="center"/>
              <w:rPr>
                <w:rFonts w:ascii="Times New Roman" w:hAnsi="Times New Roman" w:cs="Times New Roman"/>
                <w:b/>
                <w:bCs/>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062E41DB" w14:textId="7050C470" w:rsidR="000710F5" w:rsidRPr="007D603C" w:rsidRDefault="000710F5" w:rsidP="000710F5">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Kritērija vērtēšanai izmanto projekta iesniegumā sniegto informāciju par notekūdeņu attīrīšanas iekārtu novadīto notekūdeņu uzņemošā ūdensobjekta ekoloģisko kvalitāti atbilstoši jaunākajam pieejamajam Latvijas vides, ģeoloģijas un meteoroloģijas centra sagatavotajam Pārskatam par virszemes un pazemes ūdeņu stāvokli (pielikumam “Upju un ezeru ūdensobjektu ekoloģiskā kvalitāte”</w:t>
            </w:r>
            <w:r w:rsidRPr="007D603C">
              <w:rPr>
                <w:rStyle w:val="Vresatsauce"/>
                <w:rFonts w:ascii="Times New Roman" w:hAnsi="Times New Roman" w:cs="Times New Roman"/>
                <w:color w:val="000000" w:themeColor="text1"/>
                <w:sz w:val="22"/>
                <w:szCs w:val="22"/>
              </w:rPr>
              <w:footnoteReference w:id="43"/>
            </w:r>
            <w:r w:rsidRPr="007D603C">
              <w:rPr>
                <w:rFonts w:ascii="Times New Roman" w:hAnsi="Times New Roman" w:cs="Times New Roman"/>
                <w:color w:val="000000" w:themeColor="text1"/>
                <w:sz w:val="22"/>
                <w:szCs w:val="22"/>
              </w:rPr>
              <w:t xml:space="preserve">). Vērtēšanas komisija pārliecinās par ūdensobjekta ekoloģisko kvalitāti (kritērija vērtēšanā tiek pieņemts, ka ar ekoloģisko kvalitāti ir saprotams arī ekoloģiskais potenciāls), izmantojot: </w:t>
            </w:r>
            <w:hyperlink r:id="rId13" w:history="1">
              <w:r w:rsidRPr="007D603C">
                <w:rPr>
                  <w:rStyle w:val="Hipersaite"/>
                  <w:rFonts w:ascii="Times New Roman" w:hAnsi="Times New Roman" w:cs="Times New Roman"/>
                  <w:sz w:val="22"/>
                  <w:szCs w:val="22"/>
                </w:rPr>
                <w:t>https://</w:t>
              </w:r>
              <w:proofErr w:type="spellStart"/>
              <w:r w:rsidRPr="007D603C">
                <w:rPr>
                  <w:rStyle w:val="Hipersaite"/>
                  <w:rFonts w:ascii="Times New Roman" w:hAnsi="Times New Roman" w:cs="Times New Roman"/>
                  <w:sz w:val="22"/>
                  <w:szCs w:val="22"/>
                </w:rPr>
                <w:t>videscentrs.lvgmc.lv</w:t>
              </w:r>
              <w:proofErr w:type="spellEnd"/>
              <w:r w:rsidRPr="007D603C">
                <w:rPr>
                  <w:rStyle w:val="Hipersaite"/>
                  <w:rFonts w:ascii="Times New Roman" w:hAnsi="Times New Roman" w:cs="Times New Roman"/>
                  <w:sz w:val="22"/>
                  <w:szCs w:val="22"/>
                </w:rPr>
                <w:t>/lapas/</w:t>
              </w:r>
              <w:proofErr w:type="spellStart"/>
              <w:r w:rsidRPr="007D603C">
                <w:rPr>
                  <w:rStyle w:val="Hipersaite"/>
                  <w:rFonts w:ascii="Times New Roman" w:hAnsi="Times New Roman" w:cs="Times New Roman"/>
                  <w:sz w:val="22"/>
                  <w:szCs w:val="22"/>
                </w:rPr>
                <w:t>udens-kvalitate</w:t>
              </w:r>
              <w:proofErr w:type="spellEnd"/>
            </w:hyperlink>
            <w:r w:rsidRPr="007D603C">
              <w:rPr>
                <w:rFonts w:ascii="Times New Roman" w:hAnsi="Times New Roman" w:cs="Times New Roman"/>
                <w:color w:val="000000" w:themeColor="text1"/>
                <w:sz w:val="22"/>
                <w:szCs w:val="22"/>
              </w:rPr>
              <w:t xml:space="preserve"> </w:t>
            </w:r>
          </w:p>
        </w:tc>
      </w:tr>
      <w:tr w:rsidR="000710F5" w:rsidRPr="007D603C" w14:paraId="6C6F84BF"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3BD462BE" w14:textId="78ECE1D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4.2.1.</w:t>
            </w:r>
          </w:p>
        </w:tc>
        <w:tc>
          <w:tcPr>
            <w:tcW w:w="5105" w:type="dxa"/>
            <w:tcBorders>
              <w:left w:val="single" w:sz="4" w:space="0" w:color="auto"/>
              <w:right w:val="single" w:sz="4" w:space="0" w:color="auto"/>
            </w:tcBorders>
            <w:shd w:val="clear" w:color="auto" w:fill="auto"/>
          </w:tcPr>
          <w:p w14:paraId="5DDCF31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ļoti slikta</w:t>
            </w:r>
          </w:p>
        </w:tc>
        <w:tc>
          <w:tcPr>
            <w:tcW w:w="2549" w:type="dxa"/>
            <w:gridSpan w:val="2"/>
            <w:tcBorders>
              <w:right w:val="single" w:sz="4" w:space="0" w:color="auto"/>
            </w:tcBorders>
            <w:shd w:val="clear" w:color="auto" w:fill="auto"/>
          </w:tcPr>
          <w:p w14:paraId="0066413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6DE10451"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6258630D"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0D447C37" w14:textId="6AE5D943"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4.2.2.</w:t>
            </w:r>
          </w:p>
        </w:tc>
        <w:tc>
          <w:tcPr>
            <w:tcW w:w="5105" w:type="dxa"/>
            <w:tcBorders>
              <w:left w:val="single" w:sz="4" w:space="0" w:color="auto"/>
              <w:right w:val="single" w:sz="4" w:space="0" w:color="auto"/>
            </w:tcBorders>
            <w:shd w:val="clear" w:color="auto" w:fill="auto"/>
          </w:tcPr>
          <w:p w14:paraId="175E01F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slikta</w:t>
            </w:r>
          </w:p>
        </w:tc>
        <w:tc>
          <w:tcPr>
            <w:tcW w:w="2549" w:type="dxa"/>
            <w:gridSpan w:val="2"/>
            <w:tcBorders>
              <w:right w:val="single" w:sz="4" w:space="0" w:color="auto"/>
            </w:tcBorders>
            <w:shd w:val="clear" w:color="auto" w:fill="auto"/>
          </w:tcPr>
          <w:p w14:paraId="0C7DBB6B"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4E8BC02D"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49047287"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73DCC85B" w14:textId="622D65E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4.2.3.</w:t>
            </w:r>
          </w:p>
        </w:tc>
        <w:tc>
          <w:tcPr>
            <w:tcW w:w="5105" w:type="dxa"/>
            <w:tcBorders>
              <w:left w:val="single" w:sz="4" w:space="0" w:color="auto"/>
              <w:right w:val="single" w:sz="4" w:space="0" w:color="auto"/>
            </w:tcBorders>
            <w:shd w:val="clear" w:color="auto" w:fill="auto"/>
          </w:tcPr>
          <w:p w14:paraId="77FF34B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vidēja</w:t>
            </w:r>
          </w:p>
        </w:tc>
        <w:tc>
          <w:tcPr>
            <w:tcW w:w="2549" w:type="dxa"/>
            <w:gridSpan w:val="2"/>
            <w:tcBorders>
              <w:right w:val="single" w:sz="4" w:space="0" w:color="auto"/>
            </w:tcBorders>
            <w:shd w:val="clear" w:color="auto" w:fill="auto"/>
          </w:tcPr>
          <w:p w14:paraId="1495E217"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550F5A34"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46469A38" w14:textId="77777777" w:rsidTr="00926BC3">
        <w:tblPrEx>
          <w:jc w:val="left"/>
          <w:tblLook w:val="04A0" w:firstRow="1" w:lastRow="0" w:firstColumn="1" w:lastColumn="0" w:noHBand="0" w:noVBand="1"/>
        </w:tblPrEx>
        <w:trPr>
          <w:trHeight w:val="562"/>
        </w:trPr>
        <w:tc>
          <w:tcPr>
            <w:tcW w:w="988" w:type="dxa"/>
            <w:tcBorders>
              <w:left w:val="single" w:sz="4" w:space="0" w:color="auto"/>
              <w:right w:val="single" w:sz="4" w:space="0" w:color="auto"/>
            </w:tcBorders>
            <w:shd w:val="clear" w:color="auto" w:fill="auto"/>
          </w:tcPr>
          <w:p w14:paraId="4AAA85A0" w14:textId="760EC84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4.2.4.</w:t>
            </w:r>
          </w:p>
        </w:tc>
        <w:tc>
          <w:tcPr>
            <w:tcW w:w="5105" w:type="dxa"/>
            <w:tcBorders>
              <w:left w:val="single" w:sz="4" w:space="0" w:color="auto"/>
              <w:right w:val="single" w:sz="4" w:space="0" w:color="auto"/>
            </w:tcBorders>
            <w:shd w:val="clear" w:color="auto" w:fill="auto"/>
          </w:tcPr>
          <w:p w14:paraId="2EBE407B" w14:textId="792F4FF8"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laba vai augsta</w:t>
            </w:r>
          </w:p>
        </w:tc>
        <w:tc>
          <w:tcPr>
            <w:tcW w:w="2549" w:type="dxa"/>
            <w:gridSpan w:val="2"/>
            <w:tcBorders>
              <w:right w:val="single" w:sz="4" w:space="0" w:color="auto"/>
            </w:tcBorders>
            <w:shd w:val="clear" w:color="auto" w:fill="auto"/>
          </w:tcPr>
          <w:p w14:paraId="005E8A6B" w14:textId="3C96471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45F0E9D0"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0D4A3AE0" w14:textId="77777777" w:rsidTr="00926BC3">
        <w:tblPrEx>
          <w:jc w:val="left"/>
          <w:tblLook w:val="04A0" w:firstRow="1" w:lastRow="0" w:firstColumn="1" w:lastColumn="0" w:noHBand="0" w:noVBand="1"/>
        </w:tblPrEx>
        <w:trPr>
          <w:trHeight w:val="345"/>
        </w:trPr>
        <w:tc>
          <w:tcPr>
            <w:tcW w:w="988" w:type="dxa"/>
            <w:tcBorders>
              <w:top w:val="single" w:sz="4" w:space="0" w:color="auto"/>
              <w:left w:val="single" w:sz="4" w:space="0" w:color="auto"/>
              <w:right w:val="single" w:sz="4" w:space="0" w:color="auto"/>
            </w:tcBorders>
            <w:shd w:val="clear" w:color="auto" w:fill="auto"/>
          </w:tcPr>
          <w:p w14:paraId="1D972D6A" w14:textId="4DA5002E"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w:t>
            </w:r>
          </w:p>
        </w:tc>
        <w:tc>
          <w:tcPr>
            <w:tcW w:w="5105" w:type="dxa"/>
            <w:tcBorders>
              <w:top w:val="single" w:sz="4" w:space="0" w:color="auto"/>
              <w:left w:val="single" w:sz="4" w:space="0" w:color="auto"/>
              <w:right w:val="single" w:sz="4" w:space="0" w:color="auto"/>
            </w:tcBorders>
            <w:shd w:val="clear" w:color="auto" w:fill="auto"/>
          </w:tcPr>
          <w:p w14:paraId="4BB5F188" w14:textId="77777777" w:rsidR="000710F5" w:rsidRPr="007D603C" w:rsidRDefault="000710F5" w:rsidP="000710F5">
            <w:pPr>
              <w:tabs>
                <w:tab w:val="left" w:pos="360"/>
              </w:tabs>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Notekūdeņu attīrīšanas iekārtu novadītos notekūdeņus uzņemošā ūdensobjekta veids:</w:t>
            </w:r>
          </w:p>
        </w:tc>
        <w:tc>
          <w:tcPr>
            <w:tcW w:w="2549" w:type="dxa"/>
            <w:gridSpan w:val="2"/>
            <w:shd w:val="clear" w:color="auto" w:fill="auto"/>
          </w:tcPr>
          <w:p w14:paraId="72426C30"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1DFFC6D3" w14:textId="0A68D1B9"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2D466D6B" w14:textId="63A8AC02" w:rsidR="000710F5" w:rsidRPr="007D603C" w:rsidRDefault="000710F5" w:rsidP="00F74CF9">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bdr w:val="none" w:sz="0" w:space="0" w:color="auto" w:frame="1"/>
              </w:rPr>
              <w:t xml:space="preserve">Kritērija vērtēšanā pārbauda informāciju, kas sniegta projekta iesniegumā par uzņemošā ūdensobjekta atrašanos </w:t>
            </w:r>
            <w:r w:rsidRPr="007D603C">
              <w:rPr>
                <w:rFonts w:ascii="Times New Roman" w:hAnsi="Times New Roman" w:cs="Times New Roman"/>
                <w:color w:val="000000" w:themeColor="text1"/>
                <w:sz w:val="22"/>
                <w:szCs w:val="22"/>
              </w:rPr>
              <w:t xml:space="preserve">virszemes riska ūdensobjektu sarakstā atbilstoši Ministru kabineta 2011. gada </w:t>
            </w:r>
            <w:r w:rsidRPr="007D603C">
              <w:rPr>
                <w:rFonts w:ascii="Times New Roman" w:hAnsi="Times New Roman" w:cs="Times New Roman"/>
                <w:color w:val="000000" w:themeColor="text1"/>
                <w:sz w:val="22"/>
                <w:szCs w:val="22"/>
              </w:rPr>
              <w:lastRenderedPageBreak/>
              <w:t>31. maija noteikumu Nr. 418 “Noteikumi par riska ūdensobjektiem”</w:t>
            </w:r>
            <w:r w:rsidRPr="007D603C">
              <w:rPr>
                <w:rStyle w:val="Vresatsauce"/>
                <w:rFonts w:ascii="Times New Roman" w:hAnsi="Times New Roman" w:cs="Times New Roman"/>
                <w:color w:val="000000" w:themeColor="text1"/>
                <w:sz w:val="22"/>
                <w:szCs w:val="22"/>
              </w:rPr>
              <w:footnoteReference w:id="44"/>
            </w:r>
            <w:r w:rsidRPr="007D603C">
              <w:rPr>
                <w:rFonts w:ascii="Times New Roman" w:hAnsi="Times New Roman" w:cs="Times New Roman"/>
                <w:color w:val="000000" w:themeColor="text1"/>
                <w:sz w:val="22"/>
                <w:szCs w:val="22"/>
              </w:rPr>
              <w:t xml:space="preserve"> 1.-3. pielikumam, kā arī izvērtē projekta iesniegumā norādītā uzņemošā ūdensobjekta (</w:t>
            </w:r>
            <w:proofErr w:type="spellStart"/>
            <w:r w:rsidRPr="007D603C">
              <w:rPr>
                <w:rFonts w:ascii="Times New Roman" w:hAnsi="Times New Roman" w:cs="Times New Roman"/>
                <w:color w:val="000000" w:themeColor="text1"/>
                <w:sz w:val="22"/>
                <w:szCs w:val="22"/>
              </w:rPr>
              <w:t>ŪO</w:t>
            </w:r>
            <w:proofErr w:type="spellEnd"/>
            <w:r w:rsidRPr="007D603C">
              <w:rPr>
                <w:rFonts w:ascii="Times New Roman" w:hAnsi="Times New Roman" w:cs="Times New Roman"/>
                <w:color w:val="000000" w:themeColor="text1"/>
                <w:sz w:val="22"/>
                <w:szCs w:val="22"/>
              </w:rPr>
              <w:t xml:space="preserve"> koda) atrašanās vietu Latvijas Vides, ģeoloģijas un meteoroloģijas centra izstrādātajā </w:t>
            </w:r>
            <w:r w:rsidRPr="007D603C">
              <w:rPr>
                <w:rFonts w:ascii="Times New Roman" w:hAnsi="Times New Roman" w:cs="Times New Roman"/>
                <w:sz w:val="22"/>
                <w:szCs w:val="22"/>
              </w:rPr>
              <w:t>ūdensobjektu kartē</w:t>
            </w:r>
            <w:r w:rsidRPr="007D603C">
              <w:rPr>
                <w:rStyle w:val="Vresatsauce"/>
                <w:rFonts w:ascii="Times New Roman" w:hAnsi="Times New Roman" w:cs="Times New Roman"/>
                <w:sz w:val="22"/>
                <w:szCs w:val="22"/>
              </w:rPr>
              <w:footnoteReference w:id="45"/>
            </w:r>
            <w:r w:rsidRPr="007D603C">
              <w:rPr>
                <w:rFonts w:ascii="Times New Roman" w:hAnsi="Times New Roman" w:cs="Times New Roman"/>
                <w:color w:val="000000" w:themeColor="text1"/>
                <w:sz w:val="22"/>
                <w:szCs w:val="22"/>
              </w:rPr>
              <w:t>. Projekta iesniegumā norādītās notekūdeņu izvada atrašanās vietas koordinātas pārbauda ar ūdensobjektu kartes funkciju “Mērīt - </w:t>
            </w:r>
            <w:proofErr w:type="spellStart"/>
            <w:r w:rsidRPr="007D603C">
              <w:rPr>
                <w:rFonts w:ascii="Times New Roman" w:hAnsi="Times New Roman" w:cs="Times New Roman"/>
                <w:color w:val="000000" w:themeColor="text1"/>
                <w:sz w:val="22"/>
                <w:szCs w:val="22"/>
              </w:rPr>
              <w:t>Location</w:t>
            </w:r>
            <w:proofErr w:type="spellEnd"/>
            <w:r w:rsidRPr="007D603C">
              <w:rPr>
                <w:rFonts w:ascii="Times New Roman" w:hAnsi="Times New Roman" w:cs="Times New Roman"/>
                <w:color w:val="000000" w:themeColor="text1"/>
                <w:sz w:val="22"/>
                <w:szCs w:val="22"/>
              </w:rPr>
              <w:t xml:space="preserve">”. Projekta iesniegumā notekūdeņu izvada atrašanās vietas koordinātas norāda LKS-92 sistēmā gan ģeogrāfisko (formātā 56.519133 un 23.811079), gan taisnleņķa metrisko koordinātu (338562,321 un 564058,203) veidā. </w:t>
            </w:r>
          </w:p>
          <w:p w14:paraId="01E06922" w14:textId="08ABD165" w:rsidR="000710F5" w:rsidRPr="007D603C" w:rsidRDefault="000710F5" w:rsidP="00F74CF9">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bdr w:val="none" w:sz="0" w:space="0" w:color="auto" w:frame="1"/>
              </w:rPr>
            </w:pPr>
            <w:r w:rsidRPr="007D603C">
              <w:rPr>
                <w:rFonts w:ascii="Times New Roman" w:hAnsi="Times New Roman" w:cs="Times New Roman"/>
                <w:color w:val="000000" w:themeColor="text1"/>
                <w:sz w:val="22"/>
                <w:szCs w:val="22"/>
                <w:bdr w:val="none" w:sz="0" w:space="0" w:color="auto" w:frame="1"/>
              </w:rPr>
              <w:t xml:space="preserve">Uzņemošā ūdensobjekta atrašanās vietu pārbauda dabas datu pārvaldības sistēmā </w:t>
            </w:r>
            <w:r w:rsidRPr="007D603C">
              <w:rPr>
                <w:rFonts w:ascii="Times New Roman" w:hAnsi="Times New Roman" w:cs="Times New Roman"/>
                <w:sz w:val="22"/>
                <w:szCs w:val="22"/>
                <w:bdr w:val="none" w:sz="0" w:space="0" w:color="auto" w:frame="1"/>
              </w:rPr>
              <w:t>OZOLS</w:t>
            </w:r>
            <w:r w:rsidRPr="007D603C">
              <w:rPr>
                <w:rStyle w:val="Vresatsauce"/>
                <w:rFonts w:ascii="Times New Roman" w:hAnsi="Times New Roman" w:cs="Times New Roman"/>
                <w:sz w:val="22"/>
                <w:szCs w:val="22"/>
                <w:bdr w:val="none" w:sz="0" w:space="0" w:color="auto" w:frame="1"/>
              </w:rPr>
              <w:footnoteReference w:id="46"/>
            </w:r>
            <w:r w:rsidRPr="007D603C">
              <w:rPr>
                <w:rFonts w:ascii="Times New Roman" w:hAnsi="Times New Roman" w:cs="Times New Roman"/>
                <w:color w:val="000000" w:themeColor="text1"/>
                <w:sz w:val="22"/>
                <w:szCs w:val="22"/>
                <w:bdr w:val="none" w:sz="0" w:space="0" w:color="auto" w:frame="1"/>
              </w:rPr>
              <w:t xml:space="preserve">, ievadot projekta iesniegumā norādītā notekūdeņu izvada ūdensobjektā atrašanās vietas koordinātas (izmantojot funkciju “nolasīt koordinātas”) un pārbaudot, vai attiecīgā vieta ietilpst </w:t>
            </w:r>
            <w:r w:rsidRPr="007D603C">
              <w:rPr>
                <w:rFonts w:ascii="Times New Roman" w:hAnsi="Times New Roman" w:cs="Times New Roman"/>
                <w:i/>
                <w:iCs/>
                <w:color w:val="000000" w:themeColor="text1"/>
                <w:sz w:val="22"/>
                <w:szCs w:val="22"/>
                <w:bdr w:val="none" w:sz="0" w:space="0" w:color="auto" w:frame="1"/>
              </w:rPr>
              <w:t>Natura </w:t>
            </w:r>
            <w:r w:rsidRPr="00926BC3">
              <w:rPr>
                <w:rFonts w:ascii="Times New Roman" w:hAnsi="Times New Roman" w:cs="Times New Roman"/>
                <w:i/>
                <w:iCs/>
                <w:color w:val="000000" w:themeColor="text1"/>
                <w:sz w:val="22"/>
                <w:szCs w:val="22"/>
                <w:bdr w:val="none" w:sz="0" w:space="0" w:color="auto" w:frame="1"/>
              </w:rPr>
              <w:t>2000</w:t>
            </w:r>
            <w:r w:rsidRPr="007D603C">
              <w:rPr>
                <w:rFonts w:ascii="Times New Roman" w:hAnsi="Times New Roman" w:cs="Times New Roman"/>
                <w:color w:val="000000" w:themeColor="text1"/>
                <w:sz w:val="22"/>
                <w:szCs w:val="22"/>
                <w:bdr w:val="none" w:sz="0" w:space="0" w:color="auto" w:frame="1"/>
              </w:rPr>
              <w:t xml:space="preserve"> teritorijā.</w:t>
            </w:r>
          </w:p>
          <w:p w14:paraId="10FE77E5" w14:textId="77777777" w:rsidR="000710F5" w:rsidRPr="007D603C" w:rsidRDefault="000710F5" w:rsidP="000710F5">
            <w:pPr>
              <w:pStyle w:val="Sarakstarindkopa"/>
              <w:autoSpaceDE w:val="0"/>
              <w:autoSpaceDN w:val="0"/>
              <w:adjustRightInd w:val="0"/>
              <w:spacing w:after="120"/>
              <w:ind w:left="0"/>
              <w:jc w:val="both"/>
              <w:rPr>
                <w:rFonts w:ascii="Times New Roman" w:hAnsi="Times New Roman" w:cs="Times New Roman"/>
                <w:color w:val="000000" w:themeColor="text1"/>
                <w:sz w:val="22"/>
                <w:szCs w:val="22"/>
                <w:bdr w:val="none" w:sz="0" w:space="0" w:color="auto" w:frame="1"/>
              </w:rPr>
            </w:pPr>
            <w:r w:rsidRPr="007D603C">
              <w:rPr>
                <w:rFonts w:ascii="Times New Roman" w:hAnsi="Times New Roman" w:cs="Times New Roman"/>
                <w:color w:val="000000" w:themeColor="text1"/>
                <w:sz w:val="22"/>
                <w:szCs w:val="22"/>
                <w:bdr w:val="none" w:sz="0" w:space="0" w:color="auto" w:frame="1"/>
              </w:rPr>
              <w:t>Punkti netiek summēti.</w:t>
            </w:r>
          </w:p>
        </w:tc>
      </w:tr>
      <w:tr w:rsidR="000710F5" w:rsidRPr="007D603C" w14:paraId="37CA2A31"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73C15D11" w14:textId="28930770"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4.3.1.</w:t>
            </w:r>
          </w:p>
        </w:tc>
        <w:tc>
          <w:tcPr>
            <w:tcW w:w="5105" w:type="dxa"/>
            <w:tcBorders>
              <w:left w:val="single" w:sz="4" w:space="0" w:color="auto"/>
              <w:right w:val="single" w:sz="4" w:space="0" w:color="auto"/>
            </w:tcBorders>
            <w:shd w:val="clear" w:color="auto" w:fill="auto"/>
          </w:tcPr>
          <w:p w14:paraId="5C1C5022" w14:textId="77777777" w:rsidR="000710F5" w:rsidRPr="007D603C" w:rsidRDefault="000710F5" w:rsidP="000710F5">
            <w:pPr>
              <w:tabs>
                <w:tab w:val="left" w:pos="360"/>
              </w:tabs>
              <w:spacing w:after="20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riska ūdensobjekts</w:t>
            </w:r>
          </w:p>
        </w:tc>
        <w:tc>
          <w:tcPr>
            <w:tcW w:w="2549" w:type="dxa"/>
            <w:gridSpan w:val="2"/>
            <w:tcBorders>
              <w:right w:val="single" w:sz="4" w:space="0" w:color="auto"/>
            </w:tcBorders>
            <w:shd w:val="clear" w:color="auto" w:fill="auto"/>
          </w:tcPr>
          <w:p w14:paraId="453B050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043D1E90"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53482594"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61C17643" w14:textId="789867B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lastRenderedPageBreak/>
              <w:t>4.3.2.</w:t>
            </w:r>
          </w:p>
        </w:tc>
        <w:tc>
          <w:tcPr>
            <w:tcW w:w="5105" w:type="dxa"/>
            <w:tcBorders>
              <w:left w:val="single" w:sz="4" w:space="0" w:color="auto"/>
              <w:bottom w:val="single" w:sz="4" w:space="0" w:color="auto"/>
              <w:right w:val="single" w:sz="4" w:space="0" w:color="auto"/>
            </w:tcBorders>
            <w:shd w:val="clear" w:color="auto" w:fill="auto"/>
          </w:tcPr>
          <w:p w14:paraId="55E2C7B9" w14:textId="5AB21A46" w:rsidR="000710F5" w:rsidRPr="007D603C" w:rsidRDefault="000710F5" w:rsidP="000710F5">
            <w:pPr>
              <w:tabs>
                <w:tab w:val="left" w:pos="360"/>
              </w:tabs>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atrodas </w:t>
            </w:r>
            <w:r w:rsidRPr="007D603C">
              <w:rPr>
                <w:rFonts w:ascii="Times New Roman" w:hAnsi="Times New Roman" w:cs="Times New Roman"/>
                <w:i/>
                <w:iCs/>
                <w:color w:val="000000" w:themeColor="text1"/>
                <w:sz w:val="22"/>
                <w:szCs w:val="22"/>
              </w:rPr>
              <w:t>Natura</w:t>
            </w:r>
            <w:r w:rsidRPr="007D603C">
              <w:rPr>
                <w:rFonts w:ascii="Times New Roman" w:hAnsi="Times New Roman" w:cs="Times New Roman"/>
                <w:color w:val="000000" w:themeColor="text1"/>
                <w:sz w:val="22"/>
                <w:szCs w:val="22"/>
              </w:rPr>
              <w:t> 2000 teritorijā</w:t>
            </w:r>
          </w:p>
        </w:tc>
        <w:tc>
          <w:tcPr>
            <w:tcW w:w="2549" w:type="dxa"/>
            <w:gridSpan w:val="2"/>
            <w:tcBorders>
              <w:right w:val="single" w:sz="4" w:space="0" w:color="auto"/>
            </w:tcBorders>
            <w:shd w:val="clear" w:color="auto" w:fill="auto"/>
          </w:tcPr>
          <w:p w14:paraId="7814E6CF"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54E794E6"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2CBC6360"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11D6796F" w14:textId="5770D34B"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4.3.3.</w:t>
            </w:r>
          </w:p>
        </w:tc>
        <w:tc>
          <w:tcPr>
            <w:tcW w:w="5105" w:type="dxa"/>
            <w:tcBorders>
              <w:left w:val="single" w:sz="4" w:space="0" w:color="auto"/>
              <w:bottom w:val="single" w:sz="4" w:space="0" w:color="auto"/>
              <w:right w:val="single" w:sz="4" w:space="0" w:color="auto"/>
            </w:tcBorders>
            <w:shd w:val="clear" w:color="auto" w:fill="auto"/>
          </w:tcPr>
          <w:p w14:paraId="6BFD428E" w14:textId="2C89DB6A" w:rsidR="000710F5" w:rsidRPr="007D603C" w:rsidRDefault="000710F5" w:rsidP="000710F5">
            <w:pPr>
              <w:tabs>
                <w:tab w:val="left" w:pos="360"/>
              </w:tabs>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nav riska ūdensobjekts un neatrodas </w:t>
            </w:r>
            <w:r w:rsidRPr="007D603C">
              <w:rPr>
                <w:rFonts w:ascii="Times New Roman" w:hAnsi="Times New Roman" w:cs="Times New Roman"/>
                <w:i/>
                <w:iCs/>
                <w:color w:val="000000" w:themeColor="text1"/>
                <w:sz w:val="22"/>
                <w:szCs w:val="22"/>
              </w:rPr>
              <w:t>Natura</w:t>
            </w:r>
            <w:r w:rsidRPr="007D603C">
              <w:rPr>
                <w:rFonts w:ascii="Times New Roman" w:hAnsi="Times New Roman" w:cs="Times New Roman"/>
                <w:color w:val="000000" w:themeColor="text1"/>
                <w:sz w:val="22"/>
                <w:szCs w:val="22"/>
              </w:rPr>
              <w:t> 2000 teritorijā</w:t>
            </w:r>
          </w:p>
        </w:tc>
        <w:tc>
          <w:tcPr>
            <w:tcW w:w="2549" w:type="dxa"/>
            <w:gridSpan w:val="2"/>
            <w:tcBorders>
              <w:right w:val="single" w:sz="4" w:space="0" w:color="auto"/>
            </w:tcBorders>
            <w:shd w:val="clear" w:color="auto" w:fill="auto"/>
          </w:tcPr>
          <w:p w14:paraId="6DEF3A5E"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0D9F20DC"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556776A2" w14:textId="77777777" w:rsidTr="00926BC3">
        <w:tblPrEx>
          <w:jc w:val="left"/>
          <w:tblLook w:val="04A0" w:firstRow="1" w:lastRow="0" w:firstColumn="1" w:lastColumn="0" w:noHBand="0" w:noVBand="1"/>
        </w:tblPrEx>
        <w:trPr>
          <w:trHeight w:val="207"/>
        </w:trPr>
        <w:tc>
          <w:tcPr>
            <w:tcW w:w="988" w:type="dxa"/>
            <w:tcBorders>
              <w:top w:val="single" w:sz="4" w:space="0" w:color="auto"/>
              <w:left w:val="single" w:sz="4" w:space="0" w:color="auto"/>
              <w:right w:val="single" w:sz="4" w:space="0" w:color="auto"/>
            </w:tcBorders>
            <w:shd w:val="clear" w:color="auto" w:fill="auto"/>
          </w:tcPr>
          <w:p w14:paraId="523D3057" w14:textId="676BDA1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 4.4.</w:t>
            </w:r>
          </w:p>
        </w:tc>
        <w:tc>
          <w:tcPr>
            <w:tcW w:w="5105" w:type="dxa"/>
            <w:tcBorders>
              <w:top w:val="single" w:sz="4" w:space="0" w:color="auto"/>
              <w:left w:val="single" w:sz="4" w:space="0" w:color="auto"/>
              <w:right w:val="single" w:sz="4" w:space="0" w:color="auto"/>
            </w:tcBorders>
            <w:shd w:val="clear" w:color="auto" w:fill="auto"/>
          </w:tcPr>
          <w:p w14:paraId="10746AFA" w14:textId="77777777" w:rsidR="000710F5" w:rsidRPr="007D603C" w:rsidRDefault="000710F5" w:rsidP="000710F5">
            <w:pPr>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Projektā paredzētās darbības veids:</w:t>
            </w:r>
          </w:p>
        </w:tc>
        <w:tc>
          <w:tcPr>
            <w:tcW w:w="2549" w:type="dxa"/>
            <w:gridSpan w:val="2"/>
            <w:shd w:val="clear" w:color="auto" w:fill="auto"/>
          </w:tcPr>
          <w:p w14:paraId="070882B1"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Kritērijā jāsaņem </w:t>
            </w:r>
          </w:p>
          <w:p w14:paraId="5D38A57A" w14:textId="0F5B29A1"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vismaz 1 punkts</w:t>
            </w:r>
          </w:p>
        </w:tc>
        <w:tc>
          <w:tcPr>
            <w:tcW w:w="6360" w:type="dxa"/>
            <w:vMerge w:val="restart"/>
            <w:tcBorders>
              <w:top w:val="single" w:sz="4" w:space="0" w:color="auto"/>
              <w:left w:val="single" w:sz="4" w:space="0" w:color="auto"/>
              <w:right w:val="single" w:sz="4" w:space="0" w:color="auto"/>
            </w:tcBorders>
            <w:shd w:val="clear" w:color="auto" w:fill="auto"/>
          </w:tcPr>
          <w:p w14:paraId="61311D0C" w14:textId="77777777" w:rsidR="000710F5" w:rsidRDefault="000710F5" w:rsidP="7041FAE3">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7041FAE3">
              <w:rPr>
                <w:rFonts w:ascii="Times New Roman" w:hAnsi="Times New Roman" w:cs="Times New Roman"/>
                <w:color w:val="000000" w:themeColor="text1"/>
                <w:sz w:val="22"/>
                <w:szCs w:val="22"/>
              </w:rPr>
              <w:t xml:space="preserve">Projekta iesniedzējam projekta iesniegumā jāidentificē, kurus darbību veidus tas projektā veiks. Kritērija vērtēšanā pārbauda projekta iesniegumā norādīto informāciju par paredzēto darbību atbilstību minētajiem darbību veidiem. </w:t>
            </w:r>
          </w:p>
          <w:p w14:paraId="7EEB9398" w14:textId="6D38D5D8" w:rsidR="0036643F" w:rsidRPr="007D603C" w:rsidRDefault="0036643F" w:rsidP="7041FAE3">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7041FAE3">
              <w:rPr>
                <w:rFonts w:ascii="Times New Roman" w:hAnsi="Times New Roman" w:cs="Times New Roman"/>
                <w:color w:val="000000" w:themeColor="text1"/>
                <w:sz w:val="22"/>
                <w:szCs w:val="22"/>
              </w:rPr>
              <w:t>Par attīrīšanas efektivitātes uzlabošanu, kas nodrošinās tikai šobrīd spēkā esošo normatīvo aktu par piesārņojošo vielu emisiju ūdenī izpildi, punkti netiek piešķirti.</w:t>
            </w:r>
          </w:p>
          <w:p w14:paraId="34344C7F" w14:textId="77777777" w:rsidR="000710F5" w:rsidRPr="007D603C" w:rsidRDefault="000710F5" w:rsidP="00926BC3">
            <w:pPr>
              <w:pStyle w:val="Sarakstarindkopa"/>
              <w:autoSpaceDE w:val="0"/>
              <w:autoSpaceDN w:val="0"/>
              <w:adjustRightInd w:val="0"/>
              <w:spacing w:after="120"/>
              <w:ind w:left="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Punkti tiek summēti.</w:t>
            </w:r>
          </w:p>
        </w:tc>
      </w:tr>
      <w:tr w:rsidR="000710F5" w:rsidRPr="007D603C" w14:paraId="3FBEDA61"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7D3EFE2A" w14:textId="5AE1510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4.4.1.</w:t>
            </w:r>
          </w:p>
        </w:tc>
        <w:tc>
          <w:tcPr>
            <w:tcW w:w="5105" w:type="dxa"/>
            <w:tcBorders>
              <w:left w:val="single" w:sz="4" w:space="0" w:color="auto"/>
              <w:right w:val="single" w:sz="4" w:space="0" w:color="auto"/>
            </w:tcBorders>
            <w:shd w:val="clear" w:color="auto" w:fill="auto"/>
          </w:tcPr>
          <w:p w14:paraId="74A97EE0"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attīrīšanas iekārtu jaudas palielināšana</w:t>
            </w:r>
          </w:p>
        </w:tc>
        <w:tc>
          <w:tcPr>
            <w:tcW w:w="2549" w:type="dxa"/>
            <w:gridSpan w:val="2"/>
            <w:tcBorders>
              <w:right w:val="single" w:sz="4" w:space="0" w:color="auto"/>
            </w:tcBorders>
            <w:shd w:val="clear" w:color="auto" w:fill="auto"/>
          </w:tcPr>
          <w:p w14:paraId="25754DB0"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20322B96"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67969ED9"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17CCA09E" w14:textId="2C956E73"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4.4.2.</w:t>
            </w:r>
          </w:p>
        </w:tc>
        <w:tc>
          <w:tcPr>
            <w:tcW w:w="5105" w:type="dxa"/>
            <w:tcBorders>
              <w:left w:val="single" w:sz="4" w:space="0" w:color="auto"/>
              <w:right w:val="single" w:sz="4" w:space="0" w:color="auto"/>
            </w:tcBorders>
            <w:shd w:val="clear" w:color="auto" w:fill="auto"/>
          </w:tcPr>
          <w:p w14:paraId="203A9E06"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attīrīšanas iekārtas attīrīšanas efektivitātes uzlabošana</w:t>
            </w:r>
          </w:p>
        </w:tc>
        <w:tc>
          <w:tcPr>
            <w:tcW w:w="2549" w:type="dxa"/>
            <w:gridSpan w:val="2"/>
            <w:tcBorders>
              <w:right w:val="single" w:sz="4" w:space="0" w:color="auto"/>
            </w:tcBorders>
            <w:shd w:val="clear" w:color="auto" w:fill="auto"/>
          </w:tcPr>
          <w:p w14:paraId="03CD10BE"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6D080437"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093CD807"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1858E831" w14:textId="508E8B85"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4.4.3.</w:t>
            </w:r>
          </w:p>
        </w:tc>
        <w:tc>
          <w:tcPr>
            <w:tcW w:w="5105" w:type="dxa"/>
            <w:tcBorders>
              <w:left w:val="single" w:sz="4" w:space="0" w:color="auto"/>
              <w:right w:val="single" w:sz="4" w:space="0" w:color="auto"/>
            </w:tcBorders>
            <w:shd w:val="clear" w:color="auto" w:fill="auto"/>
          </w:tcPr>
          <w:p w14:paraId="25D04EDC"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attīrīto notekūdeņu izvada atjaunošana vai pārbūve</w:t>
            </w:r>
          </w:p>
        </w:tc>
        <w:tc>
          <w:tcPr>
            <w:tcW w:w="2549" w:type="dxa"/>
            <w:gridSpan w:val="2"/>
            <w:tcBorders>
              <w:right w:val="single" w:sz="4" w:space="0" w:color="auto"/>
            </w:tcBorders>
            <w:shd w:val="clear" w:color="auto" w:fill="auto"/>
          </w:tcPr>
          <w:p w14:paraId="436E0418"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6E9FF311"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7239ED5F"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7E3839F7" w14:textId="0627105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4.4.4.</w:t>
            </w:r>
          </w:p>
        </w:tc>
        <w:tc>
          <w:tcPr>
            <w:tcW w:w="5105" w:type="dxa"/>
            <w:tcBorders>
              <w:left w:val="single" w:sz="4" w:space="0" w:color="auto"/>
              <w:bottom w:val="single" w:sz="4" w:space="0" w:color="auto"/>
              <w:right w:val="single" w:sz="4" w:space="0" w:color="auto"/>
            </w:tcBorders>
            <w:shd w:val="clear" w:color="auto" w:fill="auto"/>
          </w:tcPr>
          <w:p w14:paraId="4E14A620"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dūņu apstrādes iekārtu izveide vai to darbības uzlabošana</w:t>
            </w:r>
          </w:p>
        </w:tc>
        <w:tc>
          <w:tcPr>
            <w:tcW w:w="2549" w:type="dxa"/>
            <w:gridSpan w:val="2"/>
            <w:tcBorders>
              <w:right w:val="single" w:sz="4" w:space="0" w:color="auto"/>
            </w:tcBorders>
            <w:shd w:val="clear" w:color="auto" w:fill="auto"/>
          </w:tcPr>
          <w:p w14:paraId="0935FAF6"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76E960F7"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288A68D2" w14:textId="77777777" w:rsidTr="00926BC3">
        <w:tblPrEx>
          <w:jc w:val="left"/>
          <w:tblLook w:val="04A0" w:firstRow="1" w:lastRow="0" w:firstColumn="1" w:lastColumn="0" w:noHBand="0" w:noVBand="1"/>
        </w:tblPrEx>
        <w:trPr>
          <w:trHeight w:val="370"/>
        </w:trPr>
        <w:tc>
          <w:tcPr>
            <w:tcW w:w="988" w:type="dxa"/>
            <w:tcBorders>
              <w:top w:val="single" w:sz="4" w:space="0" w:color="auto"/>
              <w:left w:val="single" w:sz="4" w:space="0" w:color="auto"/>
              <w:right w:val="single" w:sz="4" w:space="0" w:color="auto"/>
            </w:tcBorders>
            <w:shd w:val="clear" w:color="auto" w:fill="auto"/>
          </w:tcPr>
          <w:p w14:paraId="33544947" w14:textId="667F306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4.5.</w:t>
            </w:r>
          </w:p>
        </w:tc>
        <w:tc>
          <w:tcPr>
            <w:tcW w:w="5105" w:type="dxa"/>
            <w:tcBorders>
              <w:top w:val="single" w:sz="4" w:space="0" w:color="auto"/>
              <w:left w:val="single" w:sz="4" w:space="0" w:color="auto"/>
              <w:right w:val="single" w:sz="4" w:space="0" w:color="auto"/>
            </w:tcBorders>
            <w:shd w:val="clear" w:color="auto" w:fill="auto"/>
          </w:tcPr>
          <w:p w14:paraId="438BF4B2" w14:textId="6A9F3302" w:rsidR="000710F5" w:rsidRPr="007D603C" w:rsidRDefault="000710F5" w:rsidP="000710F5">
            <w:pPr>
              <w:jc w:val="both"/>
              <w:rPr>
                <w:rFonts w:ascii="Times New Roman" w:eastAsia="Calibri" w:hAnsi="Times New Roman" w:cs="Times New Roman"/>
                <w:b/>
                <w:bCs/>
                <w:color w:val="000000" w:themeColor="text1"/>
                <w:sz w:val="22"/>
                <w:szCs w:val="22"/>
              </w:rPr>
            </w:pPr>
            <w:r w:rsidRPr="007D603C">
              <w:rPr>
                <w:rFonts w:ascii="Times New Roman" w:eastAsia="Calibri" w:hAnsi="Times New Roman" w:cs="Times New Roman"/>
                <w:b/>
                <w:bCs/>
                <w:color w:val="000000" w:themeColor="text1"/>
                <w:sz w:val="22"/>
                <w:szCs w:val="22"/>
              </w:rPr>
              <w:t xml:space="preserve">Projektā paredzētās darbības efektivitāte – </w:t>
            </w:r>
            <w:r w:rsidRPr="007D603C">
              <w:rPr>
                <w:rFonts w:ascii="Times New Roman" w:eastAsia="Calibri" w:hAnsi="Times New Roman" w:cs="Times New Roman"/>
                <w:color w:val="000000" w:themeColor="text1"/>
                <w:sz w:val="22"/>
                <w:szCs w:val="22"/>
              </w:rPr>
              <w:t xml:space="preserve">projekta rezultātā </w:t>
            </w:r>
            <w:r w:rsidR="00565AEE" w:rsidRPr="007D603C">
              <w:rPr>
                <w:rFonts w:ascii="Times New Roman" w:eastAsia="Calibri" w:hAnsi="Times New Roman" w:cs="Times New Roman"/>
                <w:color w:val="000000" w:themeColor="text1"/>
                <w:sz w:val="22"/>
                <w:szCs w:val="22"/>
              </w:rPr>
              <w:t>no NAI izplūstošajos attīrītajos notekūdeņos gada vidējās slāpekļa un fosfora koncentrācijas nepārsniedz</w:t>
            </w:r>
            <w:r w:rsidR="003A4204" w:rsidRPr="007D603C">
              <w:rPr>
                <w:rStyle w:val="Vresatsauce"/>
                <w:rFonts w:ascii="Times New Roman" w:eastAsia="Calibri" w:hAnsi="Times New Roman" w:cs="Times New Roman"/>
                <w:color w:val="000000" w:themeColor="text1"/>
                <w:sz w:val="22"/>
                <w:szCs w:val="22"/>
              </w:rPr>
              <w:footnoteReference w:id="47"/>
            </w:r>
            <w:r w:rsidRPr="007D603C">
              <w:rPr>
                <w:rFonts w:ascii="Times New Roman" w:eastAsia="Calibri" w:hAnsi="Times New Roman" w:cs="Times New Roman"/>
                <w:b/>
                <w:bCs/>
                <w:color w:val="000000" w:themeColor="text1"/>
                <w:sz w:val="22"/>
                <w:szCs w:val="22"/>
              </w:rPr>
              <w:t xml:space="preserve">: </w:t>
            </w:r>
          </w:p>
        </w:tc>
        <w:tc>
          <w:tcPr>
            <w:tcW w:w="2549" w:type="dxa"/>
            <w:gridSpan w:val="2"/>
            <w:tcBorders>
              <w:top w:val="single" w:sz="4" w:space="0" w:color="auto"/>
              <w:left w:val="single" w:sz="4" w:space="0" w:color="auto"/>
              <w:right w:val="single" w:sz="4" w:space="0" w:color="auto"/>
            </w:tcBorders>
            <w:shd w:val="clear" w:color="auto" w:fill="auto"/>
          </w:tcPr>
          <w:p w14:paraId="670411F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6B372A93" w14:textId="5E185865"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680B931F" w14:textId="25C4EFDB"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Pārbauda projekta iesniegumā iekļauto informāciju (projekta iesniedzēja aprēķinus) par projektā plānoto darbību efektivitāti un kritērijā minēto prasību izpildi (kādas slāpekļa un fosfora koncentrācijas vidē novadītajos notekūdeņos plānots sasniegt pēc </w:t>
            </w:r>
            <w:r w:rsidRPr="007D603C">
              <w:rPr>
                <w:rFonts w:ascii="Times New Roman" w:hAnsi="Times New Roman" w:cs="Times New Roman"/>
                <w:color w:val="000000" w:themeColor="text1"/>
                <w:sz w:val="22"/>
                <w:szCs w:val="22"/>
              </w:rPr>
              <w:lastRenderedPageBreak/>
              <w:t xml:space="preserve">projekta īstenošanas) (ja projekta iesniedzējs jau šobrīd izpilda kādas no minētajām prasībām, kas secināms no Valsts statistiskā pārskata 2-Ūdens veidlapā sniegtās informācijas, punktus iespējams piešķirt tikai tad, ja </w:t>
            </w:r>
            <w:r w:rsidR="00A207A1" w:rsidRPr="007D603C">
              <w:rPr>
                <w:rFonts w:ascii="Times New Roman" w:hAnsi="Times New Roman" w:cs="Times New Roman"/>
                <w:color w:val="000000" w:themeColor="text1"/>
                <w:sz w:val="22"/>
                <w:szCs w:val="22"/>
              </w:rPr>
              <w:t xml:space="preserve">pēc projekta īstenošanas </w:t>
            </w:r>
            <w:r w:rsidRPr="007D603C">
              <w:rPr>
                <w:rFonts w:ascii="Times New Roman" w:hAnsi="Times New Roman" w:cs="Times New Roman"/>
                <w:color w:val="000000" w:themeColor="text1"/>
                <w:sz w:val="22"/>
                <w:szCs w:val="22"/>
              </w:rPr>
              <w:t>tiek sasniegta zemāka piesārņojuma koncentrācija (mg/l) gan kopējam slāpeklim, gan kopējam fosforam</w:t>
            </w:r>
            <w:r w:rsidR="00556354" w:rsidRPr="007D603C">
              <w:rPr>
                <w:rFonts w:ascii="Times New Roman" w:hAnsi="Times New Roman" w:cs="Times New Roman"/>
                <w:color w:val="000000" w:themeColor="text1"/>
                <w:sz w:val="22"/>
                <w:szCs w:val="22"/>
              </w:rPr>
              <w:t xml:space="preserve"> – </w:t>
            </w:r>
            <w:r w:rsidR="004E7D72" w:rsidRPr="007D603C">
              <w:rPr>
                <w:rFonts w:ascii="Times New Roman" w:hAnsi="Times New Roman" w:cs="Times New Roman"/>
                <w:color w:val="000000" w:themeColor="text1"/>
                <w:sz w:val="22"/>
                <w:szCs w:val="22"/>
              </w:rPr>
              <w:t>tiek sasniegta tās piesārņojošās vielas koncentrācija, kuras koncentrācija nenodrošināja 4.5.1. apakškritērijā norādīto sasniedzamo koncentrāciju, t.i., punkti var tikt piešķirti arī par vienas no piesārņojošās vielas koncentrācijas nodrošināšanu, ja otras vielas koncentrācijas samazināšana jau ir nodrošināta pirms projekta īstenošanas</w:t>
            </w:r>
            <w:r w:rsidR="00A60D69" w:rsidRPr="007D603C">
              <w:rPr>
                <w:rFonts w:ascii="Times New Roman" w:hAnsi="Times New Roman" w:cs="Times New Roman"/>
                <w:color w:val="000000" w:themeColor="text1"/>
                <w:sz w:val="22"/>
                <w:szCs w:val="22"/>
              </w:rPr>
              <w:t>. Ja pirms projekta īstenošanas tiek sasniegta abu piesārņojošo vielu koncentrācija, punkti netiek piešķirti.</w:t>
            </w:r>
          </w:p>
          <w:p w14:paraId="77FF2A45" w14:textId="4ABB22F3"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Projekta iesniegumā sniegto informāciju par koncentrācijām pirms projekta īstenošanas pārbauda, salīdzinot ar kopējā slāpekļa (</w:t>
            </w:r>
            <w:proofErr w:type="spellStart"/>
            <w:r w:rsidRPr="007D603C">
              <w:rPr>
                <w:rFonts w:ascii="Times New Roman" w:hAnsi="Times New Roman" w:cs="Times New Roman"/>
                <w:color w:val="000000" w:themeColor="text1"/>
                <w:sz w:val="22"/>
                <w:szCs w:val="22"/>
              </w:rPr>
              <w:t>N</w:t>
            </w:r>
            <w:r w:rsidRPr="007D603C">
              <w:rPr>
                <w:rFonts w:ascii="Times New Roman" w:hAnsi="Times New Roman" w:cs="Times New Roman"/>
                <w:color w:val="000000" w:themeColor="text1"/>
                <w:sz w:val="22"/>
                <w:szCs w:val="22"/>
                <w:vertAlign w:val="subscript"/>
              </w:rPr>
              <w:t>kop</w:t>
            </w:r>
            <w:proofErr w:type="spellEnd"/>
            <w:r w:rsidRPr="007D603C">
              <w:rPr>
                <w:rFonts w:ascii="Times New Roman" w:hAnsi="Times New Roman" w:cs="Times New Roman"/>
                <w:color w:val="000000" w:themeColor="text1"/>
                <w:sz w:val="22"/>
                <w:szCs w:val="22"/>
                <w:vertAlign w:val="subscript"/>
              </w:rPr>
              <w:t xml:space="preserve"> </w:t>
            </w:r>
            <w:r w:rsidRPr="007D603C">
              <w:rPr>
                <w:rFonts w:ascii="Times New Roman" w:hAnsi="Times New Roman" w:cs="Times New Roman"/>
                <w:color w:val="000000" w:themeColor="text1"/>
                <w:sz w:val="22"/>
                <w:szCs w:val="22"/>
              </w:rPr>
              <w:t>(mg/l)) un kopējā fosfora (</w:t>
            </w:r>
            <w:proofErr w:type="spellStart"/>
            <w:r w:rsidRPr="007D603C">
              <w:rPr>
                <w:rFonts w:ascii="Times New Roman" w:hAnsi="Times New Roman" w:cs="Times New Roman"/>
                <w:color w:val="000000" w:themeColor="text1"/>
                <w:sz w:val="22"/>
                <w:szCs w:val="22"/>
              </w:rPr>
              <w:t>P</w:t>
            </w:r>
            <w:r w:rsidRPr="007D603C">
              <w:rPr>
                <w:rFonts w:ascii="Times New Roman" w:hAnsi="Times New Roman" w:cs="Times New Roman"/>
                <w:color w:val="000000" w:themeColor="text1"/>
                <w:sz w:val="22"/>
                <w:szCs w:val="22"/>
                <w:vertAlign w:val="subscript"/>
              </w:rPr>
              <w:t>kop</w:t>
            </w:r>
            <w:proofErr w:type="spellEnd"/>
            <w:r w:rsidRPr="007D603C">
              <w:rPr>
                <w:rFonts w:ascii="Times New Roman" w:hAnsi="Times New Roman" w:cs="Times New Roman"/>
                <w:color w:val="000000" w:themeColor="text1"/>
                <w:sz w:val="22"/>
                <w:szCs w:val="22"/>
                <w:vertAlign w:val="subscript"/>
              </w:rPr>
              <w:t xml:space="preserve"> </w:t>
            </w:r>
            <w:r w:rsidRPr="007D603C">
              <w:rPr>
                <w:rFonts w:ascii="Times New Roman" w:hAnsi="Times New Roman" w:cs="Times New Roman"/>
                <w:color w:val="000000" w:themeColor="text1"/>
                <w:sz w:val="22"/>
                <w:szCs w:val="22"/>
              </w:rPr>
              <w:t>(mg/l)) koncentrācijām, kas norādītas Valsts statistiskā pārskata 2-Ūdens veidlapā (izmanto jaunāko pieejamo informāciju). Aprēķinu veic, izmantojot veidlapas H tabulas “Testēšanas metožu un laboratoriju raksturojums” 9. kolonnā “Testēšanas rezultāti pēc attīrīšanas” norādītos datus pa mēnešiem, ko saskaita un dala ar 12, lai iegūtu gada vidējo vērtību</w:t>
            </w:r>
            <w:r w:rsidRPr="007D603C">
              <w:rPr>
                <w:rStyle w:val="Vresatsauce"/>
                <w:rFonts w:ascii="Times New Roman" w:hAnsi="Times New Roman" w:cs="Times New Roman"/>
                <w:color w:val="000000" w:themeColor="text1"/>
                <w:sz w:val="22"/>
                <w:szCs w:val="22"/>
              </w:rPr>
              <w:footnoteReference w:id="48"/>
            </w:r>
            <w:r w:rsidRPr="007D603C">
              <w:rPr>
                <w:rFonts w:ascii="Times New Roman" w:hAnsi="Times New Roman" w:cs="Times New Roman"/>
                <w:color w:val="000000" w:themeColor="text1"/>
                <w:sz w:val="22"/>
                <w:szCs w:val="22"/>
              </w:rPr>
              <w:t xml:space="preserve">. </w:t>
            </w:r>
          </w:p>
          <w:p w14:paraId="5979965E" w14:textId="526B5D7F"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Punkti netiek summēti.</w:t>
            </w:r>
          </w:p>
        </w:tc>
      </w:tr>
      <w:tr w:rsidR="000710F5" w:rsidRPr="007D603C" w14:paraId="09AF8BB0" w14:textId="77777777" w:rsidTr="00926BC3">
        <w:tblPrEx>
          <w:jc w:val="left"/>
          <w:tblLook w:val="04A0" w:firstRow="1" w:lastRow="0" w:firstColumn="1" w:lastColumn="0" w:noHBand="0" w:noVBand="1"/>
        </w:tblPrEx>
        <w:trPr>
          <w:trHeight w:val="1565"/>
        </w:trPr>
        <w:tc>
          <w:tcPr>
            <w:tcW w:w="988" w:type="dxa"/>
            <w:tcBorders>
              <w:left w:val="single" w:sz="4" w:space="0" w:color="auto"/>
              <w:right w:val="single" w:sz="4" w:space="0" w:color="auto"/>
            </w:tcBorders>
            <w:shd w:val="clear" w:color="auto" w:fill="auto"/>
          </w:tcPr>
          <w:p w14:paraId="60E3FD81" w14:textId="684C292D"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lastRenderedPageBreak/>
              <w:t>4.5.1.</w:t>
            </w:r>
          </w:p>
        </w:tc>
        <w:tc>
          <w:tcPr>
            <w:tcW w:w="5105" w:type="dxa"/>
            <w:tcBorders>
              <w:top w:val="single" w:sz="4" w:space="0" w:color="auto"/>
              <w:left w:val="single" w:sz="4" w:space="0" w:color="auto"/>
              <w:right w:val="single" w:sz="4" w:space="0" w:color="auto"/>
            </w:tcBorders>
            <w:shd w:val="clear" w:color="auto" w:fill="auto"/>
          </w:tcPr>
          <w:p w14:paraId="25812711" w14:textId="08356146"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10</w:t>
            </w:r>
            <w:r w:rsidR="00EF6D5C" w:rsidRPr="007D603C">
              <w:rPr>
                <w:rFonts w:ascii="Times New Roman" w:hAnsi="Times New Roman" w:cs="Times New Roman"/>
                <w:color w:val="000000" w:themeColor="text1"/>
                <w:sz w:val="22"/>
                <w:szCs w:val="22"/>
              </w:rPr>
              <w:t>,0</w:t>
            </w:r>
            <w:r w:rsidRPr="007D603C">
              <w:rPr>
                <w:rFonts w:ascii="Times New Roman" w:hAnsi="Times New Roman" w:cs="Times New Roman"/>
                <w:color w:val="000000" w:themeColor="text1"/>
                <w:sz w:val="22"/>
                <w:szCs w:val="22"/>
              </w:rPr>
              <w:t xml:space="preserve"> mg N/l un </w:t>
            </w:r>
            <w:r w:rsidR="00EF6D5C" w:rsidRPr="007D603C">
              <w:rPr>
                <w:rFonts w:ascii="Times New Roman" w:hAnsi="Times New Roman" w:cs="Times New Roman"/>
                <w:color w:val="000000" w:themeColor="text1"/>
                <w:sz w:val="22"/>
                <w:szCs w:val="22"/>
              </w:rPr>
              <w:t>0,7</w:t>
            </w:r>
            <w:r w:rsidRPr="007D603C">
              <w:rPr>
                <w:rFonts w:ascii="Times New Roman" w:hAnsi="Times New Roman" w:cs="Times New Roman"/>
                <w:color w:val="000000" w:themeColor="text1"/>
                <w:sz w:val="22"/>
                <w:szCs w:val="22"/>
              </w:rPr>
              <w:t xml:space="preserve"> mg P/l </w:t>
            </w:r>
          </w:p>
        </w:tc>
        <w:tc>
          <w:tcPr>
            <w:tcW w:w="2549" w:type="dxa"/>
            <w:gridSpan w:val="2"/>
            <w:tcBorders>
              <w:left w:val="single" w:sz="4" w:space="0" w:color="auto"/>
              <w:bottom w:val="single" w:sz="4" w:space="0" w:color="auto"/>
              <w:right w:val="single" w:sz="4" w:space="0" w:color="auto"/>
            </w:tcBorders>
            <w:shd w:val="clear" w:color="auto" w:fill="auto"/>
          </w:tcPr>
          <w:p w14:paraId="66C46B8C" w14:textId="39888641" w:rsidR="000710F5" w:rsidRPr="007D603C" w:rsidRDefault="007437B3"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85ED8CA" w14:textId="77777777" w:rsidR="000710F5" w:rsidRPr="007D603C" w:rsidRDefault="000710F5" w:rsidP="000710F5">
            <w:pPr>
              <w:jc w:val="both"/>
              <w:rPr>
                <w:rFonts w:ascii="Times New Roman" w:hAnsi="Times New Roman" w:cs="Times New Roman"/>
                <w:color w:val="000000" w:themeColor="text1"/>
                <w:sz w:val="22"/>
                <w:szCs w:val="22"/>
                <w:highlight w:val="yellow"/>
              </w:rPr>
            </w:pPr>
          </w:p>
        </w:tc>
      </w:tr>
      <w:tr w:rsidR="000710F5" w:rsidRPr="007D603C" w14:paraId="7979F149" w14:textId="77777777" w:rsidTr="00926BC3">
        <w:tblPrEx>
          <w:jc w:val="left"/>
          <w:tblLook w:val="04A0" w:firstRow="1" w:lastRow="0" w:firstColumn="1" w:lastColumn="0" w:noHBand="0" w:noVBand="1"/>
        </w:tblPrEx>
        <w:trPr>
          <w:trHeight w:val="494"/>
        </w:trPr>
        <w:tc>
          <w:tcPr>
            <w:tcW w:w="988" w:type="dxa"/>
            <w:tcBorders>
              <w:left w:val="single" w:sz="4" w:space="0" w:color="auto"/>
              <w:right w:val="single" w:sz="4" w:space="0" w:color="auto"/>
            </w:tcBorders>
            <w:shd w:val="clear" w:color="auto" w:fill="auto"/>
          </w:tcPr>
          <w:p w14:paraId="3AF88507" w14:textId="2F73B9F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4.5.</w:t>
            </w:r>
            <w:r w:rsidR="0009518F" w:rsidRPr="007D603C">
              <w:rPr>
                <w:rFonts w:ascii="Times New Roman" w:hAnsi="Times New Roman" w:cs="Times New Roman"/>
                <w:color w:val="000000" w:themeColor="text1"/>
                <w:sz w:val="22"/>
                <w:szCs w:val="22"/>
              </w:rPr>
              <w:t>2</w:t>
            </w:r>
            <w:r w:rsidRPr="007D603C">
              <w:rPr>
                <w:rFonts w:ascii="Times New Roman" w:hAnsi="Times New Roman" w:cs="Times New Roman"/>
                <w:color w:val="000000" w:themeColor="text1"/>
                <w:sz w:val="22"/>
                <w:szCs w:val="22"/>
              </w:rPr>
              <w:t>.</w:t>
            </w:r>
          </w:p>
        </w:tc>
        <w:tc>
          <w:tcPr>
            <w:tcW w:w="5105" w:type="dxa"/>
            <w:tcBorders>
              <w:left w:val="single" w:sz="4" w:space="0" w:color="auto"/>
              <w:right w:val="single" w:sz="4" w:space="0" w:color="auto"/>
            </w:tcBorders>
            <w:shd w:val="clear" w:color="auto" w:fill="auto"/>
          </w:tcPr>
          <w:p w14:paraId="6B1425FF" w14:textId="4AB67E69"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citas koncentrācijas, kas neatbilst vismaz 4.5.</w:t>
            </w:r>
            <w:r w:rsidR="007437B3" w:rsidRPr="007D603C">
              <w:rPr>
                <w:rFonts w:ascii="Times New Roman" w:hAnsi="Times New Roman" w:cs="Times New Roman"/>
                <w:color w:val="000000" w:themeColor="text1"/>
                <w:sz w:val="22"/>
                <w:szCs w:val="22"/>
              </w:rPr>
              <w:t>1</w:t>
            </w:r>
            <w:r w:rsidRPr="007D603C">
              <w:rPr>
                <w:rFonts w:ascii="Times New Roman" w:hAnsi="Times New Roman" w:cs="Times New Roman"/>
                <w:color w:val="000000" w:themeColor="text1"/>
                <w:sz w:val="22"/>
                <w:szCs w:val="22"/>
              </w:rPr>
              <w:t>. apakškritērijā minētajām koncentrācijām</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7F029A46"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21E56C56" w14:textId="77777777" w:rsidR="000710F5" w:rsidRPr="007D603C" w:rsidRDefault="000710F5" w:rsidP="000710F5">
            <w:pPr>
              <w:jc w:val="both"/>
              <w:rPr>
                <w:rFonts w:ascii="Times New Roman" w:hAnsi="Times New Roman" w:cs="Times New Roman"/>
                <w:color w:val="000000" w:themeColor="text1"/>
                <w:sz w:val="22"/>
                <w:szCs w:val="22"/>
                <w:highlight w:val="yellow"/>
              </w:rPr>
            </w:pPr>
          </w:p>
        </w:tc>
      </w:tr>
      <w:tr w:rsidR="000710F5" w:rsidRPr="007D603C" w14:paraId="26AD8BB4" w14:textId="77777777" w:rsidTr="00926BC3">
        <w:tblPrEx>
          <w:jc w:val="left"/>
          <w:tblLook w:val="04A0" w:firstRow="1" w:lastRow="0" w:firstColumn="1" w:lastColumn="0" w:noHBand="0" w:noVBand="1"/>
        </w:tblPrEx>
        <w:trPr>
          <w:trHeight w:val="345"/>
        </w:trPr>
        <w:tc>
          <w:tcPr>
            <w:tcW w:w="988" w:type="dxa"/>
            <w:tcBorders>
              <w:top w:val="single" w:sz="4" w:space="0" w:color="auto"/>
              <w:left w:val="single" w:sz="4" w:space="0" w:color="auto"/>
              <w:right w:val="single" w:sz="4" w:space="0" w:color="auto"/>
            </w:tcBorders>
            <w:shd w:val="clear" w:color="auto" w:fill="auto"/>
          </w:tcPr>
          <w:p w14:paraId="562A79C0" w14:textId="1AF542C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w:t>
            </w:r>
          </w:p>
        </w:tc>
        <w:tc>
          <w:tcPr>
            <w:tcW w:w="5105" w:type="dxa"/>
            <w:tcBorders>
              <w:top w:val="single" w:sz="4" w:space="0" w:color="auto"/>
              <w:left w:val="single" w:sz="4" w:space="0" w:color="auto"/>
              <w:right w:val="single" w:sz="4" w:space="0" w:color="auto"/>
            </w:tcBorders>
            <w:shd w:val="clear" w:color="auto" w:fill="auto"/>
          </w:tcPr>
          <w:p w14:paraId="368D9AE2" w14:textId="6EB825AB" w:rsidR="000710F5" w:rsidRPr="007D603C" w:rsidRDefault="000710F5" w:rsidP="000710F5">
            <w:pPr>
              <w:jc w:val="both"/>
              <w:rPr>
                <w:rFonts w:ascii="Times New Roman" w:eastAsia="Calibri" w:hAnsi="Times New Roman" w:cs="Times New Roman"/>
                <w:b/>
                <w:bCs/>
                <w:color w:val="000000" w:themeColor="text1"/>
                <w:sz w:val="22"/>
                <w:szCs w:val="22"/>
              </w:rPr>
            </w:pPr>
            <w:r w:rsidRPr="007D603C">
              <w:rPr>
                <w:rFonts w:ascii="Times New Roman" w:eastAsia="Calibri" w:hAnsi="Times New Roman" w:cs="Times New Roman"/>
                <w:b/>
                <w:bCs/>
                <w:color w:val="000000" w:themeColor="text1"/>
                <w:sz w:val="22"/>
                <w:szCs w:val="22"/>
              </w:rPr>
              <w:t>Gatavības pakāpe vismaz vienai no projektā paredzētajām darbībām:</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2C0D157C"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Jāiegūst </w:t>
            </w:r>
          </w:p>
          <w:p w14:paraId="717BABA9" w14:textId="7CBEF981" w:rsidR="000710F5" w:rsidRPr="007D603C" w:rsidRDefault="000710F5" w:rsidP="000710F5">
            <w:pPr>
              <w:pStyle w:val="Sarakstarindkopa"/>
              <w:autoSpaceDE w:val="0"/>
              <w:autoSpaceDN w:val="0"/>
              <w:adjustRightInd w:val="0"/>
              <w:spacing w:after="12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vismaz 1 punkts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30757140" w14:textId="0B13AA56" w:rsidR="000710F5" w:rsidRPr="007D603C" w:rsidRDefault="000710F5" w:rsidP="3DD37545">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Kritērijā vērtē projekta gatavības pakāp</w:t>
            </w:r>
            <w:r w:rsidR="00C023FD">
              <w:rPr>
                <w:rFonts w:ascii="Times New Roman" w:hAnsi="Times New Roman" w:cs="Times New Roman"/>
                <w:color w:val="000000" w:themeColor="text1"/>
                <w:sz w:val="22"/>
                <w:szCs w:val="22"/>
              </w:rPr>
              <w:t>i</w:t>
            </w:r>
            <w:r w:rsidR="00C023FD" w:rsidRPr="00292BEA">
              <w:rPr>
                <w:rFonts w:ascii="Times New Roman" w:hAnsi="Times New Roman" w:cs="Times New Roman"/>
                <w:b/>
                <w:bCs/>
                <w:color w:val="000000" w:themeColor="text1"/>
                <w:sz w:val="22"/>
                <w:szCs w:val="22"/>
                <w:vertAlign w:val="superscript"/>
              </w:rPr>
              <w:footnoteReference w:id="49"/>
            </w:r>
            <w:r w:rsidR="00C023FD">
              <w:rPr>
                <w:rFonts w:ascii="Times New Roman" w:hAnsi="Times New Roman" w:cs="Times New Roman"/>
                <w:color w:val="000000" w:themeColor="text1"/>
                <w:sz w:val="22"/>
                <w:szCs w:val="22"/>
              </w:rPr>
              <w:t>.</w:t>
            </w:r>
            <w:r w:rsidR="00292BEA" w:rsidRPr="00292BEA">
              <w:rPr>
                <w:rFonts w:ascii="Times New Roman" w:eastAsia="Calibri" w:hAnsi="Times New Roman" w:cs="Times New Roman"/>
                <w:b/>
                <w:bCs/>
                <w:color w:val="000000" w:themeColor="text1"/>
                <w:sz w:val="22"/>
                <w:szCs w:val="22"/>
                <w:vertAlign w:val="superscript"/>
              </w:rPr>
              <w:t xml:space="preserve"> </w:t>
            </w:r>
          </w:p>
          <w:p w14:paraId="24866BA9" w14:textId="67537093" w:rsidR="000710F5" w:rsidRPr="007D603C" w:rsidRDefault="000710F5" w:rsidP="00AD5151">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Tiek saņemts 1 punkts, ja projekta iesniegumam pievienota projektā paredzēto iekārtu vai inženierbūvju tehniskā specifikācija vismaz vienai projektā paredzētai darbībai.</w:t>
            </w:r>
          </w:p>
          <w:p w14:paraId="53DCE9D7" w14:textId="2481AE26"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Tiek saņemti 3 punkti, ja projekta iesniegumā norādīta tīmekļvietnes adrese, kurā iespējams pārliecināties, ka vismaz vienai projekta darbībai par iekārtu piegādi, pakalpojumu  vai būvniecības darbībām ir izsludināts iepirkums.</w:t>
            </w:r>
          </w:p>
          <w:p w14:paraId="5D03C6D4" w14:textId="3E6E3A5F"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Ja projektā plānota, piemēram, vairāku iekārtu iegāde, pakalpojumu sniegšana vai būvniecība, kur vienai iekārtai vai inženierbūvei ir </w:t>
            </w:r>
            <w:r w:rsidRPr="007D603C">
              <w:rPr>
                <w:rFonts w:ascii="Times New Roman" w:hAnsi="Times New Roman" w:cs="Times New Roman"/>
                <w:color w:val="000000" w:themeColor="text1"/>
                <w:sz w:val="22"/>
                <w:szCs w:val="22"/>
              </w:rPr>
              <w:lastRenderedPageBreak/>
              <w:t>sagatavota tehniskā specifikācija, bet par otru ir izsludināts iepirkums, piešķir 3 punktus.</w:t>
            </w:r>
          </w:p>
          <w:p w14:paraId="74EF982A" w14:textId="77777777"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Punktus nesummē.</w:t>
            </w:r>
          </w:p>
        </w:tc>
      </w:tr>
      <w:tr w:rsidR="000710F5" w:rsidRPr="007D603C" w14:paraId="0B4EE854" w14:textId="77777777" w:rsidTr="00926BC3">
        <w:tblPrEx>
          <w:jc w:val="left"/>
          <w:tblLook w:val="04A0" w:firstRow="1" w:lastRow="0" w:firstColumn="1" w:lastColumn="0" w:noHBand="0" w:noVBand="1"/>
        </w:tblPrEx>
        <w:trPr>
          <w:trHeight w:val="467"/>
        </w:trPr>
        <w:tc>
          <w:tcPr>
            <w:tcW w:w="988" w:type="dxa"/>
            <w:tcBorders>
              <w:left w:val="single" w:sz="4" w:space="0" w:color="auto"/>
              <w:right w:val="single" w:sz="4" w:space="0" w:color="auto"/>
            </w:tcBorders>
            <w:shd w:val="clear" w:color="auto" w:fill="auto"/>
          </w:tcPr>
          <w:p w14:paraId="6AD54963" w14:textId="50F0E11E"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4.6.1.</w:t>
            </w:r>
          </w:p>
        </w:tc>
        <w:tc>
          <w:tcPr>
            <w:tcW w:w="5105" w:type="dxa"/>
            <w:tcBorders>
              <w:left w:val="single" w:sz="4" w:space="0" w:color="auto"/>
              <w:right w:val="single" w:sz="4" w:space="0" w:color="auto"/>
            </w:tcBorders>
            <w:shd w:val="clear" w:color="auto" w:fill="auto"/>
          </w:tcPr>
          <w:p w14:paraId="136D425E" w14:textId="77777777" w:rsidR="000710F5" w:rsidRPr="007D603C" w:rsidRDefault="000710F5" w:rsidP="000710F5">
            <w:pPr>
              <w:jc w:val="both"/>
              <w:rPr>
                <w:rFonts w:ascii="Times New Roman" w:eastAsia="Calibri"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par projektā paredzētajām iekārtām vai būvniecības darbībām ir izsludināts iepirkums</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6197DD19"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A09F6D4"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3FDC8D26"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6D3392AA" w14:textId="449E928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4.6.2.</w:t>
            </w:r>
          </w:p>
        </w:tc>
        <w:tc>
          <w:tcPr>
            <w:tcW w:w="5105" w:type="dxa"/>
            <w:tcBorders>
              <w:left w:val="single" w:sz="4" w:space="0" w:color="auto"/>
              <w:right w:val="single" w:sz="4" w:space="0" w:color="auto"/>
            </w:tcBorders>
            <w:shd w:val="clear" w:color="auto" w:fill="auto"/>
          </w:tcPr>
          <w:p w14:paraId="6E8E6DC7" w14:textId="77777777" w:rsidR="000710F5" w:rsidRPr="007D603C" w:rsidRDefault="000710F5" w:rsidP="000710F5">
            <w:pPr>
              <w:jc w:val="both"/>
              <w:rPr>
                <w:rFonts w:ascii="Times New Roman" w:eastAsia="Calibri"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par projektā paredzētajām iekārtām vai inženierbūvēm izstrādāta tehniskā specifikācija</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69166C64"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1C493756"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052215C7" w14:textId="77777777" w:rsidTr="00926BC3">
        <w:tblPrEx>
          <w:jc w:val="left"/>
          <w:tblLook w:val="04A0" w:firstRow="1" w:lastRow="0" w:firstColumn="1" w:lastColumn="0" w:noHBand="0" w:noVBand="1"/>
        </w:tblPrEx>
        <w:trPr>
          <w:trHeight w:val="345"/>
        </w:trPr>
        <w:tc>
          <w:tcPr>
            <w:tcW w:w="988" w:type="dxa"/>
            <w:tcBorders>
              <w:left w:val="single" w:sz="4" w:space="0" w:color="auto"/>
              <w:bottom w:val="single" w:sz="4" w:space="0" w:color="auto"/>
              <w:right w:val="single" w:sz="4" w:space="0" w:color="auto"/>
            </w:tcBorders>
            <w:shd w:val="clear" w:color="auto" w:fill="auto"/>
          </w:tcPr>
          <w:p w14:paraId="0B1FB968" w14:textId="1BD7B5D5"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Kopā</w:t>
            </w:r>
          </w:p>
        </w:tc>
        <w:tc>
          <w:tcPr>
            <w:tcW w:w="5105" w:type="dxa"/>
            <w:tcBorders>
              <w:left w:val="single" w:sz="4" w:space="0" w:color="auto"/>
              <w:bottom w:val="single" w:sz="4" w:space="0" w:color="auto"/>
              <w:right w:val="single" w:sz="4" w:space="0" w:color="auto"/>
            </w:tcBorders>
            <w:shd w:val="clear" w:color="auto" w:fill="auto"/>
          </w:tcPr>
          <w:p w14:paraId="5C1CD71B" w14:textId="633FBF14"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Minimālais punktu skaits – 2</w:t>
            </w:r>
          </w:p>
          <w:p w14:paraId="5B189303" w14:textId="4D67CFFE" w:rsidR="000710F5" w:rsidRPr="007D603C" w:rsidRDefault="000710F5" w:rsidP="000710F5">
            <w:pPr>
              <w:pStyle w:val="Sarakstarindkopa"/>
              <w:autoSpaceDE w:val="0"/>
              <w:autoSpaceDN w:val="0"/>
              <w:adjustRightInd w:val="0"/>
              <w:ind w:left="0"/>
              <w:rPr>
                <w:rFonts w:ascii="Times New Roman" w:eastAsia="Calibri" w:hAnsi="Times New Roman" w:cs="Times New Roman"/>
                <w:color w:val="000000" w:themeColor="text1"/>
                <w:sz w:val="22"/>
                <w:szCs w:val="22"/>
              </w:rPr>
            </w:pPr>
            <w:r w:rsidRPr="0015114C">
              <w:rPr>
                <w:rFonts w:ascii="Times New Roman" w:hAnsi="Times New Roman"/>
                <w:color w:val="000000" w:themeColor="text1"/>
                <w:sz w:val="22"/>
              </w:rPr>
              <w:t>Maksimālais punktu skaits – 3</w:t>
            </w:r>
            <w:r w:rsidR="00042D2C" w:rsidRPr="007D603C">
              <w:rPr>
                <w:rFonts w:ascii="Times New Roman" w:hAnsi="Times New Roman" w:cs="Times New Roman"/>
                <w:color w:val="000000" w:themeColor="text1"/>
                <w:sz w:val="22"/>
                <w:szCs w:val="22"/>
              </w:rPr>
              <w:t>1</w:t>
            </w:r>
          </w:p>
        </w:tc>
        <w:tc>
          <w:tcPr>
            <w:tcW w:w="8909" w:type="dxa"/>
            <w:gridSpan w:val="3"/>
            <w:tcBorders>
              <w:top w:val="single" w:sz="4" w:space="0" w:color="auto"/>
              <w:left w:val="single" w:sz="4" w:space="0" w:color="auto"/>
              <w:bottom w:val="single" w:sz="4" w:space="0" w:color="auto"/>
              <w:right w:val="single" w:sz="4" w:space="0" w:color="auto"/>
            </w:tcBorders>
            <w:shd w:val="clear" w:color="auto" w:fill="auto"/>
          </w:tcPr>
          <w:p w14:paraId="7A440B0D" w14:textId="42D25C9F" w:rsidR="000710F5" w:rsidRPr="007D603C" w:rsidRDefault="2E14180F"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3DD37545">
              <w:rPr>
                <w:rFonts w:ascii="Times New Roman" w:hAnsi="Times New Roman" w:cs="Times New Roman"/>
                <w:b/>
                <w:bCs/>
                <w:color w:val="000000" w:themeColor="text1"/>
                <w:sz w:val="22"/>
                <w:szCs w:val="22"/>
              </w:rPr>
              <w:t>Minimālais punktu skaits, kas jāsaņem, ir 2 punkti (4.4. un 4.6. kritērijs)</w:t>
            </w:r>
            <w:r w:rsidR="00AD5151">
              <w:rPr>
                <w:rFonts w:ascii="Times New Roman" w:hAnsi="Times New Roman" w:cs="Times New Roman"/>
                <w:b/>
                <w:bCs/>
                <w:color w:val="000000" w:themeColor="text1"/>
                <w:sz w:val="22"/>
                <w:szCs w:val="22"/>
              </w:rPr>
              <w:t>.</w:t>
            </w:r>
          </w:p>
          <w:p w14:paraId="1F68F9CB" w14:textId="4B105A5F" w:rsidR="000710F5" w:rsidRPr="007D603C" w:rsidRDefault="000710F5"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007D603C">
              <w:rPr>
                <w:rFonts w:ascii="Times New Roman" w:hAnsi="Times New Roman" w:cs="Times New Roman"/>
                <w:b/>
                <w:bCs/>
                <w:color w:val="000000" w:themeColor="text1"/>
                <w:sz w:val="22"/>
                <w:szCs w:val="22"/>
              </w:rPr>
              <w:t xml:space="preserve">Maksimālais punktu skaits, ko ir iespējams saņemt, </w:t>
            </w:r>
            <w:r w:rsidRPr="0093172F">
              <w:rPr>
                <w:rFonts w:ascii="Times New Roman" w:hAnsi="Times New Roman"/>
                <w:b/>
                <w:color w:val="000000" w:themeColor="text1"/>
                <w:sz w:val="22"/>
              </w:rPr>
              <w:t>ir 3</w:t>
            </w:r>
            <w:r w:rsidR="00042D2C" w:rsidRPr="0093172F">
              <w:rPr>
                <w:rFonts w:ascii="Times New Roman" w:hAnsi="Times New Roman"/>
                <w:b/>
                <w:color w:val="000000" w:themeColor="text1"/>
                <w:sz w:val="22"/>
              </w:rPr>
              <w:t>1</w:t>
            </w:r>
            <w:r w:rsidRPr="0093172F">
              <w:rPr>
                <w:rFonts w:ascii="Times New Roman" w:hAnsi="Times New Roman"/>
                <w:b/>
                <w:color w:val="000000" w:themeColor="text1"/>
                <w:sz w:val="22"/>
              </w:rPr>
              <w:t> punkt</w:t>
            </w:r>
            <w:r w:rsidR="00042D2C" w:rsidRPr="0093172F">
              <w:rPr>
                <w:rFonts w:ascii="Times New Roman" w:hAnsi="Times New Roman"/>
                <w:b/>
                <w:color w:val="000000" w:themeColor="text1"/>
                <w:sz w:val="22"/>
              </w:rPr>
              <w:t>s</w:t>
            </w:r>
            <w:r w:rsidRPr="007D603C">
              <w:rPr>
                <w:rFonts w:ascii="Times New Roman" w:hAnsi="Times New Roman" w:cs="Times New Roman"/>
                <w:b/>
                <w:bCs/>
                <w:color w:val="000000" w:themeColor="text1"/>
                <w:sz w:val="22"/>
                <w:szCs w:val="22"/>
              </w:rPr>
              <w:t>.</w:t>
            </w:r>
          </w:p>
          <w:p w14:paraId="558AE779" w14:textId="77777777" w:rsidR="000710F5" w:rsidRPr="007D603C" w:rsidRDefault="000710F5" w:rsidP="000710F5">
            <w:pPr>
              <w:autoSpaceDE w:val="0"/>
              <w:autoSpaceDN w:val="0"/>
              <w:adjustRightInd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Vienādu punktu gadījumā prioritāro secību veido projekti, kam lielāks punktu skaits šādos kritērijos, ievērojot šādu secību:</w:t>
            </w:r>
          </w:p>
          <w:p w14:paraId="4CDF0285" w14:textId="79C7C98E" w:rsidR="000710F5" w:rsidRPr="007D603C" w:rsidRDefault="000710F5" w:rsidP="005B50CF">
            <w:pPr>
              <w:pStyle w:val="Sarakstarindkopa"/>
              <w:numPr>
                <w:ilvl w:val="0"/>
                <w:numId w:val="19"/>
              </w:numPr>
              <w:autoSpaceDE w:val="0"/>
              <w:autoSpaceDN w:val="0"/>
              <w:adjustRightInd w:val="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4.1.;</w:t>
            </w:r>
          </w:p>
          <w:p w14:paraId="227081EF" w14:textId="2CE8B05E" w:rsidR="000710F5" w:rsidRPr="007D603C" w:rsidRDefault="000710F5" w:rsidP="005B50CF">
            <w:pPr>
              <w:pStyle w:val="Sarakstarindkopa"/>
              <w:numPr>
                <w:ilvl w:val="0"/>
                <w:numId w:val="19"/>
              </w:numPr>
              <w:autoSpaceDE w:val="0"/>
              <w:autoSpaceDN w:val="0"/>
              <w:adjustRightInd w:val="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4.4.;</w:t>
            </w:r>
          </w:p>
          <w:p w14:paraId="51356A97" w14:textId="7BE0F530" w:rsidR="000710F5" w:rsidRPr="007D603C" w:rsidRDefault="000710F5" w:rsidP="005B50CF">
            <w:pPr>
              <w:pStyle w:val="Sarakstarindkopa"/>
              <w:numPr>
                <w:ilvl w:val="0"/>
                <w:numId w:val="19"/>
              </w:numPr>
              <w:autoSpaceDE w:val="0"/>
              <w:autoSpaceDN w:val="0"/>
              <w:adjustRightInd w:val="0"/>
              <w:spacing w:after="12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4.2.</w:t>
            </w:r>
          </w:p>
          <w:p w14:paraId="0947089D" w14:textId="77777777" w:rsidR="000710F5" w:rsidRPr="007D603C" w:rsidRDefault="000710F5"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007D603C">
              <w:rPr>
                <w:rFonts w:ascii="Times New Roman" w:hAnsi="Times New Roman" w:cs="Times New Roman"/>
                <w:b/>
                <w:bCs/>
                <w:color w:val="000000" w:themeColor="text1"/>
                <w:sz w:val="22"/>
                <w:szCs w:val="22"/>
              </w:rPr>
              <w:t>Ja vienāds punktu skaits ir visos iepriekš minētajos kritērijos, priekšroka tiek noteikta projektam ar lielāku devumu rādītāja “iedzīvotāji, kuriem uzlabota notekūdeņu attīrīšanas kvalitāte un efektivitāte” vērtības sasniegšanā.</w:t>
            </w:r>
          </w:p>
        </w:tc>
      </w:tr>
    </w:tbl>
    <w:p w14:paraId="7633ED15" w14:textId="77777777" w:rsidR="00D61901" w:rsidRDefault="00D61901"/>
    <w:sectPr w:rsidR="00D61901" w:rsidSect="00FF6028">
      <w:headerReference w:type="default" r:id="rId14"/>
      <w:footerReference w:type="default" r:id="rId15"/>
      <w:pgSz w:w="16838" w:h="11906" w:orient="landscape"/>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5B410" w14:textId="77777777" w:rsidR="00F42543" w:rsidRPr="007D603C" w:rsidRDefault="00F42543" w:rsidP="008E1D65">
      <w:r w:rsidRPr="007D603C">
        <w:separator/>
      </w:r>
    </w:p>
  </w:endnote>
  <w:endnote w:type="continuationSeparator" w:id="0">
    <w:p w14:paraId="1E5952E5" w14:textId="77777777" w:rsidR="00F42543" w:rsidRPr="007D603C" w:rsidRDefault="00F42543" w:rsidP="008E1D65">
      <w:r w:rsidRPr="007D603C">
        <w:continuationSeparator/>
      </w:r>
    </w:p>
  </w:endnote>
  <w:endnote w:type="continuationNotice" w:id="1">
    <w:p w14:paraId="68E8CE84" w14:textId="77777777" w:rsidR="00F42543" w:rsidRPr="007D603C" w:rsidRDefault="00F4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E257" w14:textId="77777777" w:rsidR="00CF3927" w:rsidRPr="007D603C" w:rsidRDefault="00CF39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D0F1A" w14:textId="77777777" w:rsidR="00F42543" w:rsidRPr="007D603C" w:rsidRDefault="00F42543" w:rsidP="008E1D65">
      <w:r w:rsidRPr="007D603C">
        <w:separator/>
      </w:r>
    </w:p>
  </w:footnote>
  <w:footnote w:type="continuationSeparator" w:id="0">
    <w:p w14:paraId="56188EDA" w14:textId="77777777" w:rsidR="00F42543" w:rsidRPr="007D603C" w:rsidRDefault="00F42543" w:rsidP="008E1D65">
      <w:r w:rsidRPr="007D603C">
        <w:continuationSeparator/>
      </w:r>
    </w:p>
  </w:footnote>
  <w:footnote w:type="continuationNotice" w:id="1">
    <w:p w14:paraId="6731086C" w14:textId="77777777" w:rsidR="00F42543" w:rsidRPr="007D603C" w:rsidRDefault="00F42543"/>
  </w:footnote>
  <w:footnote w:id="2">
    <w:p w14:paraId="1DB14C0A" w14:textId="56D9C216" w:rsidR="007D603C" w:rsidRPr="007D603C" w:rsidRDefault="007D603C" w:rsidP="007D603C">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Pieejama: </w:t>
      </w:r>
      <w:hyperlink r:id="rId1" w:history="1">
        <w:r w:rsidR="006E0D32" w:rsidRPr="00E67FE2">
          <w:rPr>
            <w:rStyle w:val="Hipersaite"/>
            <w:rFonts w:ascii="Times New Roman" w:hAnsi="Times New Roman" w:cs="Times New Roman"/>
          </w:rPr>
          <w:t>https://www.esfondi.lv/normativie-akti-un-dokumenti/2021-2027-planosanas-periods/eiropas-regionalas-attistibas-fonda-eiropas-sociala-fonda-plus-kohezijas-fonda-un-taisnigas-parkartosanas-fonda-projektu-iesniegumu-atlases-metodika-2021-2027-gadam</w:t>
        </w:r>
      </w:hyperlink>
      <w:r w:rsidRPr="007D603C">
        <w:rPr>
          <w:rFonts w:ascii="Times New Roman" w:hAnsi="Times New Roman" w:cs="Times New Roman"/>
        </w:rPr>
        <w:t>.</w:t>
      </w:r>
    </w:p>
  </w:footnote>
  <w:footnote w:id="3">
    <w:p w14:paraId="6F34EE88" w14:textId="4C7C32FF" w:rsidR="00836606" w:rsidRPr="006E0D32" w:rsidRDefault="00836606">
      <w:pPr>
        <w:pStyle w:val="Vresteksts"/>
        <w:rPr>
          <w:rFonts w:ascii="Times New Roman" w:hAnsi="Times New Roman" w:cs="Times New Roman"/>
        </w:rPr>
      </w:pPr>
      <w:r w:rsidRPr="006E0D32">
        <w:rPr>
          <w:rStyle w:val="Vresatsauce"/>
          <w:rFonts w:ascii="Times New Roman" w:hAnsi="Times New Roman" w:cs="Times New Roman"/>
        </w:rPr>
        <w:footnoteRef/>
      </w:r>
      <w:r w:rsidR="00247CC2" w:rsidRPr="007D603C">
        <w:rPr>
          <w:rFonts w:ascii="Times New Roman" w:hAnsi="Times New Roman" w:cs="Times New Roman"/>
        </w:rPr>
        <w:t xml:space="preserve"> P</w:t>
      </w:r>
      <w:r w:rsidRPr="006E0D32">
        <w:rPr>
          <w:rFonts w:ascii="Times New Roman" w:hAnsi="Times New Roman" w:cs="Times New Roman"/>
        </w:rPr>
        <w:t>ieejams</w:t>
      </w:r>
      <w:r w:rsidR="0033746E" w:rsidRPr="006E0D32">
        <w:rPr>
          <w:rFonts w:ascii="Times New Roman" w:hAnsi="Times New Roman" w:cs="Times New Roman"/>
        </w:rPr>
        <w:t xml:space="preserve">: </w:t>
      </w:r>
      <w:hyperlink r:id="rId2" w:history="1">
        <w:r w:rsidR="006E0D32" w:rsidRPr="00E67FE2">
          <w:rPr>
            <w:rStyle w:val="Hipersaite"/>
            <w:rFonts w:ascii="Times New Roman" w:hAnsi="Times New Roman" w:cs="Times New Roman"/>
          </w:rPr>
          <w:t>https://likumi.lv/ta/id/331743-eiropas-savienibas-fondu-2021-2027-gada-planosanas-perioda-vadibas-likums</w:t>
        </w:r>
      </w:hyperlink>
      <w:r w:rsidR="0033746E" w:rsidRPr="007D603C">
        <w:rPr>
          <w:rFonts w:ascii="Times New Roman" w:hAnsi="Times New Roman" w:cs="Times New Roman"/>
        </w:rPr>
        <w:t>.</w:t>
      </w:r>
    </w:p>
  </w:footnote>
  <w:footnote w:id="4">
    <w:p w14:paraId="7F5FECA6" w14:textId="77777777" w:rsidR="008E1D65" w:rsidRPr="001C4813" w:rsidRDefault="008E1D65" w:rsidP="008E1D65">
      <w:pPr>
        <w:pStyle w:val="Vresteksts"/>
        <w:jc w:val="both"/>
        <w:rPr>
          <w:rFonts w:ascii="Times New Roman" w:hAnsi="Times New Roman" w:cs="Times New Roman"/>
        </w:rPr>
      </w:pPr>
      <w:r w:rsidRPr="001C4813">
        <w:rPr>
          <w:rStyle w:val="Vresatsauce"/>
          <w:rFonts w:ascii="Times New Roman" w:hAnsi="Times New Roman" w:cs="Times New Roman"/>
        </w:rPr>
        <w:footnoteRef/>
      </w:r>
      <w:r w:rsidRPr="001C4813">
        <w:rPr>
          <w:rFonts w:ascii="Times New Roman" w:hAnsi="Times New Roman" w:cs="Times New Roman"/>
        </w:rPr>
        <w:t xml:space="preserve"> Kritērija neatbilstības gadījumā sadarbības iestāde pieņem lēmumu par projekta iesnieguma noraidīšanu.</w:t>
      </w:r>
    </w:p>
  </w:footnote>
  <w:footnote w:id="5">
    <w:p w14:paraId="21CAA838" w14:textId="77777777" w:rsidR="001E515E" w:rsidRPr="007D603C" w:rsidRDefault="001E515E" w:rsidP="001E515E">
      <w:pPr>
        <w:pStyle w:val="Vresteksts"/>
        <w:jc w:val="both"/>
        <w:rPr>
          <w:rFonts w:ascii="Times New Roman" w:hAnsi="Times New Roman" w:cs="Times New Roman"/>
        </w:rPr>
      </w:pPr>
      <w:r w:rsidRPr="007D603C">
        <w:rPr>
          <w:rStyle w:val="Vresatsauce"/>
        </w:rPr>
        <w:footnoteRef/>
      </w:r>
      <w:r w:rsidRPr="007D603C">
        <w:t xml:space="preserve">  </w:t>
      </w:r>
      <w:r w:rsidRPr="007D603C">
        <w:rPr>
          <w:rFonts w:ascii="Times New Roman" w:hAnsi="Times New Roman" w:cs="Times New Roman"/>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3" w:history="1">
        <w:r w:rsidRPr="007D603C">
          <w:rPr>
            <w:rStyle w:val="Hipersaite"/>
            <w:rFonts w:ascii="Times New Roman" w:hAnsi="Times New Roman" w:cs="Times New Roman"/>
          </w:rPr>
          <w:t>še</w:t>
        </w:r>
        <w:r w:rsidRPr="007D603C">
          <w:rPr>
            <w:rStyle w:val="Hipersaite"/>
            <w:rFonts w:ascii="Times New Roman" w:hAnsi="Times New Roman" w:cs="Times New Roman"/>
          </w:rPr>
          <w:t>i</w:t>
        </w:r>
        <w:r w:rsidRPr="007D603C">
          <w:rPr>
            <w:rStyle w:val="Hipersaite"/>
            <w:rFonts w:ascii="Times New Roman" w:hAnsi="Times New Roman" w:cs="Times New Roman"/>
          </w:rPr>
          <w:t>t</w:t>
        </w:r>
      </w:hyperlink>
      <w:r w:rsidRPr="007D603C">
        <w:rPr>
          <w:rStyle w:val="Hipersaite"/>
          <w:rFonts w:ascii="Times New Roman" w:hAnsi="Times New Roman" w:cs="Times New Roman"/>
        </w:rPr>
        <w:t>.</w:t>
      </w:r>
    </w:p>
  </w:footnote>
  <w:footnote w:id="6">
    <w:p w14:paraId="1E8123AA" w14:textId="019671D3" w:rsidR="00226BF8" w:rsidRPr="007D603C" w:rsidRDefault="00226BF8" w:rsidP="008E1D65">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w:t>
      </w:r>
      <w:r w:rsidRPr="007D603C">
        <w:rPr>
          <w:rFonts w:ascii="Times New Roman" w:hAnsi="Times New Roman" w:cs="Times New Roman"/>
        </w:rPr>
        <w:t xml:space="preserve">Pieejamas </w:t>
      </w:r>
      <w:hyperlink r:id="rId4" w:history="1">
        <w:r w:rsidRPr="007D603C">
          <w:rPr>
            <w:rStyle w:val="Hipersaite"/>
            <w:rFonts w:ascii="Times New Roman" w:hAnsi="Times New Roman" w:cs="Times New Roman"/>
          </w:rPr>
          <w:t>š</w:t>
        </w:r>
        <w:r w:rsidRPr="007D603C">
          <w:rPr>
            <w:rStyle w:val="Hipersaite"/>
            <w:rFonts w:ascii="Times New Roman" w:hAnsi="Times New Roman" w:cs="Times New Roman"/>
          </w:rPr>
          <w:t>e</w:t>
        </w:r>
        <w:r w:rsidRPr="007D603C">
          <w:rPr>
            <w:rStyle w:val="Hipersaite"/>
            <w:rFonts w:ascii="Times New Roman" w:hAnsi="Times New Roman" w:cs="Times New Roman"/>
          </w:rPr>
          <w:t>it</w:t>
        </w:r>
      </w:hyperlink>
      <w:r w:rsidRPr="007D603C">
        <w:rPr>
          <w:rStyle w:val="Hipersaite"/>
          <w:rFonts w:ascii="Times New Roman" w:hAnsi="Times New Roman" w:cs="Times New Roman"/>
          <w:u w:val="none"/>
        </w:rPr>
        <w:t>.</w:t>
      </w:r>
    </w:p>
  </w:footnote>
  <w:footnote w:id="7">
    <w:p w14:paraId="4EEEBA68" w14:textId="77777777" w:rsidR="00226BF8" w:rsidRPr="007D603C" w:rsidRDefault="00226BF8" w:rsidP="008E1D65">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241EE145" w14:textId="7EC9D659" w:rsidR="00B8154F" w:rsidRPr="007D603C" w:rsidRDefault="00B8154F" w:rsidP="00CC1013">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9">
    <w:p w14:paraId="211CA471" w14:textId="01793E28"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0">
    <w:p w14:paraId="64A95DE6" w14:textId="4F972B31"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5" w:history="1">
        <w:r w:rsidRPr="007D603C">
          <w:rPr>
            <w:rStyle w:val="Hipersaite"/>
            <w:rFonts w:ascii="Times New Roman" w:eastAsia="Times New Roman" w:hAnsi="Times New Roman" w:cs="Times New Roman"/>
            <w:kern w:val="0"/>
            <w:lang w:eastAsia="lv-LV"/>
            <w14:ligatures w14:val="none"/>
          </w:rPr>
          <w:t>še</w:t>
        </w:r>
        <w:r w:rsidRPr="007D603C">
          <w:rPr>
            <w:rStyle w:val="Hipersaite"/>
            <w:rFonts w:ascii="Times New Roman" w:eastAsia="Times New Roman" w:hAnsi="Times New Roman" w:cs="Times New Roman"/>
            <w:kern w:val="0"/>
            <w:lang w:eastAsia="lv-LV"/>
            <w14:ligatures w14:val="none"/>
          </w:rPr>
          <w:t>i</w:t>
        </w:r>
        <w:r w:rsidRPr="007D603C">
          <w:rPr>
            <w:rStyle w:val="Hipersaite"/>
            <w:rFonts w:ascii="Times New Roman" w:eastAsia="Times New Roman" w:hAnsi="Times New Roman" w:cs="Times New Roman"/>
            <w:kern w:val="0"/>
            <w:lang w:eastAsia="lv-LV"/>
            <w14:ligatures w14:val="none"/>
          </w:rPr>
          <w:t>t</w:t>
        </w:r>
      </w:hyperlink>
      <w:r w:rsidRPr="007D603C">
        <w:rPr>
          <w:rFonts w:ascii="Times New Roman" w:eastAsia="Times New Roman" w:hAnsi="Times New Roman" w:cs="Times New Roman"/>
          <w:kern w:val="0"/>
          <w:lang w:eastAsia="lv-LV"/>
          <w14:ligatures w14:val="none"/>
        </w:rPr>
        <w:t>.</w:t>
      </w:r>
    </w:p>
  </w:footnote>
  <w:footnote w:id="11">
    <w:p w14:paraId="7E04CDE1" w14:textId="77777777"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Mikrouzņēmums, mazais un vidējais uzņēmums.</w:t>
      </w:r>
    </w:p>
  </w:footnote>
  <w:footnote w:id="12">
    <w:p w14:paraId="4B8D6083" w14:textId="77777777" w:rsidR="00B8154F" w:rsidRPr="007D603C" w:rsidRDefault="00B8154F" w:rsidP="00811AA8">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3">
    <w:p w14:paraId="3C824079" w14:textId="122F2FAA"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Komisijas r</w:t>
      </w:r>
      <w:r w:rsidRPr="007D603C">
        <w:rPr>
          <w:rFonts w:ascii="Times New Roman" w:eastAsia="Times New Roman" w:hAnsi="Times New Roman" w:cs="Times New Roman"/>
          <w:kern w:val="0"/>
          <w:lang w:eastAsia="lv-LV"/>
          <w14:ligatures w14:val="none"/>
        </w:rPr>
        <w:t xml:space="preserve">egula Nr. 651/2014 pieejama </w:t>
      </w:r>
      <w:hyperlink r:id="rId6" w:history="1">
        <w:r w:rsidRPr="007D603C">
          <w:rPr>
            <w:rStyle w:val="Hipersaite"/>
            <w:rFonts w:ascii="Times New Roman" w:hAnsi="Times New Roman" w:cs="Times New Roman"/>
          </w:rPr>
          <w:t>še</w:t>
        </w:r>
        <w:r w:rsidRPr="007D603C">
          <w:rPr>
            <w:rStyle w:val="Hipersaite"/>
            <w:rFonts w:ascii="Times New Roman" w:hAnsi="Times New Roman" w:cs="Times New Roman"/>
          </w:rPr>
          <w:t>i</w:t>
        </w:r>
        <w:r w:rsidRPr="007D603C">
          <w:rPr>
            <w:rStyle w:val="Hipersaite"/>
            <w:rFonts w:ascii="Times New Roman" w:hAnsi="Times New Roman" w:cs="Times New Roman"/>
          </w:rPr>
          <w:t>t</w:t>
        </w:r>
      </w:hyperlink>
    </w:p>
  </w:footnote>
  <w:footnote w:id="14">
    <w:p w14:paraId="2EE8E88A" w14:textId="797B0F86" w:rsidR="00B8154F" w:rsidRPr="007D603C" w:rsidRDefault="00B8154F" w:rsidP="00811AA8">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7D603C">
        <w:rPr>
          <w:rFonts w:ascii="Times New Roman" w:hAnsi="Times New Roman" w:cs="Times New Roman"/>
          <w:i/>
          <w:iCs/>
        </w:rPr>
        <w:t>de minimis</w:t>
      </w:r>
      <w:r w:rsidRPr="007D603C">
        <w:rPr>
          <w:rFonts w:ascii="Times New Roman" w:hAnsi="Times New Roman" w:cs="Times New Roman"/>
        </w:rPr>
        <w:t xml:space="preserve"> regulām.</w:t>
      </w:r>
    </w:p>
  </w:footnote>
  <w:footnote w:id="15">
    <w:p w14:paraId="095B0CAA" w14:textId="113319B1"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7" w:history="1">
        <w:r w:rsidRPr="007D603C">
          <w:rPr>
            <w:rStyle w:val="Hipersaite"/>
            <w:rFonts w:ascii="Times New Roman" w:eastAsia="Times New Roman" w:hAnsi="Times New Roman" w:cs="Times New Roman"/>
            <w:kern w:val="0"/>
            <w:lang w:eastAsia="lv-LV"/>
            <w14:ligatures w14:val="none"/>
          </w:rPr>
          <w:t>šeit</w:t>
        </w:r>
      </w:hyperlink>
      <w:r w:rsidRPr="007D603C">
        <w:rPr>
          <w:rFonts w:ascii="Times New Roman" w:eastAsia="Times New Roman" w:hAnsi="Times New Roman" w:cs="Times New Roman"/>
          <w:kern w:val="0"/>
          <w:lang w:eastAsia="lv-LV"/>
          <w14:ligatures w14:val="none"/>
        </w:rPr>
        <w:t>.</w:t>
      </w:r>
    </w:p>
  </w:footnote>
  <w:footnote w:id="16">
    <w:p w14:paraId="742167EB" w14:textId="36525FD4"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lietotāja rokasgrāmata par MVU definīcijas piemērošanu pieejama </w:t>
      </w:r>
      <w:hyperlink r:id="rId8" w:history="1">
        <w:r w:rsidRPr="007D603C">
          <w:rPr>
            <w:rStyle w:val="Hipersaite"/>
            <w:rFonts w:ascii="Times New Roman" w:hAnsi="Times New Roman" w:cs="Times New Roman"/>
          </w:rPr>
          <w:t>še</w:t>
        </w:r>
        <w:r w:rsidRPr="007D603C">
          <w:rPr>
            <w:rStyle w:val="Hipersaite"/>
            <w:rFonts w:ascii="Times New Roman" w:hAnsi="Times New Roman" w:cs="Times New Roman"/>
          </w:rPr>
          <w:t>i</w:t>
        </w:r>
        <w:r w:rsidRPr="007D603C">
          <w:rPr>
            <w:rStyle w:val="Hipersaite"/>
            <w:rFonts w:ascii="Times New Roman" w:hAnsi="Times New Roman" w:cs="Times New Roman"/>
          </w:rPr>
          <w:t>t</w:t>
        </w:r>
      </w:hyperlink>
      <w:r w:rsidRPr="007D603C">
        <w:rPr>
          <w:rFonts w:ascii="Times New Roman" w:hAnsi="Times New Roman" w:cs="Times New Roman"/>
        </w:rPr>
        <w:t>.</w:t>
      </w:r>
    </w:p>
  </w:footnote>
  <w:footnote w:id="17">
    <w:p w14:paraId="7AF8F21A" w14:textId="0B090EF1" w:rsidR="00B8154F" w:rsidRPr="007D603C" w:rsidRDefault="00B8154F" w:rsidP="001C55F2">
      <w:pPr>
        <w:pStyle w:val="Vresteksts"/>
        <w:jc w:val="both"/>
        <w:rPr>
          <w:rFonts w:ascii="Times New Roman" w:hAnsi="Times New Roman" w:cs="Times New Roman"/>
        </w:rPr>
      </w:pPr>
      <w:r w:rsidRPr="007D603C">
        <w:rPr>
          <w:rStyle w:val="Vresatsauce"/>
        </w:rPr>
        <w:footnoteRef/>
      </w:r>
      <w:r w:rsidRPr="007D603C">
        <w:t xml:space="preserve"> </w:t>
      </w:r>
      <w:r w:rsidRPr="007D603C">
        <w:rPr>
          <w:rFonts w:ascii="Times New Roman" w:hAnsi="Times New Roman" w:cs="Times New Roman"/>
        </w:rPr>
        <w:t>Atbalsta pretendents/ projekta iesniedzējs ir iesniedzis apliecinājumu, ka tas neatbilst minētajām pazīmēm, ņemot vērā, ka par šo prasību nav iespējams gūt pārliecību no publiskajos reģistros ietvertās informācijas.</w:t>
      </w:r>
    </w:p>
  </w:footnote>
  <w:footnote w:id="18">
    <w:p w14:paraId="2B9CD4BC" w14:textId="60AA0D1B" w:rsidR="00B8154F" w:rsidRPr="007D603C" w:rsidRDefault="00B8154F" w:rsidP="00DD7A87">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Uzņēmumu reģistra informācija un informācija, kas pieejama no informācijas atkalizmantotājiem.</w:t>
      </w:r>
    </w:p>
  </w:footnote>
  <w:footnote w:id="19">
    <w:p w14:paraId="779309B3" w14:textId="539E15F5" w:rsidR="00B8154F" w:rsidRPr="007D603C" w:rsidRDefault="00B8154F" w:rsidP="00AC7624">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0">
    <w:p w14:paraId="22926FF1" w14:textId="71F147A3"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9" w:history="1">
        <w:r w:rsidRPr="007D603C">
          <w:rPr>
            <w:rStyle w:val="Hipersaite"/>
            <w:rFonts w:ascii="Times New Roman" w:hAnsi="Times New Roman" w:cs="Times New Roman"/>
          </w:rPr>
          <w:t>šeit</w:t>
        </w:r>
      </w:hyperlink>
      <w:r w:rsidRPr="007D603C">
        <w:rPr>
          <w:rFonts w:ascii="Times New Roman" w:hAnsi="Times New Roman" w:cs="Times New Roman"/>
        </w:rPr>
        <w:t>.</w:t>
      </w:r>
    </w:p>
  </w:footnote>
  <w:footnote w:id="21">
    <w:p w14:paraId="45E76BFF" w14:textId="6E5D1E92" w:rsidR="00B8154F" w:rsidRPr="007D603C" w:rsidRDefault="00B8154F" w:rsidP="00EF3E2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Komerclikuma 198. panta 1. punkta 8. apakšpunkts</w:t>
      </w:r>
    </w:p>
  </w:footnote>
  <w:footnote w:id="22">
    <w:p w14:paraId="01C2CF16" w14:textId="71F613C7"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0" w:history="1">
        <w:r w:rsidR="00197456">
          <w:rPr>
            <w:rStyle w:val="Hipersaite"/>
            <w:rFonts w:ascii="Times New Roman" w:hAnsi="Times New Roman" w:cs="Times New Roman"/>
          </w:rPr>
          <w:t>Dati par aglomerāciju radīto piesārņojuma slodzi</w:t>
        </w:r>
      </w:hyperlink>
      <w:r w:rsidR="003E5666">
        <w:rPr>
          <w:rFonts w:ascii="Times New Roman" w:hAnsi="Times New Roman" w:cs="Times New Roman"/>
        </w:rPr>
        <w:t xml:space="preserve">  </w:t>
      </w:r>
    </w:p>
  </w:footnote>
  <w:footnote w:id="23">
    <w:p w14:paraId="589A1DA6" w14:textId="44988D96"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1" w:history="1">
        <w:r w:rsidRPr="007D603C">
          <w:rPr>
            <w:rStyle w:val="Hipersaite"/>
            <w:rFonts w:ascii="Times New Roman" w:hAnsi="Times New Roman" w:cs="Times New Roman"/>
          </w:rPr>
          <w:t>Notekūdeņu un to dūņu apsaimniekošanas sistēmas attīstība piesārņojuma samazināš</w:t>
        </w:r>
        <w:r w:rsidRPr="007D603C">
          <w:rPr>
            <w:rStyle w:val="Hipersaite"/>
            <w:rFonts w:ascii="Times New Roman" w:hAnsi="Times New Roman" w:cs="Times New Roman"/>
          </w:rPr>
          <w:t>a</w:t>
        </w:r>
        <w:r w:rsidRPr="007D603C">
          <w:rPr>
            <w:rStyle w:val="Hipersaite"/>
            <w:rFonts w:ascii="Times New Roman" w:hAnsi="Times New Roman" w:cs="Times New Roman"/>
          </w:rPr>
          <w:t>nai | Vides aizsardzības un reģionālās attīstības ministrija (varam.gov.lv)</w:t>
        </w:r>
      </w:hyperlink>
    </w:p>
  </w:footnote>
  <w:footnote w:id="24">
    <w:p w14:paraId="68A52625" w14:textId="6B8EB61B"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2" w:history="1">
        <w:r w:rsidRPr="007D603C">
          <w:rPr>
            <w:rStyle w:val="Hipersaite"/>
            <w:rFonts w:ascii="Times New Roman" w:hAnsi="Times New Roman" w:cs="Times New Roman"/>
          </w:rPr>
          <w:t>Notekūdeņu apsaimniekošanas investīciju plā</w:t>
        </w:r>
        <w:r w:rsidRPr="007D603C">
          <w:rPr>
            <w:rStyle w:val="Hipersaite"/>
            <w:rFonts w:ascii="Times New Roman" w:hAnsi="Times New Roman" w:cs="Times New Roman"/>
          </w:rPr>
          <w:t>n</w:t>
        </w:r>
        <w:r w:rsidRPr="007D603C">
          <w:rPr>
            <w:rStyle w:val="Hipersaite"/>
            <w:rFonts w:ascii="Times New Roman" w:hAnsi="Times New Roman" w:cs="Times New Roman"/>
          </w:rPr>
          <w:t>s 2021. – 2027. gadam</w:t>
        </w:r>
      </w:hyperlink>
      <w:r w:rsidRPr="007D603C">
        <w:rPr>
          <w:rFonts w:ascii="Times New Roman" w:hAnsi="Times New Roman" w:cs="Times New Roman"/>
        </w:rPr>
        <w:t>;</w:t>
      </w:r>
    </w:p>
  </w:footnote>
  <w:footnote w:id="25">
    <w:p w14:paraId="54D7A499" w14:textId="44F12BB3"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3" w:history="1">
        <w:r w:rsidRPr="007D603C">
          <w:rPr>
            <w:rStyle w:val="Hipersaite"/>
            <w:rFonts w:ascii="Times New Roman" w:hAnsi="Times New Roman" w:cs="Times New Roman"/>
          </w:rPr>
          <w:t>Upju baseinu apgabalu</w:t>
        </w:r>
        <w:r w:rsidRPr="007D603C">
          <w:rPr>
            <w:rStyle w:val="Hipersaite"/>
            <w:rFonts w:ascii="Times New Roman" w:hAnsi="Times New Roman" w:cs="Times New Roman"/>
          </w:rPr>
          <w:t xml:space="preserve"> </w:t>
        </w:r>
        <w:r w:rsidRPr="007D603C">
          <w:rPr>
            <w:rStyle w:val="Hipersaite"/>
            <w:rFonts w:ascii="Times New Roman" w:hAnsi="Times New Roman" w:cs="Times New Roman"/>
          </w:rPr>
          <w:t>apsaimnieko</w:t>
        </w:r>
        <w:r w:rsidRPr="007D603C">
          <w:rPr>
            <w:rStyle w:val="Hipersaite"/>
            <w:rFonts w:ascii="Times New Roman" w:hAnsi="Times New Roman" w:cs="Times New Roman"/>
          </w:rPr>
          <w:t>š</w:t>
        </w:r>
        <w:r w:rsidRPr="007D603C">
          <w:rPr>
            <w:rStyle w:val="Hipersaite"/>
            <w:rFonts w:ascii="Times New Roman" w:hAnsi="Times New Roman" w:cs="Times New Roman"/>
          </w:rPr>
          <w:t>anas un plūdu riska pārvaldības plāni 2022.-2027. gadam</w:t>
        </w:r>
      </w:hyperlink>
    </w:p>
  </w:footnote>
  <w:footnote w:id="26">
    <w:p w14:paraId="454AE742" w14:textId="26788DA2"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4" w:history="1">
        <w:r w:rsidRPr="007D603C">
          <w:rPr>
            <w:rStyle w:val="Hipersaite"/>
            <w:rFonts w:ascii="Times New Roman" w:hAnsi="Times New Roman" w:cs="Times New Roman"/>
          </w:rPr>
          <w:t>Prasības zaļajam publ</w:t>
        </w:r>
        <w:r w:rsidRPr="007D603C">
          <w:rPr>
            <w:rStyle w:val="Hipersaite"/>
            <w:rFonts w:ascii="Times New Roman" w:hAnsi="Times New Roman" w:cs="Times New Roman"/>
          </w:rPr>
          <w:t>i</w:t>
        </w:r>
        <w:r w:rsidRPr="007D603C">
          <w:rPr>
            <w:rStyle w:val="Hipersaite"/>
            <w:rFonts w:ascii="Times New Roman" w:hAnsi="Times New Roman" w:cs="Times New Roman"/>
          </w:rPr>
          <w:t>skajam iepirkumam un to piemērošanas kārtība (likumi.lv)</w:t>
        </w:r>
      </w:hyperlink>
    </w:p>
  </w:footnote>
  <w:footnote w:id="27">
    <w:p w14:paraId="64238786" w14:textId="1751C98C"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5" w:history="1">
        <w:proofErr w:type="spellStart"/>
        <w:r w:rsidRPr="007D603C">
          <w:rPr>
            <w:rStyle w:val="Hipersaite"/>
            <w:rFonts w:ascii="Times New Roman" w:hAnsi="Times New Roman" w:cs="Times New Roman"/>
          </w:rPr>
          <w:t>VVD</w:t>
        </w:r>
        <w:proofErr w:type="spellEnd"/>
        <w:r w:rsidRPr="007D603C">
          <w:rPr>
            <w:rStyle w:val="Hipersaite"/>
            <w:rFonts w:ascii="Times New Roman" w:hAnsi="Times New Roman" w:cs="Times New Roman"/>
          </w:rPr>
          <w:t xml:space="preserve"> | Lēmumi par IV</w:t>
        </w:r>
        <w:r w:rsidRPr="007D603C">
          <w:rPr>
            <w:rStyle w:val="Hipersaite"/>
            <w:rFonts w:ascii="Times New Roman" w:hAnsi="Times New Roman" w:cs="Times New Roman"/>
          </w:rPr>
          <w:t>N</w:t>
        </w:r>
        <w:r w:rsidRPr="007D603C">
          <w:rPr>
            <w:rStyle w:val="Hipersaite"/>
            <w:rFonts w:ascii="Times New Roman" w:hAnsi="Times New Roman" w:cs="Times New Roman"/>
          </w:rPr>
          <w:t xml:space="preserve"> piemērošanu</w:t>
        </w:r>
      </w:hyperlink>
    </w:p>
  </w:footnote>
  <w:footnote w:id="28">
    <w:p w14:paraId="1472B321" w14:textId="5704BCFF"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6" w:history="1">
        <w:r w:rsidRPr="007D603C">
          <w:rPr>
            <w:rStyle w:val="Hipersaite"/>
            <w:rFonts w:ascii="Times New Roman" w:hAnsi="Times New Roman" w:cs="Times New Roman"/>
          </w:rPr>
          <w:t>Ietekmes uz vidi novērtējumu projekti | Vid</w:t>
        </w:r>
        <w:r w:rsidRPr="007D603C">
          <w:rPr>
            <w:rStyle w:val="Hipersaite"/>
            <w:rFonts w:ascii="Times New Roman" w:hAnsi="Times New Roman" w:cs="Times New Roman"/>
          </w:rPr>
          <w:t>e</w:t>
        </w:r>
        <w:r w:rsidRPr="007D603C">
          <w:rPr>
            <w:rStyle w:val="Hipersaite"/>
            <w:rFonts w:ascii="Times New Roman" w:hAnsi="Times New Roman" w:cs="Times New Roman"/>
          </w:rPr>
          <w:t>s pārraudzības valsts birojs (</w:t>
        </w:r>
        <w:proofErr w:type="spellStart"/>
        <w:r w:rsidRPr="007D603C">
          <w:rPr>
            <w:rStyle w:val="Hipersaite"/>
            <w:rFonts w:ascii="Times New Roman" w:hAnsi="Times New Roman" w:cs="Times New Roman"/>
          </w:rPr>
          <w:t>vpvb.gov.lv</w:t>
        </w:r>
        <w:proofErr w:type="spellEnd"/>
        <w:r w:rsidRPr="007D603C">
          <w:rPr>
            <w:rStyle w:val="Hipersaite"/>
            <w:rFonts w:ascii="Times New Roman" w:hAnsi="Times New Roman" w:cs="Times New Roman"/>
          </w:rPr>
          <w:t>)</w:t>
        </w:r>
      </w:hyperlink>
    </w:p>
  </w:footnote>
  <w:footnote w:id="29">
    <w:p w14:paraId="60A5003D" w14:textId="4DDE652A"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7" w:history="1">
        <w:proofErr w:type="spellStart"/>
        <w:r w:rsidRPr="007D603C">
          <w:rPr>
            <w:rStyle w:val="Hipersaite"/>
            <w:rFonts w:ascii="Times New Roman" w:hAnsi="Times New Roman" w:cs="Times New Roman"/>
          </w:rPr>
          <w:t>VVD</w:t>
        </w:r>
        <w:proofErr w:type="spellEnd"/>
        <w:r w:rsidRPr="007D603C">
          <w:rPr>
            <w:rStyle w:val="Hipersaite"/>
            <w:rFonts w:ascii="Times New Roman" w:hAnsi="Times New Roman" w:cs="Times New Roman"/>
          </w:rPr>
          <w:t xml:space="preserve"> | Atļauju un licenču me</w:t>
        </w:r>
        <w:r w:rsidRPr="007D603C">
          <w:rPr>
            <w:rStyle w:val="Hipersaite"/>
            <w:rFonts w:ascii="Times New Roman" w:hAnsi="Times New Roman" w:cs="Times New Roman"/>
          </w:rPr>
          <w:t>k</w:t>
        </w:r>
        <w:r w:rsidRPr="007D603C">
          <w:rPr>
            <w:rStyle w:val="Hipersaite"/>
            <w:rFonts w:ascii="Times New Roman" w:hAnsi="Times New Roman" w:cs="Times New Roman"/>
          </w:rPr>
          <w:t>lētājs</w:t>
        </w:r>
      </w:hyperlink>
    </w:p>
  </w:footnote>
  <w:footnote w:id="30">
    <w:p w14:paraId="5A686827" w14:textId="7865D923"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8" w:history="1">
        <w:r w:rsidRPr="007D603C">
          <w:rPr>
            <w:rStyle w:val="Hipersaite"/>
            <w:rFonts w:ascii="Times New Roman" w:hAnsi="Times New Roman" w:cs="Times New Roman"/>
          </w:rPr>
          <w:t>Informācijas nodrošināšana par labākajie</w:t>
        </w:r>
        <w:r w:rsidRPr="007D603C">
          <w:rPr>
            <w:rStyle w:val="Hipersaite"/>
            <w:rFonts w:ascii="Times New Roman" w:hAnsi="Times New Roman" w:cs="Times New Roman"/>
          </w:rPr>
          <w:t>m</w:t>
        </w:r>
        <w:r w:rsidRPr="007D603C">
          <w:rPr>
            <w:rStyle w:val="Hipersaite"/>
            <w:rFonts w:ascii="Times New Roman" w:hAnsi="Times New Roman" w:cs="Times New Roman"/>
          </w:rPr>
          <w:t xml:space="preserve"> pieejamajiem tehniskajiem paņēmieniem (</w:t>
        </w:r>
        <w:proofErr w:type="spellStart"/>
        <w:r w:rsidRPr="007D603C">
          <w:rPr>
            <w:rStyle w:val="Hipersaite"/>
            <w:rFonts w:ascii="Times New Roman" w:hAnsi="Times New Roman" w:cs="Times New Roman"/>
          </w:rPr>
          <w:t>LPTP</w:t>
        </w:r>
        <w:proofErr w:type="spellEnd"/>
        <w:r w:rsidRPr="007D603C">
          <w:rPr>
            <w:rStyle w:val="Hipersaite"/>
            <w:rFonts w:ascii="Times New Roman" w:hAnsi="Times New Roman" w:cs="Times New Roman"/>
          </w:rPr>
          <w:t>) | Vides pārraudzības valsts birojs (</w:t>
        </w:r>
        <w:proofErr w:type="spellStart"/>
        <w:r w:rsidRPr="007D603C">
          <w:rPr>
            <w:rStyle w:val="Hipersaite"/>
            <w:rFonts w:ascii="Times New Roman" w:hAnsi="Times New Roman" w:cs="Times New Roman"/>
          </w:rPr>
          <w:t>vpvb.gov.lv</w:t>
        </w:r>
        <w:proofErr w:type="spellEnd"/>
        <w:r w:rsidRPr="007D603C">
          <w:rPr>
            <w:rStyle w:val="Hipersaite"/>
            <w:rFonts w:ascii="Times New Roman" w:hAnsi="Times New Roman" w:cs="Times New Roman"/>
          </w:rPr>
          <w:t>)</w:t>
        </w:r>
      </w:hyperlink>
    </w:p>
  </w:footnote>
  <w:footnote w:id="31">
    <w:p w14:paraId="21C97224" w14:textId="614BA8F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9" w:history="1">
        <w:r w:rsidRPr="007D603C">
          <w:rPr>
            <w:rStyle w:val="Hipersaite"/>
            <w:rFonts w:ascii="Times New Roman" w:hAnsi="Times New Roman" w:cs="Times New Roman"/>
          </w:rPr>
          <w:t>Atkritumu dalītas savākšanas, sagatavošana</w:t>
        </w:r>
        <w:r w:rsidRPr="007D603C">
          <w:rPr>
            <w:rStyle w:val="Hipersaite"/>
            <w:rFonts w:ascii="Times New Roman" w:hAnsi="Times New Roman" w:cs="Times New Roman"/>
          </w:rPr>
          <w:t>s</w:t>
        </w:r>
        <w:r w:rsidRPr="007D603C">
          <w:rPr>
            <w:rStyle w:val="Hipersaite"/>
            <w:rFonts w:ascii="Times New Roman" w:hAnsi="Times New Roman" w:cs="Times New Roman"/>
          </w:rPr>
          <w:t xml:space="preserve"> atkārtotai izmantošanai, pārstrādes un materiālu reģenerācijas noteikumi (likumi.lv)</w:t>
        </w:r>
      </w:hyperlink>
    </w:p>
  </w:footnote>
  <w:footnote w:id="32">
    <w:p w14:paraId="6C72B5A5" w14:textId="7D10D3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0" w:history="1">
        <w:r w:rsidRPr="007D603C">
          <w:rPr>
            <w:rStyle w:val="Hipersaite"/>
            <w:rFonts w:ascii="Times New Roman" w:hAnsi="Times New Roman" w:cs="Times New Roman"/>
          </w:rPr>
          <w:t>Noteikumi par koku ciršanu ārpu</w:t>
        </w:r>
        <w:r w:rsidRPr="007D603C">
          <w:rPr>
            <w:rStyle w:val="Hipersaite"/>
            <w:rFonts w:ascii="Times New Roman" w:hAnsi="Times New Roman" w:cs="Times New Roman"/>
          </w:rPr>
          <w:t>s</w:t>
        </w:r>
        <w:r w:rsidRPr="007D603C">
          <w:rPr>
            <w:rStyle w:val="Hipersaite"/>
            <w:rFonts w:ascii="Times New Roman" w:hAnsi="Times New Roman" w:cs="Times New Roman"/>
          </w:rPr>
          <w:t xml:space="preserve"> meža (likumi.lv)</w:t>
        </w:r>
      </w:hyperlink>
    </w:p>
  </w:footnote>
  <w:footnote w:id="33">
    <w:p w14:paraId="123B2CB0" w14:textId="5B94636B"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1" w:history="1">
        <w:r w:rsidRPr="007D603C">
          <w:rPr>
            <w:rStyle w:val="Hipersaite"/>
            <w:rFonts w:ascii="Times New Roman" w:eastAsia="Times New Roman" w:hAnsi="Times New Roman" w:cs="Times New Roman"/>
            <w:kern w:val="0"/>
            <w:lang w:eastAsia="lv-LV"/>
            <w14:ligatures w14:val="none"/>
          </w:rPr>
          <w:t>Metodiskie norādījumi enerģijas ietaupīj</w:t>
        </w:r>
        <w:r w:rsidRPr="007D603C">
          <w:rPr>
            <w:rStyle w:val="Hipersaite"/>
            <w:rFonts w:ascii="Times New Roman" w:eastAsia="Times New Roman" w:hAnsi="Times New Roman" w:cs="Times New Roman"/>
            <w:kern w:val="0"/>
            <w:lang w:eastAsia="lv-LV"/>
            <w14:ligatures w14:val="none"/>
          </w:rPr>
          <w:t>u</w:t>
        </w:r>
        <w:r w:rsidRPr="007D603C">
          <w:rPr>
            <w:rStyle w:val="Hipersaite"/>
            <w:rFonts w:ascii="Times New Roman" w:eastAsia="Times New Roman" w:hAnsi="Times New Roman" w:cs="Times New Roman"/>
            <w:kern w:val="0"/>
            <w:lang w:eastAsia="lv-LV"/>
            <w14:ligatures w14:val="none"/>
          </w:rPr>
          <w:t>m</w:t>
        </w:r>
        <w:r w:rsidRPr="007D603C">
          <w:rPr>
            <w:rStyle w:val="Hipersaite"/>
            <w:rFonts w:ascii="Times New Roman" w:eastAsia="Times New Roman" w:hAnsi="Times New Roman" w:cs="Times New Roman"/>
            <w:kern w:val="0"/>
            <w:lang w:eastAsia="lv-LV"/>
            <w14:ligatures w14:val="none"/>
          </w:rPr>
          <w:t>u</w:t>
        </w:r>
        <w:r w:rsidRPr="007D603C">
          <w:rPr>
            <w:rStyle w:val="Hipersaite"/>
            <w:rFonts w:ascii="Times New Roman" w:eastAsia="Times New Roman" w:hAnsi="Times New Roman" w:cs="Times New Roman"/>
            <w:kern w:val="0"/>
            <w:lang w:eastAsia="lv-LV"/>
            <w14:ligatures w14:val="none"/>
          </w:rPr>
          <w:t xml:space="preserve"> ziņošanai un aprēķināšanai</w:t>
        </w:r>
      </w:hyperlink>
      <w:r w:rsidRPr="007D603C">
        <w:rPr>
          <w:rFonts w:ascii="Times New Roman" w:eastAsia="Times New Roman" w:hAnsi="Times New Roman" w:cs="Times New Roman"/>
          <w:kern w:val="0"/>
          <w:lang w:eastAsia="lv-LV"/>
          <w14:ligatures w14:val="none"/>
        </w:rPr>
        <w:t>.</w:t>
      </w:r>
    </w:p>
  </w:footnote>
  <w:footnote w:id="34">
    <w:p w14:paraId="797CBD97" w14:textId="0B8E339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2" w:history="1">
        <w:r w:rsidRPr="007D603C">
          <w:rPr>
            <w:rStyle w:val="Hipersaite"/>
            <w:rFonts w:ascii="Times New Roman" w:hAnsi="Times New Roman" w:cs="Times New Roman"/>
          </w:rPr>
          <w:t>Pašvaldību klimatiskie raksturojumi :: Kl</w:t>
        </w:r>
        <w:r w:rsidRPr="007D603C">
          <w:rPr>
            <w:rStyle w:val="Hipersaite"/>
            <w:rFonts w:ascii="Times New Roman" w:hAnsi="Times New Roman" w:cs="Times New Roman"/>
          </w:rPr>
          <w:t>i</w:t>
        </w:r>
        <w:r w:rsidRPr="007D603C">
          <w:rPr>
            <w:rStyle w:val="Hipersaite"/>
            <w:rFonts w:ascii="Times New Roman" w:hAnsi="Times New Roman" w:cs="Times New Roman"/>
          </w:rPr>
          <w:t>mata portāls (</w:t>
        </w:r>
        <w:proofErr w:type="spellStart"/>
        <w:r w:rsidRPr="007D603C">
          <w:rPr>
            <w:rStyle w:val="Hipersaite"/>
            <w:rFonts w:ascii="Times New Roman" w:hAnsi="Times New Roman" w:cs="Times New Roman"/>
          </w:rPr>
          <w:t>meteo.lv</w:t>
        </w:r>
        <w:proofErr w:type="spellEnd"/>
        <w:r w:rsidRPr="007D603C">
          <w:rPr>
            <w:rStyle w:val="Hipersaite"/>
            <w:rFonts w:ascii="Times New Roman" w:hAnsi="Times New Roman" w:cs="Times New Roman"/>
          </w:rPr>
          <w:t>)</w:t>
        </w:r>
      </w:hyperlink>
    </w:p>
  </w:footnote>
  <w:footnote w:id="35">
    <w:p w14:paraId="03E10438" w14:textId="76744A2F"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3" w:history="1">
        <w:proofErr w:type="spellStart"/>
        <w:r w:rsidRPr="007D603C">
          <w:rPr>
            <w:rStyle w:val="Hipersaite"/>
            <w:rFonts w:ascii="Times New Roman" w:hAnsi="Times New Roman" w:cs="Times New Roman"/>
          </w:rPr>
          <w:t>LVĢMC</w:t>
        </w:r>
        <w:proofErr w:type="spellEnd"/>
        <w:r w:rsidRPr="007D603C">
          <w:rPr>
            <w:rStyle w:val="Hipersaite"/>
            <w:rFonts w:ascii="Times New Roman" w:hAnsi="Times New Roman" w:cs="Times New Roman"/>
          </w:rPr>
          <w:t xml:space="preserve"> Latvijas Vides ģeoloģijas un meteo</w:t>
        </w:r>
        <w:r w:rsidRPr="007D603C">
          <w:rPr>
            <w:rStyle w:val="Hipersaite"/>
            <w:rFonts w:ascii="Times New Roman" w:hAnsi="Times New Roman" w:cs="Times New Roman"/>
          </w:rPr>
          <w:t>r</w:t>
        </w:r>
        <w:r w:rsidRPr="007D603C">
          <w:rPr>
            <w:rStyle w:val="Hipersaite"/>
            <w:rFonts w:ascii="Times New Roman" w:hAnsi="Times New Roman" w:cs="Times New Roman"/>
          </w:rPr>
          <w:t>oloģijas centrs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p>
  </w:footnote>
  <w:footnote w:id="36">
    <w:p w14:paraId="6C8465FC" w14:textId="31E470C5"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4" w:history="1">
        <w:r w:rsidRPr="007D603C">
          <w:rPr>
            <w:rStyle w:val="Hipersaite"/>
            <w:rFonts w:ascii="Times New Roman" w:hAnsi="Times New Roman" w:cs="Times New Roman"/>
          </w:rPr>
          <w:t>Ceļvedis iekļaujošas vides veidošanai valsts un pašv</w:t>
        </w:r>
        <w:r w:rsidRPr="007D603C">
          <w:rPr>
            <w:rStyle w:val="Hipersaite"/>
            <w:rFonts w:ascii="Times New Roman" w:hAnsi="Times New Roman" w:cs="Times New Roman"/>
          </w:rPr>
          <w:t>a</w:t>
        </w:r>
        <w:r w:rsidRPr="007D603C">
          <w:rPr>
            <w:rStyle w:val="Hipersaite"/>
            <w:rFonts w:ascii="Times New Roman" w:hAnsi="Times New Roman" w:cs="Times New Roman"/>
          </w:rPr>
          <w:t>ldību iestādēs (2020) | Labklājības ministrija (lm.gov.lv)</w:t>
        </w:r>
      </w:hyperlink>
    </w:p>
  </w:footnote>
  <w:footnote w:id="37">
    <w:p w14:paraId="0F6ADF49" w14:textId="332E660D"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5" w:history="1">
        <w:r w:rsidRPr="007D603C">
          <w:rPr>
            <w:rStyle w:val="Hipersaite"/>
            <w:rFonts w:ascii="Times New Roman" w:hAnsi="Times New Roman" w:cs="Times New Roman"/>
          </w:rPr>
          <w:t>Ieteikumi diskrimināciju un stereotipus mazinošai komunikācijai ar sabie</w:t>
        </w:r>
        <w:r w:rsidRPr="007D603C">
          <w:rPr>
            <w:rStyle w:val="Hipersaite"/>
            <w:rFonts w:ascii="Times New Roman" w:hAnsi="Times New Roman" w:cs="Times New Roman"/>
          </w:rPr>
          <w:t>d</w:t>
        </w:r>
        <w:r w:rsidRPr="007D603C">
          <w:rPr>
            <w:rStyle w:val="Hipersaite"/>
            <w:rFonts w:ascii="Times New Roman" w:hAnsi="Times New Roman" w:cs="Times New Roman"/>
          </w:rPr>
          <w:t>rību (22.11.2022.) | Labklājības ministrija (lm.gov.lv)</w:t>
        </w:r>
      </w:hyperlink>
    </w:p>
  </w:footnote>
  <w:footnote w:id="38">
    <w:p w14:paraId="4F655F09" w14:textId="71F79258"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6" w:history="1">
        <w:r w:rsidRPr="007D603C">
          <w:rPr>
            <w:rStyle w:val="Hipersaite"/>
            <w:rFonts w:ascii="Times New Roman" w:hAnsi="Times New Roman" w:cs="Times New Roman"/>
          </w:rPr>
          <w:t>Tīmekļvietnes izvērtējums atbilstoši digitālās vides piekļūstam</w:t>
        </w:r>
        <w:r w:rsidRPr="007D603C">
          <w:rPr>
            <w:rStyle w:val="Hipersaite"/>
            <w:rFonts w:ascii="Times New Roman" w:hAnsi="Times New Roman" w:cs="Times New Roman"/>
          </w:rPr>
          <w:t>ī</w:t>
        </w:r>
        <w:r w:rsidRPr="007D603C">
          <w:rPr>
            <w:rStyle w:val="Hipersaite"/>
            <w:rFonts w:ascii="Times New Roman" w:hAnsi="Times New Roman" w:cs="Times New Roman"/>
          </w:rPr>
          <w:t>bas prasībām (WCAG 2.1 AA) (varam.gov.lv)</w:t>
        </w:r>
      </w:hyperlink>
    </w:p>
  </w:footnote>
  <w:footnote w:id="39">
    <w:p w14:paraId="749C1DAF" w14:textId="4D437FD5"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7" w:history="1">
        <w:r w:rsidRPr="007D603C">
          <w:rPr>
            <w:rStyle w:val="Hipersaite"/>
            <w:rFonts w:ascii="Times New Roman" w:hAnsi="Times New Roman" w:cs="Times New Roman"/>
          </w:rPr>
          <w:t>Tīmekļvietņu un mobilo lietotņu piekļūstamī</w:t>
        </w:r>
        <w:r w:rsidRPr="007D603C">
          <w:rPr>
            <w:rStyle w:val="Hipersaite"/>
            <w:rFonts w:ascii="Times New Roman" w:hAnsi="Times New Roman" w:cs="Times New Roman"/>
          </w:rPr>
          <w:t>b</w:t>
        </w:r>
        <w:r w:rsidRPr="007D603C">
          <w:rPr>
            <w:rStyle w:val="Hipersaite"/>
            <w:rFonts w:ascii="Times New Roman" w:hAnsi="Times New Roman" w:cs="Times New Roman"/>
          </w:rPr>
          <w:t>a | Vides aizsardzības un reģionālās attīstības ministrija (varam.gov.lv)</w:t>
        </w:r>
      </w:hyperlink>
    </w:p>
  </w:footnote>
  <w:footnote w:id="40">
    <w:p w14:paraId="0805415E" w14:textId="54E9B43A"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8" w:history="1">
        <w:r w:rsidRPr="007D603C">
          <w:rPr>
            <w:rStyle w:val="Hipersaite"/>
            <w:rFonts w:ascii="Times New Roman" w:hAnsi="Times New Roman" w:cs="Times New Roman"/>
          </w:rPr>
          <w:t>Vadlīnijas horizontālā principa “Vienlī</w:t>
        </w:r>
        <w:r w:rsidRPr="007D603C">
          <w:rPr>
            <w:rStyle w:val="Hipersaite"/>
            <w:rFonts w:ascii="Times New Roman" w:hAnsi="Times New Roman" w:cs="Times New Roman"/>
          </w:rPr>
          <w:t>d</w:t>
        </w:r>
        <w:r w:rsidRPr="007D603C">
          <w:rPr>
            <w:rStyle w:val="Hipersaite"/>
            <w:rFonts w:ascii="Times New Roman" w:hAnsi="Times New Roman" w:cs="Times New Roman"/>
          </w:rPr>
          <w:t>zība, iekļaušana, nediskriminācija un pamattiesību ievērošana” īstenošanai un uzraudzībai (2021-2027)” | Labklājības ministrija (lm.gov.lv)</w:t>
        </w:r>
      </w:hyperlink>
    </w:p>
  </w:footnote>
  <w:footnote w:id="41">
    <w:p w14:paraId="29EBAED0" w14:textId="72D289FE" w:rsidR="00F80915" w:rsidRPr="007D603C" w:rsidRDefault="00F80915" w:rsidP="00640025">
      <w:pPr>
        <w:pStyle w:val="Vresteksts"/>
        <w:jc w:val="both"/>
        <w:rPr>
          <w:rFonts w:ascii="Times New Roman" w:hAnsi="Times New Roman" w:cs="Times New Roman"/>
        </w:rPr>
      </w:pPr>
      <w:r w:rsidRPr="007D603C">
        <w:rPr>
          <w:rStyle w:val="Vresatsauce"/>
        </w:rPr>
        <w:footnoteRef/>
      </w:r>
      <w:r w:rsidR="00640025" w:rsidRPr="007D603C">
        <w:rPr>
          <w:rStyle w:val="normaltextrun"/>
          <w:rFonts w:ascii="Times New Roman" w:hAnsi="Times New Roman" w:cs="Times New Roman"/>
          <w:color w:val="000000"/>
          <w:shd w:val="clear" w:color="auto" w:fill="FFFFFF"/>
        </w:rPr>
        <w:t xml:space="preserve"> </w:t>
      </w:r>
      <w:r w:rsidRPr="007D603C">
        <w:rPr>
          <w:rStyle w:val="eop"/>
          <w:rFonts w:ascii="Times New Roman" w:hAnsi="Times New Roman" w:cs="Times New Roman"/>
          <w:color w:val="000000"/>
          <w:shd w:val="clear" w:color="auto" w:fill="FFFFFF"/>
        </w:rPr>
        <w:t> </w:t>
      </w:r>
      <w:r w:rsidR="00640025" w:rsidRPr="007D603C">
        <w:rPr>
          <w:rStyle w:val="eop"/>
          <w:rFonts w:ascii="Times New Roman" w:hAnsi="Times New Roman" w:cs="Times New Roman"/>
          <w:color w:val="000000"/>
          <w:shd w:val="clear" w:color="auto" w:fill="FFFFFF"/>
        </w:rPr>
        <w:t>Gadījumā, ja Eiropas Parlaments un Padome vienojas par atšķirīgu prasību piemērošanu Padomes 1991. gada 21. maija Direktīvas 91/271/EEK par komunālo notekūdeņu attīrīšanu pārskatīšanas rezultātā, kritērija redakcija ir tehniski precizējama, iekļaujot aglomerāciju grupai ar ienākošo piesārņojuma slodzi cilvēkekvivalentos 10 000 – 100 000 piemērojamās prasības.</w:t>
      </w:r>
    </w:p>
  </w:footnote>
  <w:footnote w:id="42">
    <w:p w14:paraId="25170B52" w14:textId="66FB560C" w:rsidR="000710F5" w:rsidRPr="007D603C" w:rsidRDefault="000710F5" w:rsidP="003574F9">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Ja iegūtā aprēķina rezultātā otrais cipars aiz komata ir 5 vai vairāk, rezultātu noapaļo uz augšu, bet, ja rezultātā otrais cipars aiz komata ir 4 vai mazāk, rezultātu noapaļo uz leju (piemēram, rezultātu 4.52 noapaļo uz 4.5, bet rezultātu 4.36 noapaļo uz 4.4).</w:t>
      </w:r>
    </w:p>
  </w:footnote>
  <w:footnote w:id="43">
    <w:p w14:paraId="7874BD4C" w14:textId="0BF223D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9" w:history="1">
        <w:r w:rsidRPr="007D603C">
          <w:rPr>
            <w:rStyle w:val="Hipersaite"/>
            <w:rFonts w:ascii="Times New Roman" w:hAnsi="Times New Roman" w:cs="Times New Roman"/>
          </w:rPr>
          <w:t>Ūdens kvalitāte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p>
  </w:footnote>
  <w:footnote w:id="44">
    <w:p w14:paraId="404561FA" w14:textId="41D5249C"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30" w:history="1">
        <w:r w:rsidRPr="007D603C">
          <w:rPr>
            <w:rStyle w:val="Hipersaite"/>
            <w:rFonts w:ascii="Times New Roman" w:hAnsi="Times New Roman" w:cs="Times New Roman"/>
          </w:rPr>
          <w:t>Noteikumi par riska ūdensobjek</w:t>
        </w:r>
        <w:r w:rsidRPr="007D603C">
          <w:rPr>
            <w:rStyle w:val="Hipersaite"/>
            <w:rFonts w:ascii="Times New Roman" w:hAnsi="Times New Roman" w:cs="Times New Roman"/>
          </w:rPr>
          <w:t>t</w:t>
        </w:r>
        <w:r w:rsidRPr="007D603C">
          <w:rPr>
            <w:rStyle w:val="Hipersaite"/>
            <w:rFonts w:ascii="Times New Roman" w:hAnsi="Times New Roman" w:cs="Times New Roman"/>
          </w:rPr>
          <w:t>iem (likumi.lv)</w:t>
        </w:r>
      </w:hyperlink>
    </w:p>
  </w:footnote>
  <w:footnote w:id="45">
    <w:p w14:paraId="40CC96A7" w14:textId="28EA5182"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31" w:history="1">
        <w:r w:rsidRPr="007D603C">
          <w:rPr>
            <w:rStyle w:val="Hipersaite"/>
            <w:rFonts w:ascii="Times New Roman" w:hAnsi="Times New Roman" w:cs="Times New Roman"/>
          </w:rPr>
          <w:t>Latvijas ūdens obje</w:t>
        </w:r>
        <w:r w:rsidRPr="007D603C">
          <w:rPr>
            <w:rStyle w:val="Hipersaite"/>
            <w:rFonts w:ascii="Times New Roman" w:hAnsi="Times New Roman" w:cs="Times New Roman"/>
          </w:rPr>
          <w:t>k</w:t>
        </w:r>
        <w:r w:rsidRPr="007D603C">
          <w:rPr>
            <w:rStyle w:val="Hipersaite"/>
            <w:rFonts w:ascii="Times New Roman" w:hAnsi="Times New Roman" w:cs="Times New Roman"/>
          </w:rPr>
          <w:t>tu un sateces baseinu karte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p>
  </w:footnote>
  <w:footnote w:id="46">
    <w:p w14:paraId="03BC4E8D" w14:textId="777777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654FF580" w:rsidRPr="007D603C">
        <w:rPr>
          <w:rFonts w:ascii="Times New Roman" w:hAnsi="Times New Roman" w:cs="Times New Roman"/>
        </w:rPr>
        <w:t xml:space="preserve"> </w:t>
      </w:r>
      <w:hyperlink r:id="rId32" w:history="1">
        <w:r w:rsidR="654FF580" w:rsidRPr="007D603C">
          <w:rPr>
            <w:rStyle w:val="Hipersaite"/>
            <w:rFonts w:ascii="Times New Roman" w:hAnsi="Times New Roman" w:cs="Times New Roman"/>
          </w:rPr>
          <w:t>OZOLS publiskās p</w:t>
        </w:r>
        <w:r w:rsidR="654FF580" w:rsidRPr="007D603C">
          <w:rPr>
            <w:rStyle w:val="Hipersaite"/>
            <w:rFonts w:ascii="Times New Roman" w:hAnsi="Times New Roman" w:cs="Times New Roman"/>
          </w:rPr>
          <w:t>i</w:t>
        </w:r>
        <w:r w:rsidR="654FF580" w:rsidRPr="007D603C">
          <w:rPr>
            <w:rStyle w:val="Hipersaite"/>
            <w:rFonts w:ascii="Times New Roman" w:hAnsi="Times New Roman" w:cs="Times New Roman"/>
          </w:rPr>
          <w:t>eejas versija</w:t>
        </w:r>
      </w:hyperlink>
    </w:p>
  </w:footnote>
  <w:footnote w:id="47">
    <w:p w14:paraId="6A1E2E71" w14:textId="77777777" w:rsidR="003A4204" w:rsidRPr="007D603C" w:rsidRDefault="003A4204">
      <w:pPr>
        <w:pStyle w:val="Vresteksts"/>
        <w:rPr>
          <w:rFonts w:ascii="Times New Roman" w:hAnsi="Times New Roman" w:cs="Times New Roman"/>
        </w:rPr>
      </w:pPr>
      <w:r w:rsidRPr="007D603C">
        <w:rPr>
          <w:rStyle w:val="Vresatsauce"/>
        </w:rPr>
        <w:footnoteRef/>
      </w:r>
      <w:r w:rsidRPr="007D603C">
        <w:t xml:space="preserve"> </w:t>
      </w:r>
      <w:r w:rsidR="00EE263F" w:rsidRPr="007D603C">
        <w:rPr>
          <w:rFonts w:ascii="Times New Roman" w:hAnsi="Times New Roman" w:cs="Times New Roman"/>
        </w:rPr>
        <w:t>Gadījumā, ja Eiropas Parlaments un Padome vienojas par atšķirīgu prasību piemērošanu Padomes 1991. gada 21. maija Direktīvas 91/271/EEK par komunālo notekūdeņu attīrīšanu pārskatīšanas rezultātā, kritērija redakcija ir tehniski precizējama, iekļaujot aglomerāciju grupai ar ienākošo piesārņojuma slodzi cilvēkekvivalentos 10 000 – 100 000 piemērojamās prasības.</w:t>
      </w:r>
    </w:p>
  </w:footnote>
  <w:footnote w:id="48">
    <w:p w14:paraId="0019FDB1" w14:textId="4CA948A5" w:rsidR="000710F5" w:rsidRPr="00390CC7" w:rsidRDefault="000710F5" w:rsidP="00584C67">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Iegūtie rezultāti tiek noapaļoti līdz vienam ciparam aiz komata. Ja iegūtā aprēķina rezultātā otrais cipars aiz komata ir 5 vai vairāk, rezultātu noapaļo uz augšu, bet, ja rezultātā otrais cipars aiz komata ir 4 vai mazāk, rezultātu noapaļo uz leju (piemēram, rezultātu 4.52 noapaļo uz 4.5, bet rezultātu 4.36 noapaļo uz 4.4). </w:t>
      </w:r>
    </w:p>
  </w:footnote>
  <w:footnote w:id="49">
    <w:p w14:paraId="388A7B74" w14:textId="77777777" w:rsidR="00C023FD" w:rsidRPr="002B70AD" w:rsidDel="00424715" w:rsidRDefault="00C023FD" w:rsidP="00C023FD">
      <w:pPr>
        <w:jc w:val="both"/>
        <w:rPr>
          <w:rFonts w:ascii="Times New Roman" w:hAnsi="Times New Roman" w:cs="Times New Roman"/>
          <w:sz w:val="20"/>
          <w:szCs w:val="20"/>
        </w:rPr>
      </w:pPr>
      <w:r w:rsidRPr="001C4813">
        <w:rPr>
          <w:rStyle w:val="Vresatsauce"/>
          <w:rFonts w:ascii="Times New Roman" w:hAnsi="Times New Roman" w:cs="Times New Roman"/>
        </w:rPr>
        <w:footnoteRef/>
      </w:r>
      <w:r w:rsidRPr="001C4813">
        <w:rPr>
          <w:rFonts w:ascii="Times New Roman" w:hAnsi="Times New Roman" w:cs="Times New Roman"/>
        </w:rPr>
        <w:t xml:space="preserve"> </w:t>
      </w:r>
      <w:r w:rsidRPr="002B70AD">
        <w:rPr>
          <w:rFonts w:ascii="Times New Roman" w:hAnsi="Times New Roman" w:cs="Times New Roman"/>
          <w:sz w:val="20"/>
          <w:szCs w:val="20"/>
        </w:rPr>
        <w:t>P</w:t>
      </w:r>
      <w:r w:rsidRPr="002B70AD">
        <w:rPr>
          <w:rFonts w:ascii="Times New Roman" w:eastAsia="Segoe UI" w:hAnsi="Times New Roman" w:cs="Times New Roman"/>
          <w:sz w:val="20"/>
          <w:szCs w:val="20"/>
        </w:rPr>
        <w:t>rojekta gatavību un iepirkuma procedūras gatavību sadarbības iestāde fiksē uz projektu iesniegumu atlases pēdējo dienu, t.i., dienu, līdz kurai var iesniegt projekta iesniegumus</w:t>
      </w:r>
      <w:r w:rsidRPr="002B70AD">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F607" w14:textId="77777777" w:rsidR="00CF3927" w:rsidRPr="007D603C" w:rsidRDefault="00CF392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49C6"/>
    <w:multiLevelType w:val="hybridMultilevel"/>
    <w:tmpl w:val="EF44C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C410D"/>
    <w:multiLevelType w:val="hybridMultilevel"/>
    <w:tmpl w:val="05562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13D0C"/>
    <w:multiLevelType w:val="hybridMultilevel"/>
    <w:tmpl w:val="7DD83D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65CD4"/>
    <w:multiLevelType w:val="hybridMultilevel"/>
    <w:tmpl w:val="D9FAFED8"/>
    <w:lvl w:ilvl="0" w:tplc="5892649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435FF"/>
    <w:multiLevelType w:val="hybridMultilevel"/>
    <w:tmpl w:val="9FE47F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65459"/>
    <w:multiLevelType w:val="hybridMultilevel"/>
    <w:tmpl w:val="6B9CAF8A"/>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04090017">
      <w:start w:val="1"/>
      <w:numFmt w:val="low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19186D48"/>
    <w:multiLevelType w:val="hybridMultilevel"/>
    <w:tmpl w:val="843C526A"/>
    <w:lvl w:ilvl="0" w:tplc="076400F8">
      <w:start w:val="1"/>
      <w:numFmt w:val="decimal"/>
      <w:lvlText w:val="%1."/>
      <w:lvlJc w:val="left"/>
      <w:pPr>
        <w:ind w:left="720"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1661B4"/>
    <w:multiLevelType w:val="hybridMultilevel"/>
    <w:tmpl w:val="961A0F4E"/>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10" w15:restartNumberingAfterBreak="0">
    <w:nsid w:val="1C2851F9"/>
    <w:multiLevelType w:val="hybridMultilevel"/>
    <w:tmpl w:val="1C4CE9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76163C"/>
    <w:multiLevelType w:val="hybridMultilevel"/>
    <w:tmpl w:val="661E0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FC42B8"/>
    <w:multiLevelType w:val="hybridMultilevel"/>
    <w:tmpl w:val="95B602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A971BD"/>
    <w:multiLevelType w:val="hybridMultilevel"/>
    <w:tmpl w:val="55865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0C2D0F"/>
    <w:multiLevelType w:val="hybridMultilevel"/>
    <w:tmpl w:val="87DCA6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821342"/>
    <w:multiLevelType w:val="hybridMultilevel"/>
    <w:tmpl w:val="7F986D90"/>
    <w:lvl w:ilvl="0" w:tplc="C130CE62">
      <w:start w:val="1"/>
      <w:numFmt w:val="bullet"/>
      <w:lvlText w:val=""/>
      <w:lvlJc w:val="left"/>
      <w:pPr>
        <w:ind w:left="720" w:hanging="360"/>
      </w:pPr>
      <w:rPr>
        <w:rFonts w:ascii="Symbol" w:hAnsi="Symbol" w:hint="default"/>
        <w:sz w:val="18"/>
        <w:szCs w:val="1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273F75"/>
    <w:multiLevelType w:val="hybridMultilevel"/>
    <w:tmpl w:val="7526C6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3F3501"/>
    <w:multiLevelType w:val="hybridMultilevel"/>
    <w:tmpl w:val="66F0A0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5177A3"/>
    <w:multiLevelType w:val="hybridMultilevel"/>
    <w:tmpl w:val="682E3484"/>
    <w:lvl w:ilvl="0" w:tplc="F5F2EABC">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9961F1B"/>
    <w:multiLevelType w:val="hybridMultilevel"/>
    <w:tmpl w:val="46687582"/>
    <w:lvl w:ilvl="0" w:tplc="94C4BE5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2237F9"/>
    <w:multiLevelType w:val="hybridMultilevel"/>
    <w:tmpl w:val="3440E3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9209A9"/>
    <w:multiLevelType w:val="hybridMultilevel"/>
    <w:tmpl w:val="7BA043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3D5610"/>
    <w:multiLevelType w:val="hybridMultilevel"/>
    <w:tmpl w:val="C4B27B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036F5B"/>
    <w:multiLevelType w:val="hybridMultilevel"/>
    <w:tmpl w:val="1A28B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A52A4B"/>
    <w:multiLevelType w:val="hybridMultilevel"/>
    <w:tmpl w:val="76202A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1415452">
    <w:abstractNumId w:val="8"/>
  </w:num>
  <w:num w:numId="2" w16cid:durableId="1949316445">
    <w:abstractNumId w:val="23"/>
  </w:num>
  <w:num w:numId="3" w16cid:durableId="445319642">
    <w:abstractNumId w:val="7"/>
  </w:num>
  <w:num w:numId="4" w16cid:durableId="2107535619">
    <w:abstractNumId w:val="16"/>
  </w:num>
  <w:num w:numId="5" w16cid:durableId="1224178505">
    <w:abstractNumId w:val="28"/>
  </w:num>
  <w:num w:numId="6" w16cid:durableId="1855605056">
    <w:abstractNumId w:val="19"/>
  </w:num>
  <w:num w:numId="7" w16cid:durableId="1550216333">
    <w:abstractNumId w:val="13"/>
  </w:num>
  <w:num w:numId="8" w16cid:durableId="25521856">
    <w:abstractNumId w:val="3"/>
  </w:num>
  <w:num w:numId="9" w16cid:durableId="913927894">
    <w:abstractNumId w:val="21"/>
  </w:num>
  <w:num w:numId="10" w16cid:durableId="691032300">
    <w:abstractNumId w:val="5"/>
  </w:num>
  <w:num w:numId="11" w16cid:durableId="982345199">
    <w:abstractNumId w:val="18"/>
  </w:num>
  <w:num w:numId="12" w16cid:durableId="1698316456">
    <w:abstractNumId w:val="14"/>
  </w:num>
  <w:num w:numId="13" w16cid:durableId="783156329">
    <w:abstractNumId w:val="20"/>
  </w:num>
  <w:num w:numId="14" w16cid:durableId="294726424">
    <w:abstractNumId w:val="27"/>
  </w:num>
  <w:num w:numId="15" w16cid:durableId="1502813346">
    <w:abstractNumId w:val="10"/>
  </w:num>
  <w:num w:numId="16" w16cid:durableId="139546355">
    <w:abstractNumId w:val="0"/>
  </w:num>
  <w:num w:numId="17" w16cid:durableId="999773992">
    <w:abstractNumId w:val="22"/>
  </w:num>
  <w:num w:numId="18" w16cid:durableId="2000041304">
    <w:abstractNumId w:val="11"/>
  </w:num>
  <w:num w:numId="19" w16cid:durableId="624848258">
    <w:abstractNumId w:val="15"/>
  </w:num>
  <w:num w:numId="20" w16cid:durableId="1194658572">
    <w:abstractNumId w:val="26"/>
  </w:num>
  <w:num w:numId="21" w16cid:durableId="171457122">
    <w:abstractNumId w:val="2"/>
  </w:num>
  <w:num w:numId="22" w16cid:durableId="39092160">
    <w:abstractNumId w:val="17"/>
  </w:num>
  <w:num w:numId="23" w16cid:durableId="1266383350">
    <w:abstractNumId w:val="4"/>
  </w:num>
  <w:num w:numId="24" w16cid:durableId="1376395446">
    <w:abstractNumId w:val="12"/>
  </w:num>
  <w:num w:numId="25" w16cid:durableId="1337348647">
    <w:abstractNumId w:val="1"/>
  </w:num>
  <w:num w:numId="26" w16cid:durableId="302463252">
    <w:abstractNumId w:val="29"/>
  </w:num>
  <w:num w:numId="27" w16cid:durableId="1455363413">
    <w:abstractNumId w:val="9"/>
  </w:num>
  <w:num w:numId="28" w16cid:durableId="335348451">
    <w:abstractNumId w:val="25"/>
  </w:num>
  <w:num w:numId="29" w16cid:durableId="1356077877">
    <w:abstractNumId w:val="24"/>
  </w:num>
  <w:num w:numId="30" w16cid:durableId="98238670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02261"/>
    <w:rsid w:val="000059B4"/>
    <w:rsid w:val="00011902"/>
    <w:rsid w:val="000149CD"/>
    <w:rsid w:val="00016299"/>
    <w:rsid w:val="00021092"/>
    <w:rsid w:val="00021C8E"/>
    <w:rsid w:val="00031191"/>
    <w:rsid w:val="00032292"/>
    <w:rsid w:val="000416D7"/>
    <w:rsid w:val="00042D2C"/>
    <w:rsid w:val="000473EC"/>
    <w:rsid w:val="00050FE8"/>
    <w:rsid w:val="00051300"/>
    <w:rsid w:val="00053224"/>
    <w:rsid w:val="000602CC"/>
    <w:rsid w:val="00067409"/>
    <w:rsid w:val="000710F5"/>
    <w:rsid w:val="00071D72"/>
    <w:rsid w:val="00074700"/>
    <w:rsid w:val="00075339"/>
    <w:rsid w:val="0007565C"/>
    <w:rsid w:val="00080146"/>
    <w:rsid w:val="00080C85"/>
    <w:rsid w:val="00086671"/>
    <w:rsid w:val="000901CD"/>
    <w:rsid w:val="00092270"/>
    <w:rsid w:val="0009518F"/>
    <w:rsid w:val="0009773F"/>
    <w:rsid w:val="000A3146"/>
    <w:rsid w:val="000A38FD"/>
    <w:rsid w:val="000A797C"/>
    <w:rsid w:val="000B26BF"/>
    <w:rsid w:val="000B2B9C"/>
    <w:rsid w:val="000B3E4B"/>
    <w:rsid w:val="000B4C3D"/>
    <w:rsid w:val="000B5B81"/>
    <w:rsid w:val="000B756A"/>
    <w:rsid w:val="000C28C5"/>
    <w:rsid w:val="000C3856"/>
    <w:rsid w:val="000D28F5"/>
    <w:rsid w:val="000D3D90"/>
    <w:rsid w:val="000E0937"/>
    <w:rsid w:val="000E1BF2"/>
    <w:rsid w:val="000E23A0"/>
    <w:rsid w:val="000E7E81"/>
    <w:rsid w:val="000F02D5"/>
    <w:rsid w:val="000F1A03"/>
    <w:rsid w:val="000F1A47"/>
    <w:rsid w:val="00103335"/>
    <w:rsid w:val="00107BBF"/>
    <w:rsid w:val="00112361"/>
    <w:rsid w:val="00113158"/>
    <w:rsid w:val="001144DF"/>
    <w:rsid w:val="00114672"/>
    <w:rsid w:val="00115F84"/>
    <w:rsid w:val="00120653"/>
    <w:rsid w:val="00121299"/>
    <w:rsid w:val="0012354B"/>
    <w:rsid w:val="0012658A"/>
    <w:rsid w:val="001265C6"/>
    <w:rsid w:val="00126E37"/>
    <w:rsid w:val="001324EB"/>
    <w:rsid w:val="00132824"/>
    <w:rsid w:val="0013486D"/>
    <w:rsid w:val="0013655B"/>
    <w:rsid w:val="0014010E"/>
    <w:rsid w:val="00140173"/>
    <w:rsid w:val="00141B3A"/>
    <w:rsid w:val="00142D74"/>
    <w:rsid w:val="00145EFD"/>
    <w:rsid w:val="0015114C"/>
    <w:rsid w:val="001568F4"/>
    <w:rsid w:val="001574BC"/>
    <w:rsid w:val="00167A75"/>
    <w:rsid w:val="00174346"/>
    <w:rsid w:val="00183C11"/>
    <w:rsid w:val="001907B4"/>
    <w:rsid w:val="00192CFA"/>
    <w:rsid w:val="001933D3"/>
    <w:rsid w:val="00193BC2"/>
    <w:rsid w:val="001948DA"/>
    <w:rsid w:val="00196175"/>
    <w:rsid w:val="00197456"/>
    <w:rsid w:val="001978DA"/>
    <w:rsid w:val="001A1DA0"/>
    <w:rsid w:val="001A3322"/>
    <w:rsid w:val="001A607F"/>
    <w:rsid w:val="001A7FF3"/>
    <w:rsid w:val="001B4D6F"/>
    <w:rsid w:val="001B6809"/>
    <w:rsid w:val="001B77B4"/>
    <w:rsid w:val="001C00D3"/>
    <w:rsid w:val="001C1D51"/>
    <w:rsid w:val="001C1EB9"/>
    <w:rsid w:val="001C1F56"/>
    <w:rsid w:val="001C4813"/>
    <w:rsid w:val="001C4C39"/>
    <w:rsid w:val="001C52C7"/>
    <w:rsid w:val="001C55F2"/>
    <w:rsid w:val="001C6430"/>
    <w:rsid w:val="001C722A"/>
    <w:rsid w:val="001C7FAD"/>
    <w:rsid w:val="001D24BB"/>
    <w:rsid w:val="001D6C4C"/>
    <w:rsid w:val="001D7457"/>
    <w:rsid w:val="001E4A80"/>
    <w:rsid w:val="001E4F90"/>
    <w:rsid w:val="001E515E"/>
    <w:rsid w:val="001E7178"/>
    <w:rsid w:val="001E7444"/>
    <w:rsid w:val="001F2CE9"/>
    <w:rsid w:val="00207350"/>
    <w:rsid w:val="00207E74"/>
    <w:rsid w:val="00211B5D"/>
    <w:rsid w:val="0021282C"/>
    <w:rsid w:val="00213BF0"/>
    <w:rsid w:val="00213E69"/>
    <w:rsid w:val="00216CC8"/>
    <w:rsid w:val="002174CE"/>
    <w:rsid w:val="00226495"/>
    <w:rsid w:val="00226BF8"/>
    <w:rsid w:val="00227633"/>
    <w:rsid w:val="00237A44"/>
    <w:rsid w:val="00247CC2"/>
    <w:rsid w:val="00260592"/>
    <w:rsid w:val="0026084F"/>
    <w:rsid w:val="00262C97"/>
    <w:rsid w:val="0026371F"/>
    <w:rsid w:val="002652EF"/>
    <w:rsid w:val="00267019"/>
    <w:rsid w:val="002727F7"/>
    <w:rsid w:val="00273A7F"/>
    <w:rsid w:val="00276D95"/>
    <w:rsid w:val="0028306A"/>
    <w:rsid w:val="00283380"/>
    <w:rsid w:val="0029167B"/>
    <w:rsid w:val="00292BEA"/>
    <w:rsid w:val="002A7870"/>
    <w:rsid w:val="002B2AD4"/>
    <w:rsid w:val="002B3241"/>
    <w:rsid w:val="002B70AD"/>
    <w:rsid w:val="002C08EC"/>
    <w:rsid w:val="002C2D82"/>
    <w:rsid w:val="002C391D"/>
    <w:rsid w:val="002C4D84"/>
    <w:rsid w:val="002D18D4"/>
    <w:rsid w:val="002D61B1"/>
    <w:rsid w:val="002E5FC8"/>
    <w:rsid w:val="002F56F5"/>
    <w:rsid w:val="002F72BD"/>
    <w:rsid w:val="00303DC3"/>
    <w:rsid w:val="00307A0C"/>
    <w:rsid w:val="00310631"/>
    <w:rsid w:val="00310E4A"/>
    <w:rsid w:val="0031138C"/>
    <w:rsid w:val="00313C79"/>
    <w:rsid w:val="00314606"/>
    <w:rsid w:val="0031508D"/>
    <w:rsid w:val="00316959"/>
    <w:rsid w:val="00322F39"/>
    <w:rsid w:val="003231BD"/>
    <w:rsid w:val="00327681"/>
    <w:rsid w:val="00330411"/>
    <w:rsid w:val="00334406"/>
    <w:rsid w:val="0033746E"/>
    <w:rsid w:val="00337A9B"/>
    <w:rsid w:val="00341F5B"/>
    <w:rsid w:val="00343C6B"/>
    <w:rsid w:val="00356EFE"/>
    <w:rsid w:val="003574F9"/>
    <w:rsid w:val="00361C48"/>
    <w:rsid w:val="00363BF6"/>
    <w:rsid w:val="0036448D"/>
    <w:rsid w:val="0036643F"/>
    <w:rsid w:val="00371BC4"/>
    <w:rsid w:val="0037478D"/>
    <w:rsid w:val="00375DD4"/>
    <w:rsid w:val="00375F11"/>
    <w:rsid w:val="00390954"/>
    <w:rsid w:val="00390CC7"/>
    <w:rsid w:val="003917CA"/>
    <w:rsid w:val="003939C3"/>
    <w:rsid w:val="00396D07"/>
    <w:rsid w:val="003A071F"/>
    <w:rsid w:val="003A4204"/>
    <w:rsid w:val="003A48BE"/>
    <w:rsid w:val="003A4EB2"/>
    <w:rsid w:val="003B0032"/>
    <w:rsid w:val="003B52B5"/>
    <w:rsid w:val="003C57A9"/>
    <w:rsid w:val="003D0279"/>
    <w:rsid w:val="003D09D1"/>
    <w:rsid w:val="003E5666"/>
    <w:rsid w:val="003F082D"/>
    <w:rsid w:val="003F1908"/>
    <w:rsid w:val="003F3371"/>
    <w:rsid w:val="003F35DB"/>
    <w:rsid w:val="003F71A0"/>
    <w:rsid w:val="00400CB7"/>
    <w:rsid w:val="00402BFB"/>
    <w:rsid w:val="00405AC8"/>
    <w:rsid w:val="004078EF"/>
    <w:rsid w:val="00407AE4"/>
    <w:rsid w:val="00414317"/>
    <w:rsid w:val="00423A6C"/>
    <w:rsid w:val="00424715"/>
    <w:rsid w:val="00426596"/>
    <w:rsid w:val="0042659B"/>
    <w:rsid w:val="00427604"/>
    <w:rsid w:val="00427EE7"/>
    <w:rsid w:val="00430687"/>
    <w:rsid w:val="00433B83"/>
    <w:rsid w:val="00433FFC"/>
    <w:rsid w:val="004346A8"/>
    <w:rsid w:val="004348DE"/>
    <w:rsid w:val="00444014"/>
    <w:rsid w:val="00445321"/>
    <w:rsid w:val="004464B0"/>
    <w:rsid w:val="00453153"/>
    <w:rsid w:val="004534BF"/>
    <w:rsid w:val="00457542"/>
    <w:rsid w:val="00460E4E"/>
    <w:rsid w:val="004635E5"/>
    <w:rsid w:val="00464F4C"/>
    <w:rsid w:val="00466AA5"/>
    <w:rsid w:val="00466E60"/>
    <w:rsid w:val="004678FF"/>
    <w:rsid w:val="00470620"/>
    <w:rsid w:val="004741EC"/>
    <w:rsid w:val="00474DB5"/>
    <w:rsid w:val="004771A3"/>
    <w:rsid w:val="00477ED8"/>
    <w:rsid w:val="00480804"/>
    <w:rsid w:val="0048327F"/>
    <w:rsid w:val="00483AE2"/>
    <w:rsid w:val="004845CA"/>
    <w:rsid w:val="004901FD"/>
    <w:rsid w:val="00494BD3"/>
    <w:rsid w:val="0049789C"/>
    <w:rsid w:val="004A0DE7"/>
    <w:rsid w:val="004A47C5"/>
    <w:rsid w:val="004A6983"/>
    <w:rsid w:val="004B0074"/>
    <w:rsid w:val="004B097D"/>
    <w:rsid w:val="004B195E"/>
    <w:rsid w:val="004B26A8"/>
    <w:rsid w:val="004C093F"/>
    <w:rsid w:val="004C1628"/>
    <w:rsid w:val="004C7FA9"/>
    <w:rsid w:val="004D366A"/>
    <w:rsid w:val="004D550C"/>
    <w:rsid w:val="004E1D03"/>
    <w:rsid w:val="004E7A9A"/>
    <w:rsid w:val="004E7D72"/>
    <w:rsid w:val="004F306F"/>
    <w:rsid w:val="004F4CA9"/>
    <w:rsid w:val="004F74CB"/>
    <w:rsid w:val="004F74FE"/>
    <w:rsid w:val="005007E2"/>
    <w:rsid w:val="00501D19"/>
    <w:rsid w:val="0050465B"/>
    <w:rsid w:val="005048BD"/>
    <w:rsid w:val="00505911"/>
    <w:rsid w:val="00505E6A"/>
    <w:rsid w:val="00512730"/>
    <w:rsid w:val="00516245"/>
    <w:rsid w:val="00521795"/>
    <w:rsid w:val="0052227A"/>
    <w:rsid w:val="005326AD"/>
    <w:rsid w:val="00532CCF"/>
    <w:rsid w:val="005331C3"/>
    <w:rsid w:val="005413FE"/>
    <w:rsid w:val="00544D57"/>
    <w:rsid w:val="005520B5"/>
    <w:rsid w:val="00556354"/>
    <w:rsid w:val="005573F2"/>
    <w:rsid w:val="00565AEE"/>
    <w:rsid w:val="005721E2"/>
    <w:rsid w:val="005747A9"/>
    <w:rsid w:val="00580914"/>
    <w:rsid w:val="005829A5"/>
    <w:rsid w:val="005844C9"/>
    <w:rsid w:val="00584C67"/>
    <w:rsid w:val="00584F1E"/>
    <w:rsid w:val="0059704F"/>
    <w:rsid w:val="005A1908"/>
    <w:rsid w:val="005A31C7"/>
    <w:rsid w:val="005B02CC"/>
    <w:rsid w:val="005B08AA"/>
    <w:rsid w:val="005B16EB"/>
    <w:rsid w:val="005B50CF"/>
    <w:rsid w:val="005B6627"/>
    <w:rsid w:val="005C2411"/>
    <w:rsid w:val="005C4938"/>
    <w:rsid w:val="005D4609"/>
    <w:rsid w:val="005E4583"/>
    <w:rsid w:val="005E4FFE"/>
    <w:rsid w:val="005E7472"/>
    <w:rsid w:val="005E75D8"/>
    <w:rsid w:val="005F0DF4"/>
    <w:rsid w:val="005F4F24"/>
    <w:rsid w:val="005F55C4"/>
    <w:rsid w:val="00601626"/>
    <w:rsid w:val="006067EE"/>
    <w:rsid w:val="006112FD"/>
    <w:rsid w:val="00612704"/>
    <w:rsid w:val="00612BCB"/>
    <w:rsid w:val="00614A79"/>
    <w:rsid w:val="0062757B"/>
    <w:rsid w:val="00637AD1"/>
    <w:rsid w:val="00640025"/>
    <w:rsid w:val="006402A6"/>
    <w:rsid w:val="0064196E"/>
    <w:rsid w:val="0064430E"/>
    <w:rsid w:val="00647361"/>
    <w:rsid w:val="00650786"/>
    <w:rsid w:val="00651869"/>
    <w:rsid w:val="0065195E"/>
    <w:rsid w:val="00652313"/>
    <w:rsid w:val="00653F05"/>
    <w:rsid w:val="0065561D"/>
    <w:rsid w:val="00656398"/>
    <w:rsid w:val="00657786"/>
    <w:rsid w:val="006649D3"/>
    <w:rsid w:val="00666FDF"/>
    <w:rsid w:val="0067054F"/>
    <w:rsid w:val="0067286F"/>
    <w:rsid w:val="0068450F"/>
    <w:rsid w:val="00685E3A"/>
    <w:rsid w:val="00690C76"/>
    <w:rsid w:val="00692085"/>
    <w:rsid w:val="006952C2"/>
    <w:rsid w:val="00695832"/>
    <w:rsid w:val="006A38B6"/>
    <w:rsid w:val="006A5808"/>
    <w:rsid w:val="006A5D3B"/>
    <w:rsid w:val="006A6960"/>
    <w:rsid w:val="006B7A28"/>
    <w:rsid w:val="006C0A00"/>
    <w:rsid w:val="006C467D"/>
    <w:rsid w:val="006C7939"/>
    <w:rsid w:val="006D42C7"/>
    <w:rsid w:val="006D6297"/>
    <w:rsid w:val="006D675C"/>
    <w:rsid w:val="006E0D32"/>
    <w:rsid w:val="006E123A"/>
    <w:rsid w:val="006E2F3B"/>
    <w:rsid w:val="006E319B"/>
    <w:rsid w:val="006E34F3"/>
    <w:rsid w:val="006F25FE"/>
    <w:rsid w:val="007016E0"/>
    <w:rsid w:val="00702EA2"/>
    <w:rsid w:val="0070568A"/>
    <w:rsid w:val="007122B4"/>
    <w:rsid w:val="0071266F"/>
    <w:rsid w:val="00720D01"/>
    <w:rsid w:val="00723515"/>
    <w:rsid w:val="0072447F"/>
    <w:rsid w:val="00727589"/>
    <w:rsid w:val="007319BF"/>
    <w:rsid w:val="00734B94"/>
    <w:rsid w:val="00735412"/>
    <w:rsid w:val="007361AE"/>
    <w:rsid w:val="007437B3"/>
    <w:rsid w:val="00744AFA"/>
    <w:rsid w:val="007464B3"/>
    <w:rsid w:val="007541A5"/>
    <w:rsid w:val="007551EE"/>
    <w:rsid w:val="007573C7"/>
    <w:rsid w:val="00757EEB"/>
    <w:rsid w:val="007637B1"/>
    <w:rsid w:val="00780F48"/>
    <w:rsid w:val="00782112"/>
    <w:rsid w:val="00785309"/>
    <w:rsid w:val="00787FC5"/>
    <w:rsid w:val="007918F4"/>
    <w:rsid w:val="00792FD7"/>
    <w:rsid w:val="00793DF3"/>
    <w:rsid w:val="007959E0"/>
    <w:rsid w:val="00795D39"/>
    <w:rsid w:val="007A1E0C"/>
    <w:rsid w:val="007B2E15"/>
    <w:rsid w:val="007B44B4"/>
    <w:rsid w:val="007B4DA8"/>
    <w:rsid w:val="007B5CA0"/>
    <w:rsid w:val="007B64AC"/>
    <w:rsid w:val="007B725D"/>
    <w:rsid w:val="007C14A6"/>
    <w:rsid w:val="007C2D42"/>
    <w:rsid w:val="007C5068"/>
    <w:rsid w:val="007D1E12"/>
    <w:rsid w:val="007D603C"/>
    <w:rsid w:val="007D7629"/>
    <w:rsid w:val="007E16D9"/>
    <w:rsid w:val="007E265E"/>
    <w:rsid w:val="007E38E3"/>
    <w:rsid w:val="007E4688"/>
    <w:rsid w:val="007F15AA"/>
    <w:rsid w:val="007F2252"/>
    <w:rsid w:val="007F58B3"/>
    <w:rsid w:val="00801DC5"/>
    <w:rsid w:val="008034F1"/>
    <w:rsid w:val="00806C38"/>
    <w:rsid w:val="00810EB4"/>
    <w:rsid w:val="00811AA8"/>
    <w:rsid w:val="00812658"/>
    <w:rsid w:val="00823753"/>
    <w:rsid w:val="00825C0C"/>
    <w:rsid w:val="00825ED0"/>
    <w:rsid w:val="00827CFE"/>
    <w:rsid w:val="0083401A"/>
    <w:rsid w:val="008340C7"/>
    <w:rsid w:val="008361FD"/>
    <w:rsid w:val="00836606"/>
    <w:rsid w:val="00843AF9"/>
    <w:rsid w:val="008456A2"/>
    <w:rsid w:val="008457E0"/>
    <w:rsid w:val="00847200"/>
    <w:rsid w:val="00851335"/>
    <w:rsid w:val="00854B1F"/>
    <w:rsid w:val="00862F8E"/>
    <w:rsid w:val="008658CF"/>
    <w:rsid w:val="00867127"/>
    <w:rsid w:val="00872973"/>
    <w:rsid w:val="00873CFF"/>
    <w:rsid w:val="00875864"/>
    <w:rsid w:val="00877EEF"/>
    <w:rsid w:val="00881CA1"/>
    <w:rsid w:val="008827F5"/>
    <w:rsid w:val="0088568C"/>
    <w:rsid w:val="00886312"/>
    <w:rsid w:val="00890942"/>
    <w:rsid w:val="00891B60"/>
    <w:rsid w:val="00892941"/>
    <w:rsid w:val="00893A14"/>
    <w:rsid w:val="00893EB5"/>
    <w:rsid w:val="00897EE8"/>
    <w:rsid w:val="008A0058"/>
    <w:rsid w:val="008A4F98"/>
    <w:rsid w:val="008A5A57"/>
    <w:rsid w:val="008B1763"/>
    <w:rsid w:val="008B3B68"/>
    <w:rsid w:val="008B6C2A"/>
    <w:rsid w:val="008B7545"/>
    <w:rsid w:val="008C2C87"/>
    <w:rsid w:val="008C2D06"/>
    <w:rsid w:val="008C3CEA"/>
    <w:rsid w:val="008C7F52"/>
    <w:rsid w:val="008D2B6A"/>
    <w:rsid w:val="008D4163"/>
    <w:rsid w:val="008E1D65"/>
    <w:rsid w:val="008E342C"/>
    <w:rsid w:val="008E4327"/>
    <w:rsid w:val="008F1994"/>
    <w:rsid w:val="008F2235"/>
    <w:rsid w:val="008F2A8B"/>
    <w:rsid w:val="008F336E"/>
    <w:rsid w:val="008F57B2"/>
    <w:rsid w:val="008F6823"/>
    <w:rsid w:val="00901CFE"/>
    <w:rsid w:val="00901F7F"/>
    <w:rsid w:val="0090296C"/>
    <w:rsid w:val="00912C17"/>
    <w:rsid w:val="00922B71"/>
    <w:rsid w:val="009254D2"/>
    <w:rsid w:val="009265B9"/>
    <w:rsid w:val="00926BC3"/>
    <w:rsid w:val="00927CC5"/>
    <w:rsid w:val="0093172F"/>
    <w:rsid w:val="00941F4A"/>
    <w:rsid w:val="00942206"/>
    <w:rsid w:val="0094334F"/>
    <w:rsid w:val="0094414B"/>
    <w:rsid w:val="00945439"/>
    <w:rsid w:val="009600EB"/>
    <w:rsid w:val="00965D57"/>
    <w:rsid w:val="0096785A"/>
    <w:rsid w:val="00967DF9"/>
    <w:rsid w:val="00970C5A"/>
    <w:rsid w:val="00973D52"/>
    <w:rsid w:val="009745C3"/>
    <w:rsid w:val="009778A9"/>
    <w:rsid w:val="00980D53"/>
    <w:rsid w:val="009827B6"/>
    <w:rsid w:val="009866A8"/>
    <w:rsid w:val="00986D35"/>
    <w:rsid w:val="00987632"/>
    <w:rsid w:val="009A0A08"/>
    <w:rsid w:val="009A24AB"/>
    <w:rsid w:val="009A407A"/>
    <w:rsid w:val="009A4263"/>
    <w:rsid w:val="009A7916"/>
    <w:rsid w:val="009B0A13"/>
    <w:rsid w:val="009B2301"/>
    <w:rsid w:val="009B23AB"/>
    <w:rsid w:val="009B50A3"/>
    <w:rsid w:val="009D0CCE"/>
    <w:rsid w:val="009D124D"/>
    <w:rsid w:val="009D2587"/>
    <w:rsid w:val="009D25E8"/>
    <w:rsid w:val="009E0BD5"/>
    <w:rsid w:val="009E0C76"/>
    <w:rsid w:val="009E1BEC"/>
    <w:rsid w:val="009E2D95"/>
    <w:rsid w:val="009E3A08"/>
    <w:rsid w:val="009E6282"/>
    <w:rsid w:val="009E7B5B"/>
    <w:rsid w:val="009F06CD"/>
    <w:rsid w:val="009F2E53"/>
    <w:rsid w:val="009F4CEA"/>
    <w:rsid w:val="009F6156"/>
    <w:rsid w:val="009F79A7"/>
    <w:rsid w:val="009F7FC8"/>
    <w:rsid w:val="00A0076F"/>
    <w:rsid w:val="00A02C84"/>
    <w:rsid w:val="00A10696"/>
    <w:rsid w:val="00A11F0F"/>
    <w:rsid w:val="00A207A1"/>
    <w:rsid w:val="00A22B6F"/>
    <w:rsid w:val="00A2583F"/>
    <w:rsid w:val="00A267D9"/>
    <w:rsid w:val="00A31004"/>
    <w:rsid w:val="00A35C2C"/>
    <w:rsid w:val="00A3630A"/>
    <w:rsid w:val="00A41D7F"/>
    <w:rsid w:val="00A42C35"/>
    <w:rsid w:val="00A42F77"/>
    <w:rsid w:val="00A501A2"/>
    <w:rsid w:val="00A545E8"/>
    <w:rsid w:val="00A5494B"/>
    <w:rsid w:val="00A60D69"/>
    <w:rsid w:val="00A62411"/>
    <w:rsid w:val="00A62654"/>
    <w:rsid w:val="00A63640"/>
    <w:rsid w:val="00A644C4"/>
    <w:rsid w:val="00A67B65"/>
    <w:rsid w:val="00A73C51"/>
    <w:rsid w:val="00A81D4B"/>
    <w:rsid w:val="00A82261"/>
    <w:rsid w:val="00A82ABF"/>
    <w:rsid w:val="00A865AE"/>
    <w:rsid w:val="00A87E42"/>
    <w:rsid w:val="00A900E7"/>
    <w:rsid w:val="00A948BD"/>
    <w:rsid w:val="00A97EF2"/>
    <w:rsid w:val="00A97F56"/>
    <w:rsid w:val="00AA32D5"/>
    <w:rsid w:val="00AA33A5"/>
    <w:rsid w:val="00AA6184"/>
    <w:rsid w:val="00AA70BF"/>
    <w:rsid w:val="00AA76E3"/>
    <w:rsid w:val="00AA784C"/>
    <w:rsid w:val="00AA7BD2"/>
    <w:rsid w:val="00AB6372"/>
    <w:rsid w:val="00AC1EE5"/>
    <w:rsid w:val="00AC7399"/>
    <w:rsid w:val="00AC7624"/>
    <w:rsid w:val="00AD5151"/>
    <w:rsid w:val="00AD5CDC"/>
    <w:rsid w:val="00AD7E59"/>
    <w:rsid w:val="00AE6055"/>
    <w:rsid w:val="00AE7A11"/>
    <w:rsid w:val="00AF1B6B"/>
    <w:rsid w:val="00AF698D"/>
    <w:rsid w:val="00AF6B59"/>
    <w:rsid w:val="00B022C4"/>
    <w:rsid w:val="00B065FE"/>
    <w:rsid w:val="00B1183E"/>
    <w:rsid w:val="00B11F6A"/>
    <w:rsid w:val="00B15076"/>
    <w:rsid w:val="00B152EA"/>
    <w:rsid w:val="00B20B11"/>
    <w:rsid w:val="00B22418"/>
    <w:rsid w:val="00B225C9"/>
    <w:rsid w:val="00B23530"/>
    <w:rsid w:val="00B239EA"/>
    <w:rsid w:val="00B27234"/>
    <w:rsid w:val="00B31C1C"/>
    <w:rsid w:val="00B34DBB"/>
    <w:rsid w:val="00B433DE"/>
    <w:rsid w:val="00B44B51"/>
    <w:rsid w:val="00B46349"/>
    <w:rsid w:val="00B50530"/>
    <w:rsid w:val="00B51395"/>
    <w:rsid w:val="00B54ACA"/>
    <w:rsid w:val="00B61FB0"/>
    <w:rsid w:val="00B70CB6"/>
    <w:rsid w:val="00B726BC"/>
    <w:rsid w:val="00B754AE"/>
    <w:rsid w:val="00B756E6"/>
    <w:rsid w:val="00B77959"/>
    <w:rsid w:val="00B80179"/>
    <w:rsid w:val="00B8154F"/>
    <w:rsid w:val="00B83D81"/>
    <w:rsid w:val="00B856BB"/>
    <w:rsid w:val="00B8623C"/>
    <w:rsid w:val="00B92803"/>
    <w:rsid w:val="00B9315C"/>
    <w:rsid w:val="00B95AF3"/>
    <w:rsid w:val="00BA1A14"/>
    <w:rsid w:val="00BA4456"/>
    <w:rsid w:val="00BA4D06"/>
    <w:rsid w:val="00BA4F64"/>
    <w:rsid w:val="00BA7B00"/>
    <w:rsid w:val="00BB06D2"/>
    <w:rsid w:val="00BB06F3"/>
    <w:rsid w:val="00BB4760"/>
    <w:rsid w:val="00BC3183"/>
    <w:rsid w:val="00BD01C2"/>
    <w:rsid w:val="00BD27DC"/>
    <w:rsid w:val="00BD37CA"/>
    <w:rsid w:val="00BD6468"/>
    <w:rsid w:val="00BE634A"/>
    <w:rsid w:val="00BF383F"/>
    <w:rsid w:val="00BF527F"/>
    <w:rsid w:val="00BF6320"/>
    <w:rsid w:val="00BF6EB7"/>
    <w:rsid w:val="00BF7D17"/>
    <w:rsid w:val="00C023FD"/>
    <w:rsid w:val="00C100DB"/>
    <w:rsid w:val="00C10CFE"/>
    <w:rsid w:val="00C1126F"/>
    <w:rsid w:val="00C20C66"/>
    <w:rsid w:val="00C21057"/>
    <w:rsid w:val="00C2175A"/>
    <w:rsid w:val="00C226FC"/>
    <w:rsid w:val="00C30E7C"/>
    <w:rsid w:val="00C3217C"/>
    <w:rsid w:val="00C32885"/>
    <w:rsid w:val="00C329F7"/>
    <w:rsid w:val="00C36F37"/>
    <w:rsid w:val="00C37574"/>
    <w:rsid w:val="00C42BA0"/>
    <w:rsid w:val="00C52DE4"/>
    <w:rsid w:val="00C54563"/>
    <w:rsid w:val="00C54A8F"/>
    <w:rsid w:val="00C5610D"/>
    <w:rsid w:val="00C62D68"/>
    <w:rsid w:val="00C62D73"/>
    <w:rsid w:val="00C762D9"/>
    <w:rsid w:val="00C80344"/>
    <w:rsid w:val="00C80363"/>
    <w:rsid w:val="00C80C4C"/>
    <w:rsid w:val="00C81AB2"/>
    <w:rsid w:val="00C826C3"/>
    <w:rsid w:val="00C83393"/>
    <w:rsid w:val="00C84409"/>
    <w:rsid w:val="00C84627"/>
    <w:rsid w:val="00C862E7"/>
    <w:rsid w:val="00C90DF1"/>
    <w:rsid w:val="00C91F3E"/>
    <w:rsid w:val="00C9220B"/>
    <w:rsid w:val="00C9371A"/>
    <w:rsid w:val="00C953DA"/>
    <w:rsid w:val="00C96CFA"/>
    <w:rsid w:val="00CA23B0"/>
    <w:rsid w:val="00CA5EC1"/>
    <w:rsid w:val="00CA6A3C"/>
    <w:rsid w:val="00CB1137"/>
    <w:rsid w:val="00CB1375"/>
    <w:rsid w:val="00CB2411"/>
    <w:rsid w:val="00CB4B4A"/>
    <w:rsid w:val="00CB6C88"/>
    <w:rsid w:val="00CB7D87"/>
    <w:rsid w:val="00CC1013"/>
    <w:rsid w:val="00CC152C"/>
    <w:rsid w:val="00CD0496"/>
    <w:rsid w:val="00CD1B2B"/>
    <w:rsid w:val="00CD1B8B"/>
    <w:rsid w:val="00CD294E"/>
    <w:rsid w:val="00CD5DC7"/>
    <w:rsid w:val="00CE2B90"/>
    <w:rsid w:val="00CE32E3"/>
    <w:rsid w:val="00CE3ED6"/>
    <w:rsid w:val="00CE516D"/>
    <w:rsid w:val="00CE5CCB"/>
    <w:rsid w:val="00CF38BD"/>
    <w:rsid w:val="00CF3927"/>
    <w:rsid w:val="00CF3FBA"/>
    <w:rsid w:val="00D02310"/>
    <w:rsid w:val="00D031AA"/>
    <w:rsid w:val="00D051D3"/>
    <w:rsid w:val="00D06C47"/>
    <w:rsid w:val="00D06D48"/>
    <w:rsid w:val="00D078DF"/>
    <w:rsid w:val="00D20A02"/>
    <w:rsid w:val="00D227E4"/>
    <w:rsid w:val="00D23831"/>
    <w:rsid w:val="00D24F12"/>
    <w:rsid w:val="00D27F5D"/>
    <w:rsid w:val="00D32253"/>
    <w:rsid w:val="00D3228F"/>
    <w:rsid w:val="00D364FA"/>
    <w:rsid w:val="00D43EDA"/>
    <w:rsid w:val="00D45552"/>
    <w:rsid w:val="00D548AC"/>
    <w:rsid w:val="00D562E6"/>
    <w:rsid w:val="00D61901"/>
    <w:rsid w:val="00D6517E"/>
    <w:rsid w:val="00D66F76"/>
    <w:rsid w:val="00D672D5"/>
    <w:rsid w:val="00D741C8"/>
    <w:rsid w:val="00D767E2"/>
    <w:rsid w:val="00D76E1E"/>
    <w:rsid w:val="00D84F53"/>
    <w:rsid w:val="00D857B9"/>
    <w:rsid w:val="00D87C22"/>
    <w:rsid w:val="00D92092"/>
    <w:rsid w:val="00D94C4C"/>
    <w:rsid w:val="00D95640"/>
    <w:rsid w:val="00D95873"/>
    <w:rsid w:val="00D97F54"/>
    <w:rsid w:val="00DA1456"/>
    <w:rsid w:val="00DA5C26"/>
    <w:rsid w:val="00DB0F3F"/>
    <w:rsid w:val="00DB5FF4"/>
    <w:rsid w:val="00DB6D5F"/>
    <w:rsid w:val="00DC301E"/>
    <w:rsid w:val="00DC4913"/>
    <w:rsid w:val="00DC4917"/>
    <w:rsid w:val="00DC4DDD"/>
    <w:rsid w:val="00DC73A6"/>
    <w:rsid w:val="00DD7337"/>
    <w:rsid w:val="00DD7A87"/>
    <w:rsid w:val="00DE12A7"/>
    <w:rsid w:val="00DE1545"/>
    <w:rsid w:val="00DE32C0"/>
    <w:rsid w:val="00DE354B"/>
    <w:rsid w:val="00DE530E"/>
    <w:rsid w:val="00DF19DC"/>
    <w:rsid w:val="00DF6AD8"/>
    <w:rsid w:val="00DF6CC1"/>
    <w:rsid w:val="00DF70CD"/>
    <w:rsid w:val="00E0066B"/>
    <w:rsid w:val="00E008C7"/>
    <w:rsid w:val="00E0356E"/>
    <w:rsid w:val="00E04391"/>
    <w:rsid w:val="00E0451D"/>
    <w:rsid w:val="00E11E55"/>
    <w:rsid w:val="00E12221"/>
    <w:rsid w:val="00E1609F"/>
    <w:rsid w:val="00E16961"/>
    <w:rsid w:val="00E2250C"/>
    <w:rsid w:val="00E24B6C"/>
    <w:rsid w:val="00E26CDE"/>
    <w:rsid w:val="00E350D1"/>
    <w:rsid w:val="00E43B66"/>
    <w:rsid w:val="00E47E53"/>
    <w:rsid w:val="00E5085F"/>
    <w:rsid w:val="00E51323"/>
    <w:rsid w:val="00E52253"/>
    <w:rsid w:val="00E5357B"/>
    <w:rsid w:val="00E563A3"/>
    <w:rsid w:val="00E56940"/>
    <w:rsid w:val="00E57DD9"/>
    <w:rsid w:val="00E6032A"/>
    <w:rsid w:val="00E603F0"/>
    <w:rsid w:val="00E61862"/>
    <w:rsid w:val="00E61A41"/>
    <w:rsid w:val="00E62D5E"/>
    <w:rsid w:val="00E72E90"/>
    <w:rsid w:val="00E76311"/>
    <w:rsid w:val="00E76E90"/>
    <w:rsid w:val="00E87A68"/>
    <w:rsid w:val="00E91EF9"/>
    <w:rsid w:val="00E92591"/>
    <w:rsid w:val="00E9393B"/>
    <w:rsid w:val="00E9577E"/>
    <w:rsid w:val="00E9581E"/>
    <w:rsid w:val="00EA3CA8"/>
    <w:rsid w:val="00EA5984"/>
    <w:rsid w:val="00EB1826"/>
    <w:rsid w:val="00EB3BA2"/>
    <w:rsid w:val="00EB4735"/>
    <w:rsid w:val="00EC15EF"/>
    <w:rsid w:val="00EC4A4C"/>
    <w:rsid w:val="00EC5C37"/>
    <w:rsid w:val="00ED27FD"/>
    <w:rsid w:val="00ED35FC"/>
    <w:rsid w:val="00ED6759"/>
    <w:rsid w:val="00ED6B86"/>
    <w:rsid w:val="00EE0B0A"/>
    <w:rsid w:val="00EE263F"/>
    <w:rsid w:val="00EE6757"/>
    <w:rsid w:val="00EF3237"/>
    <w:rsid w:val="00EF3E25"/>
    <w:rsid w:val="00EF44CB"/>
    <w:rsid w:val="00EF4E31"/>
    <w:rsid w:val="00EF6D5C"/>
    <w:rsid w:val="00EF7AE1"/>
    <w:rsid w:val="00F01A37"/>
    <w:rsid w:val="00F02490"/>
    <w:rsid w:val="00F02802"/>
    <w:rsid w:val="00F02CEB"/>
    <w:rsid w:val="00F07453"/>
    <w:rsid w:val="00F15CA1"/>
    <w:rsid w:val="00F20D96"/>
    <w:rsid w:val="00F32DAE"/>
    <w:rsid w:val="00F3379D"/>
    <w:rsid w:val="00F3465A"/>
    <w:rsid w:val="00F40E4A"/>
    <w:rsid w:val="00F42543"/>
    <w:rsid w:val="00F44CD8"/>
    <w:rsid w:val="00F45342"/>
    <w:rsid w:val="00F45623"/>
    <w:rsid w:val="00F45C0E"/>
    <w:rsid w:val="00F46BFA"/>
    <w:rsid w:val="00F53668"/>
    <w:rsid w:val="00F5671B"/>
    <w:rsid w:val="00F57266"/>
    <w:rsid w:val="00F60C6C"/>
    <w:rsid w:val="00F61435"/>
    <w:rsid w:val="00F638EA"/>
    <w:rsid w:val="00F661BE"/>
    <w:rsid w:val="00F7360C"/>
    <w:rsid w:val="00F73F28"/>
    <w:rsid w:val="00F746E8"/>
    <w:rsid w:val="00F74CF9"/>
    <w:rsid w:val="00F76473"/>
    <w:rsid w:val="00F80915"/>
    <w:rsid w:val="00F90245"/>
    <w:rsid w:val="00F911F5"/>
    <w:rsid w:val="00F947C3"/>
    <w:rsid w:val="00F97522"/>
    <w:rsid w:val="00F97DC1"/>
    <w:rsid w:val="00FA0741"/>
    <w:rsid w:val="00FA183E"/>
    <w:rsid w:val="00FA5F88"/>
    <w:rsid w:val="00FA66DB"/>
    <w:rsid w:val="00FA70CD"/>
    <w:rsid w:val="00FB3408"/>
    <w:rsid w:val="00FB34D5"/>
    <w:rsid w:val="00FB3B5A"/>
    <w:rsid w:val="00FB5843"/>
    <w:rsid w:val="00FB6126"/>
    <w:rsid w:val="00FB78A1"/>
    <w:rsid w:val="00FC091D"/>
    <w:rsid w:val="00FC2A72"/>
    <w:rsid w:val="00FC3061"/>
    <w:rsid w:val="00FC3EC0"/>
    <w:rsid w:val="00FC623E"/>
    <w:rsid w:val="00FC68AB"/>
    <w:rsid w:val="00FC77BC"/>
    <w:rsid w:val="00FD41EF"/>
    <w:rsid w:val="00FD4219"/>
    <w:rsid w:val="00FE3ED3"/>
    <w:rsid w:val="00FE4932"/>
    <w:rsid w:val="00FF2460"/>
    <w:rsid w:val="00FF2C34"/>
    <w:rsid w:val="00FF4F7C"/>
    <w:rsid w:val="00FF6028"/>
    <w:rsid w:val="00FF6180"/>
    <w:rsid w:val="01A3701B"/>
    <w:rsid w:val="02A524E1"/>
    <w:rsid w:val="039FE724"/>
    <w:rsid w:val="03BB3687"/>
    <w:rsid w:val="04740EEE"/>
    <w:rsid w:val="047CCB36"/>
    <w:rsid w:val="052B5ACE"/>
    <w:rsid w:val="06AAA8F3"/>
    <w:rsid w:val="06CAC105"/>
    <w:rsid w:val="09E7355E"/>
    <w:rsid w:val="0C7B6D00"/>
    <w:rsid w:val="0D13D435"/>
    <w:rsid w:val="10DB5AF8"/>
    <w:rsid w:val="13A8A449"/>
    <w:rsid w:val="14F7D1AD"/>
    <w:rsid w:val="164D02ED"/>
    <w:rsid w:val="17C21AB9"/>
    <w:rsid w:val="1B6C19FD"/>
    <w:rsid w:val="1BB43B2E"/>
    <w:rsid w:val="1ED3044A"/>
    <w:rsid w:val="206D7337"/>
    <w:rsid w:val="23A3C52D"/>
    <w:rsid w:val="23FE07EA"/>
    <w:rsid w:val="24462D25"/>
    <w:rsid w:val="253F958E"/>
    <w:rsid w:val="2721CF8D"/>
    <w:rsid w:val="27C3FA23"/>
    <w:rsid w:val="28773650"/>
    <w:rsid w:val="2B0467B1"/>
    <w:rsid w:val="2B0E535F"/>
    <w:rsid w:val="2B54DC0E"/>
    <w:rsid w:val="2BA0FF0A"/>
    <w:rsid w:val="2BA7998D"/>
    <w:rsid w:val="2BD47E86"/>
    <w:rsid w:val="2CD71F6B"/>
    <w:rsid w:val="2DF0DC45"/>
    <w:rsid w:val="2E14180F"/>
    <w:rsid w:val="2FDA3AC7"/>
    <w:rsid w:val="30211CEE"/>
    <w:rsid w:val="314ED4A5"/>
    <w:rsid w:val="32CD1308"/>
    <w:rsid w:val="333A5572"/>
    <w:rsid w:val="365A1334"/>
    <w:rsid w:val="3670C0A0"/>
    <w:rsid w:val="36ED7EF5"/>
    <w:rsid w:val="39C34264"/>
    <w:rsid w:val="3AD97D7D"/>
    <w:rsid w:val="3CA95653"/>
    <w:rsid w:val="3DD37545"/>
    <w:rsid w:val="3E56E6E4"/>
    <w:rsid w:val="3F0BDE37"/>
    <w:rsid w:val="3FD73634"/>
    <w:rsid w:val="3FEA02B4"/>
    <w:rsid w:val="4278E884"/>
    <w:rsid w:val="4544F20C"/>
    <w:rsid w:val="45766EA8"/>
    <w:rsid w:val="465DEB1C"/>
    <w:rsid w:val="4797B604"/>
    <w:rsid w:val="489D51D6"/>
    <w:rsid w:val="4A21935C"/>
    <w:rsid w:val="4C57DAB2"/>
    <w:rsid w:val="4D8E3C2F"/>
    <w:rsid w:val="4E145D5F"/>
    <w:rsid w:val="5169D8DC"/>
    <w:rsid w:val="5394A498"/>
    <w:rsid w:val="53A62427"/>
    <w:rsid w:val="5411802E"/>
    <w:rsid w:val="5560273D"/>
    <w:rsid w:val="56C4A10C"/>
    <w:rsid w:val="5A0C4058"/>
    <w:rsid w:val="5B2E61E8"/>
    <w:rsid w:val="5CD3E3AC"/>
    <w:rsid w:val="60EDC577"/>
    <w:rsid w:val="6102B9BA"/>
    <w:rsid w:val="610982A5"/>
    <w:rsid w:val="622FF040"/>
    <w:rsid w:val="654FF580"/>
    <w:rsid w:val="66056BD2"/>
    <w:rsid w:val="66E56B45"/>
    <w:rsid w:val="67D0058A"/>
    <w:rsid w:val="682A99E6"/>
    <w:rsid w:val="6C16445B"/>
    <w:rsid w:val="6D9EC11C"/>
    <w:rsid w:val="6E335303"/>
    <w:rsid w:val="6ED475CC"/>
    <w:rsid w:val="6F5EBC6F"/>
    <w:rsid w:val="7041FAE3"/>
    <w:rsid w:val="70EF2F8E"/>
    <w:rsid w:val="75DB6CE1"/>
    <w:rsid w:val="77697189"/>
    <w:rsid w:val="77D7B747"/>
    <w:rsid w:val="77F845E3"/>
    <w:rsid w:val="78991469"/>
    <w:rsid w:val="797B5B13"/>
    <w:rsid w:val="7B172B74"/>
    <w:rsid w:val="7D1D5FDD"/>
    <w:rsid w:val="7D5AAB36"/>
    <w:rsid w:val="7E50992C"/>
    <w:rsid w:val="7FA102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6C7D"/>
  <w15:chartTrackingRefBased/>
  <w15:docId w15:val="{40B4A61F-EE0F-46B4-93A4-204402F6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BEA"/>
  </w:style>
  <w:style w:type="paragraph" w:styleId="Virsraksts1">
    <w:name w:val="heading 1"/>
    <w:basedOn w:val="Parasts"/>
    <w:next w:val="Parasts"/>
    <w:link w:val="Virsraksts1Rakstz"/>
    <w:uiPriority w:val="9"/>
    <w:qFormat/>
    <w:rsid w:val="00EC5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5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5C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5C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5C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5C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5C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5C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5C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5C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5C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5C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5C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5C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5C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5C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5C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5C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5C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5C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5C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5C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5C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5C37"/>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EC5C37"/>
    <w:pPr>
      <w:ind w:left="720"/>
      <w:contextualSpacing/>
    </w:pPr>
  </w:style>
  <w:style w:type="character" w:styleId="Intensvsizclums">
    <w:name w:val="Intense Emphasis"/>
    <w:basedOn w:val="Noklusjumarindkopasfonts"/>
    <w:uiPriority w:val="21"/>
    <w:qFormat/>
    <w:rsid w:val="00EC5C37"/>
    <w:rPr>
      <w:i/>
      <w:iCs/>
      <w:color w:val="2F5496" w:themeColor="accent1" w:themeShade="BF"/>
    </w:rPr>
  </w:style>
  <w:style w:type="paragraph" w:styleId="Intensvscitts">
    <w:name w:val="Intense Quote"/>
    <w:basedOn w:val="Parasts"/>
    <w:next w:val="Parasts"/>
    <w:link w:val="IntensvscittsRakstz"/>
    <w:uiPriority w:val="30"/>
    <w:qFormat/>
    <w:rsid w:val="00EC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5C37"/>
    <w:rPr>
      <w:i/>
      <w:iCs/>
      <w:color w:val="2F5496" w:themeColor="accent1" w:themeShade="BF"/>
    </w:rPr>
  </w:style>
  <w:style w:type="character" w:styleId="Intensvaatsauce">
    <w:name w:val="Intense Reference"/>
    <w:basedOn w:val="Noklusjumarindkopasfonts"/>
    <w:uiPriority w:val="32"/>
    <w:qFormat/>
    <w:rsid w:val="00EC5C37"/>
    <w:rPr>
      <w:b/>
      <w:bCs/>
      <w:smallCaps/>
      <w:color w:val="2F5496" w:themeColor="accent1" w:themeShade="BF"/>
      <w:spacing w:val="5"/>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8E1D65"/>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8E1D65"/>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E1D65"/>
    <w:rPr>
      <w:vertAlign w:val="superscript"/>
    </w:rPr>
  </w:style>
  <w:style w:type="character" w:styleId="Hipersaite">
    <w:name w:val="Hyperlink"/>
    <w:unhideWhenUsed/>
    <w:rsid w:val="008E1D65"/>
    <w:rPr>
      <w:color w:val="0000FF"/>
      <w:u w:val="single"/>
    </w:rPr>
  </w:style>
  <w:style w:type="paragraph" w:customStyle="1" w:styleId="CharCharCharChar">
    <w:name w:val="Char Char Char Char"/>
    <w:aliases w:val="Char2"/>
    <w:basedOn w:val="Parasts"/>
    <w:next w:val="Parasts"/>
    <w:link w:val="Vresatsauce"/>
    <w:uiPriority w:val="99"/>
    <w:rsid w:val="008E1D65"/>
    <w:pPr>
      <w:spacing w:after="160" w:line="240" w:lineRule="exact"/>
      <w:jc w:val="both"/>
      <w:textAlignment w:val="baseline"/>
    </w:pPr>
    <w:rPr>
      <w:vertAlign w:val="superscript"/>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C2175A"/>
  </w:style>
  <w:style w:type="paragraph" w:styleId="Bezatstarpm">
    <w:name w:val="No Spacing"/>
    <w:uiPriority w:val="1"/>
    <w:qFormat/>
    <w:rsid w:val="00C2175A"/>
    <w:rPr>
      <w:rFonts w:ascii="Calibri" w:eastAsia="ヒラギノ角ゴ Pro W3" w:hAnsi="Calibri" w:cs="Times New Roman"/>
      <w:color w:val="000000"/>
      <w:kern w:val="0"/>
      <w:sz w:val="22"/>
      <w14:ligatures w14:val="none"/>
    </w:rPr>
  </w:style>
  <w:style w:type="paragraph" w:styleId="Prskatjums">
    <w:name w:val="Revision"/>
    <w:hidden/>
    <w:uiPriority w:val="99"/>
    <w:semiHidden/>
    <w:rsid w:val="006067EE"/>
  </w:style>
  <w:style w:type="character" w:styleId="Neatrisintapieminana">
    <w:name w:val="Unresolved Mention"/>
    <w:basedOn w:val="Noklusjumarindkopasfonts"/>
    <w:uiPriority w:val="99"/>
    <w:semiHidden/>
    <w:unhideWhenUsed/>
    <w:rsid w:val="00AC1EE5"/>
    <w:rPr>
      <w:color w:val="605E5C"/>
      <w:shd w:val="clear" w:color="auto" w:fill="E1DFDD"/>
    </w:rPr>
  </w:style>
  <w:style w:type="character" w:styleId="Komentraatsauce">
    <w:name w:val="annotation reference"/>
    <w:basedOn w:val="Noklusjumarindkopasfonts"/>
    <w:uiPriority w:val="99"/>
    <w:semiHidden/>
    <w:unhideWhenUsed/>
    <w:rsid w:val="00E04391"/>
    <w:rPr>
      <w:sz w:val="16"/>
      <w:szCs w:val="16"/>
    </w:rPr>
  </w:style>
  <w:style w:type="paragraph" w:styleId="Komentrateksts">
    <w:name w:val="annotation text"/>
    <w:basedOn w:val="Parasts"/>
    <w:link w:val="KomentratekstsRakstz"/>
    <w:uiPriority w:val="99"/>
    <w:unhideWhenUsed/>
    <w:rsid w:val="00E04391"/>
    <w:rPr>
      <w:sz w:val="20"/>
      <w:szCs w:val="20"/>
    </w:rPr>
  </w:style>
  <w:style w:type="character" w:customStyle="1" w:styleId="KomentratekstsRakstz">
    <w:name w:val="Komentāra teksts Rakstz."/>
    <w:basedOn w:val="Noklusjumarindkopasfonts"/>
    <w:link w:val="Komentrateksts"/>
    <w:uiPriority w:val="99"/>
    <w:rsid w:val="00E04391"/>
    <w:rPr>
      <w:sz w:val="20"/>
      <w:szCs w:val="20"/>
    </w:rPr>
  </w:style>
  <w:style w:type="paragraph" w:styleId="Komentratma">
    <w:name w:val="annotation subject"/>
    <w:basedOn w:val="Komentrateksts"/>
    <w:next w:val="Komentrateksts"/>
    <w:link w:val="KomentratmaRakstz"/>
    <w:uiPriority w:val="99"/>
    <w:semiHidden/>
    <w:unhideWhenUsed/>
    <w:rsid w:val="00E04391"/>
    <w:rPr>
      <w:b/>
      <w:bCs/>
    </w:rPr>
  </w:style>
  <w:style w:type="character" w:customStyle="1" w:styleId="KomentratmaRakstz">
    <w:name w:val="Komentāra tēma Rakstz."/>
    <w:basedOn w:val="KomentratekstsRakstz"/>
    <w:link w:val="Komentratma"/>
    <w:uiPriority w:val="99"/>
    <w:semiHidden/>
    <w:rsid w:val="00E04391"/>
    <w:rPr>
      <w:b/>
      <w:bCs/>
      <w:sz w:val="20"/>
      <w:szCs w:val="20"/>
    </w:rPr>
  </w:style>
  <w:style w:type="character" w:styleId="Izmantotahipersaite">
    <w:name w:val="FollowedHyperlink"/>
    <w:basedOn w:val="Noklusjumarindkopasfonts"/>
    <w:uiPriority w:val="99"/>
    <w:semiHidden/>
    <w:unhideWhenUsed/>
    <w:rsid w:val="003B0032"/>
    <w:rPr>
      <w:color w:val="954F72" w:themeColor="followedHyperlink"/>
      <w:u w:val="single"/>
    </w:rPr>
  </w:style>
  <w:style w:type="character" w:styleId="Piemint">
    <w:name w:val="Mention"/>
    <w:basedOn w:val="Noklusjumarindkopasfonts"/>
    <w:uiPriority w:val="99"/>
    <w:unhideWhenUsed/>
    <w:rPr>
      <w:color w:val="2B579A"/>
      <w:shd w:val="clear" w:color="auto" w:fill="E6E6E6"/>
    </w:rPr>
  </w:style>
  <w:style w:type="paragraph" w:styleId="Galvene">
    <w:name w:val="header"/>
    <w:basedOn w:val="Parasts"/>
    <w:link w:val="GalveneRakstz"/>
    <w:uiPriority w:val="99"/>
    <w:unhideWhenUsed/>
    <w:rsid w:val="00310E4A"/>
    <w:pPr>
      <w:tabs>
        <w:tab w:val="center" w:pos="4513"/>
        <w:tab w:val="right" w:pos="9026"/>
      </w:tabs>
    </w:pPr>
  </w:style>
  <w:style w:type="character" w:customStyle="1" w:styleId="GalveneRakstz">
    <w:name w:val="Galvene Rakstz."/>
    <w:basedOn w:val="Noklusjumarindkopasfonts"/>
    <w:link w:val="Galvene"/>
    <w:uiPriority w:val="99"/>
    <w:rsid w:val="00310E4A"/>
  </w:style>
  <w:style w:type="paragraph" w:styleId="Kjene">
    <w:name w:val="footer"/>
    <w:basedOn w:val="Parasts"/>
    <w:link w:val="KjeneRakstz"/>
    <w:uiPriority w:val="99"/>
    <w:unhideWhenUsed/>
    <w:rsid w:val="00310E4A"/>
    <w:pPr>
      <w:tabs>
        <w:tab w:val="center" w:pos="4513"/>
        <w:tab w:val="right" w:pos="9026"/>
      </w:tabs>
    </w:pPr>
  </w:style>
  <w:style w:type="character" w:customStyle="1" w:styleId="KjeneRakstz">
    <w:name w:val="Kājene Rakstz."/>
    <w:basedOn w:val="Noklusjumarindkopasfonts"/>
    <w:link w:val="Kjene"/>
    <w:uiPriority w:val="99"/>
    <w:rsid w:val="00310E4A"/>
  </w:style>
  <w:style w:type="character" w:customStyle="1" w:styleId="normaltextrun">
    <w:name w:val="normaltextrun"/>
    <w:basedOn w:val="Noklusjumarindkopasfonts"/>
    <w:rsid w:val="00F80915"/>
  </w:style>
  <w:style w:type="character" w:customStyle="1" w:styleId="eop">
    <w:name w:val="eop"/>
    <w:basedOn w:val="Noklusjumarindkopasfonts"/>
    <w:rsid w:val="00F8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lapas/udens-kvalitat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imats.meteo.lv/pasvaldibu_apska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vb.gov.lv/lv/pakalpojumi/informacijas-nodrosinasana-par-labakajiem-pieejamajiem-tehniskajiem-panemieniem-lpt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lv/publication-detail/-/publication/79c0ce87-f4dc-11e6-8a35-01aa75ed71a1" TargetMode="External"/><Relationship Id="rId13" Type="http://schemas.openxmlformats.org/officeDocument/2006/relationships/hyperlink" Target="https://videscentrs.lvgmc.lv/files/Udens/Udens_apsaimniekosana_plani_2021_2027/SIVN/" TargetMode="External"/><Relationship Id="rId18" Type="http://schemas.openxmlformats.org/officeDocument/2006/relationships/hyperlink" Target="https://www.vpvb.gov.lv/lv/pakalpojumi/informacijas-nodrosinasana-par-labakajiem-pieejamajiem-tehniskajiem-panemieniem-lptp" TargetMode="External"/><Relationship Id="rId26" Type="http://schemas.openxmlformats.org/officeDocument/2006/relationships/hyperlink" Target="https://pieklustamiba.varam.gov.lv/" TargetMode="External"/><Relationship Id="rId3" Type="http://schemas.openxmlformats.org/officeDocument/2006/relationships/hyperlink" Target="https://eur-lex.europa.eu/legal-content/LV/TXT/HTML/?uri=CELEX:32021R1060&amp;qid=1625116684765&amp;from=EN" TargetMode="External"/><Relationship Id="rId21" Type="http://schemas.openxmlformats.org/officeDocument/2006/relationships/hyperlink" Target="https://www.bvkb.gov.lv/lv/media/2657/download" TargetMode="External"/><Relationship Id="rId7" Type="http://schemas.openxmlformats.org/officeDocument/2006/relationships/hyperlink" Target="https://eur-lex.europa.eu/legal-content/LV/TXT/?uri=CELEX:02014R0651-20230701" TargetMode="External"/><Relationship Id="rId12" Type="http://schemas.openxmlformats.org/officeDocument/2006/relationships/hyperlink" Target="https://www.varam.gov.lv/lv/notekudenu-apsaimniekosanas-investiciju-plans-2021-2027-gadam" TargetMode="External"/><Relationship Id="rId17" Type="http://schemas.openxmlformats.org/officeDocument/2006/relationships/hyperlink" Target="https://registri.vvd.gov.lv/izsniegtas-atlaujas-un-licences/atlauju-un-licencu-mekletajs/" TargetMode="External"/><Relationship Id="rId25" Type="http://schemas.openxmlformats.org/officeDocument/2006/relationships/hyperlink" Target="https://www.lm.gov.lv/lv/ieteikumi-diskriminaciju-un-stereotipus-mazinosai-komunikacijai-ar-sabiedribu-22112022" TargetMode="External"/><Relationship Id="rId2" Type="http://schemas.openxmlformats.org/officeDocument/2006/relationships/hyperlink" Target="https://likumi.lv/ta/id/331743-eiropas-savienibas-fondu-2021-2027-gada-planosanas-perioda-vadibas-likums" TargetMode="External"/><Relationship Id="rId16" Type="http://schemas.openxmlformats.org/officeDocument/2006/relationships/hyperlink" Target="https://www.vpvb.gov.lv/lv/ietekmes-uz-vidi-novertejumu-projekti" TargetMode="External"/><Relationship Id="rId20" Type="http://schemas.openxmlformats.org/officeDocument/2006/relationships/hyperlink" Target="https://likumi.lv/doc.php?id=247350" TargetMode="External"/><Relationship Id="rId29" Type="http://schemas.openxmlformats.org/officeDocument/2006/relationships/hyperlink" Target="https://videscentrs.lvgmc.lv/lapas/udens-kvalitate"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eur-lex.europa.eu/legal-content/LV/TXT/?uri=CELEX:02014R0651-20230701" TargetMode="External"/><Relationship Id="rId11" Type="http://schemas.openxmlformats.org/officeDocument/2006/relationships/hyperlink" Target="https://www.varam.gov.lv/lv/notekudenu-un-dunu-apsaimniekosanas-sistemas-attistiba-piesarnojuma-samazinasanai" TargetMode="External"/><Relationship Id="rId24" Type="http://schemas.openxmlformats.org/officeDocument/2006/relationships/hyperlink" Target="https://www.lm.gov.lv/lv/celvedis-ieklaujosas-vides-veidosanai-valsts-un-pasvaldibu-iestades-2020" TargetMode="External"/><Relationship Id="rId32" Type="http://schemas.openxmlformats.org/officeDocument/2006/relationships/hyperlink" Target="https://ozols.gov.lv/pub" TargetMode="External"/><Relationship Id="rId5" Type="http://schemas.openxmlformats.org/officeDocument/2006/relationships/hyperlink" Target="https://eur-lex.europa.eu/eli/reg/2014/651/oj/?locale=LV" TargetMode="External"/><Relationship Id="rId15" Type="http://schemas.openxmlformats.org/officeDocument/2006/relationships/hyperlink" Target="https://registri.vvd.gov.lv/lemumi-par-ivn-piemerosanu/" TargetMode="External"/><Relationship Id="rId23" Type="http://schemas.openxmlformats.org/officeDocument/2006/relationships/hyperlink" Target="https://videscentrs.lvgmc.lv/iebuvets/pludu-riska-un-plu-du-draudu-kartes" TargetMode="External"/><Relationship Id="rId28"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hyperlink" Target="https://www.varam.gov.lv/sites/varam/files/media_file/dati-par-aglomeraciju-radito-piesarnojuma-slodzi.docx" TargetMode="External"/><Relationship Id="rId19" Type="http://schemas.openxmlformats.org/officeDocument/2006/relationships/hyperlink" Target="https://likumi.lv/ta/id/327220-atkritumu-dalitas-savaksanas-sagatavosanas-atkartotai-izmantosanai-parstrades-un-materialu-regeneracijas-noteikumi" TargetMode="External"/><Relationship Id="rId31" Type="http://schemas.openxmlformats.org/officeDocument/2006/relationships/hyperlink" Target="https://geodata.lvgmc.lv/portal/apps/webappviewer/index.html?id=e92266271ccd40258ac22f4c3e7213d9" TargetMode="External"/><Relationship Id="rId4" Type="http://schemas.openxmlformats.org/officeDocument/2006/relationships/hyperlink" Target="https://www.esfondi.lv/normativie-akti-un-dokumenti/2021-2027-planosanas-periods/komunikacijas-un-dizaina-vadlinijas" TargetMode="External"/><Relationship Id="rId9" Type="http://schemas.openxmlformats.org/officeDocument/2006/relationships/hyperlink" Target="https://eur-lex.europa.eu/legal-content/LV/TXT/?uri=CELEX:02014R0651-20230701" TargetMode="External"/><Relationship Id="rId14" Type="http://schemas.openxmlformats.org/officeDocument/2006/relationships/hyperlink" Target="https://likumi.lv/ta/id/291867-prasibas-zalajam-publiskajam-iepirkumam-un-to-piemerosanas-kartiba" TargetMode="External"/><Relationship Id="rId22" Type="http://schemas.openxmlformats.org/officeDocument/2006/relationships/hyperlink" Target="https://klimats.meteo.lv/klimats_latvija/pasvaldibu_apskati/" TargetMode="External"/><Relationship Id="rId27" Type="http://schemas.openxmlformats.org/officeDocument/2006/relationships/hyperlink" Target="https://www.varam.gov.lv/lv/wwwvaramgovlv/lv/pieklustamiba" TargetMode="External"/><Relationship Id="rId30" Type="http://schemas.openxmlformats.org/officeDocument/2006/relationships/hyperlink" Target="https://likumi.lv/ta/id/231084-noteikumi-par-riska-udensobjektiem" TargetMode="External"/></Relationships>
</file>

<file path=word/documenttasks/documenttasks1.xml><?xml version="1.0" encoding="utf-8"?>
<t:Tasks xmlns:t="http://schemas.microsoft.com/office/tasks/2019/documenttasks" xmlns:oel="http://schemas.microsoft.com/office/2019/extlst">
  <t:Task id="{A59D611D-C825-453B-9672-6F1666BC70EC}">
    <t:Anchor>
      <t:Comment id="395781866"/>
    </t:Anchor>
    <t:History>
      <t:Event id="{E49F880B-640A-4A4B-AD71-79A3DD6017B3}" time="2024-05-03T06:51:07.709Z">
        <t:Attribution userId="S::kristine.jucite@cfla.gov.lv::3c00507a-acc6-4cbd-b9da-160d6044cc19" userProvider="AD" userName="Kristīne Jucīte"/>
        <t:Anchor>
          <t:Comment id="395781866"/>
        </t:Anchor>
        <t:Create/>
      </t:Event>
      <t:Event id="{6599D5F5-9E4A-43ED-B66E-10FED0049F6B}" time="2024-05-03T06:51:07.709Z">
        <t:Attribution userId="S::kristine.jucite@cfla.gov.lv::3c00507a-acc6-4cbd-b9da-160d6044cc19" userProvider="AD" userName="Kristīne Jucīte"/>
        <t:Anchor>
          <t:Comment id="395781866"/>
        </t:Anchor>
        <t:Assign userId="S::madara.austrina@cfla.gov.lv::9de584dc-be38-42fd-9fd3-2f1e44f510fd" userProvider="AD" userName="Madara Austriņa"/>
      </t:Event>
      <t:Event id="{7219742B-0700-4EE5-93C7-09F515F9358D}" time="2024-05-03T06:51:07.709Z">
        <t:Attribution userId="S::kristine.jucite@cfla.gov.lv::3c00507a-acc6-4cbd-b9da-160d6044cc19" userProvider="AD" userName="Kristīne Jucīte"/>
        <t:Anchor>
          <t:Comment id="395781866"/>
        </t:Anchor>
        <t:SetTitle title="@Madara Austriņa lūdzu paska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407EE-1324-4F56-AECF-DC5BF9C05F0C}">
  <ds:schemaRefs>
    <ds:schemaRef ds:uri="http://schemas.openxmlformats.org/officeDocument/2006/bibliography"/>
  </ds:schemaRefs>
</ds:datastoreItem>
</file>

<file path=customXml/itemProps2.xml><?xml version="1.0" encoding="utf-8"?>
<ds:datastoreItem xmlns:ds="http://schemas.openxmlformats.org/officeDocument/2006/customXml" ds:itemID="{4AD7466B-CB68-4504-B7CA-8D604C8FEC6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5A5409B-5235-4EDA-92CE-8FE70C8B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D878B-F733-464B-AB9F-60B2FEDA4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46688</Words>
  <Characters>26613</Characters>
  <Application>Microsoft Office Word</Application>
  <DocSecurity>0</DocSecurity>
  <Lines>221</Lines>
  <Paragraphs>146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cp:revision>
  <dcterms:created xsi:type="dcterms:W3CDTF">2024-08-06T10:49:00Z</dcterms:created>
  <dcterms:modified xsi:type="dcterms:W3CDTF">2024-08-06T10:49:00Z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