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923B" w14:textId="32891BC3" w:rsidR="00BA51D5" w:rsidRPr="00BC022F" w:rsidRDefault="18639962" w:rsidP="245408E0">
      <w:pPr>
        <w:spacing w:before="0" w:after="0"/>
        <w:ind w:left="284" w:firstLine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Hlk124365325"/>
      <w:r w:rsidRPr="245408E0">
        <w:rPr>
          <w:rFonts w:ascii="Times New Roman" w:hAnsi="Times New Roman" w:cs="Times New Roman"/>
          <w:sz w:val="24"/>
          <w:szCs w:val="24"/>
          <w:lang w:eastAsia="lv-LV"/>
        </w:rPr>
        <w:t>1.2</w:t>
      </w:r>
      <w:r w:rsidR="00BA51D5" w:rsidRPr="245408E0">
        <w:rPr>
          <w:rFonts w:ascii="Times New Roman" w:hAnsi="Times New Roman" w:cs="Times New Roman"/>
          <w:sz w:val="24"/>
          <w:szCs w:val="24"/>
          <w:lang w:eastAsia="lv-LV"/>
        </w:rPr>
        <w:t>. pielikums</w:t>
      </w:r>
    </w:p>
    <w:p w14:paraId="441FA47F" w14:textId="3D4FC662" w:rsidR="00BA51D5" w:rsidRPr="00BC022F" w:rsidRDefault="31E52689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48C8D101">
        <w:rPr>
          <w:rFonts w:ascii="Times New Roman" w:hAnsi="Times New Roman" w:cs="Times New Roman"/>
          <w:sz w:val="24"/>
          <w:szCs w:val="24"/>
          <w:lang w:eastAsia="lv-LV"/>
        </w:rPr>
        <w:t>p</w:t>
      </w:r>
      <w:r w:rsidR="00BA51D5" w:rsidRPr="48C8D101">
        <w:rPr>
          <w:rFonts w:ascii="Times New Roman" w:hAnsi="Times New Roman" w:cs="Times New Roman"/>
          <w:sz w:val="24"/>
          <w:szCs w:val="24"/>
          <w:lang w:eastAsia="lv-LV"/>
        </w:rPr>
        <w:t>rojekt</w:t>
      </w:r>
      <w:r w:rsidR="5A75942A" w:rsidRPr="48C8D101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="00BA51D5" w:rsidRPr="48C8D101">
        <w:rPr>
          <w:rFonts w:ascii="Times New Roman" w:hAnsi="Times New Roman" w:cs="Times New Roman"/>
          <w:sz w:val="24"/>
          <w:szCs w:val="24"/>
          <w:lang w:eastAsia="lv-LV"/>
        </w:rPr>
        <w:t xml:space="preserve"> iesniegum</w:t>
      </w:r>
      <w:r w:rsidR="001F2CC6" w:rsidRPr="48C8D101">
        <w:rPr>
          <w:rFonts w:ascii="Times New Roman" w:hAnsi="Times New Roman" w:cs="Times New Roman"/>
          <w:sz w:val="24"/>
          <w:szCs w:val="24"/>
          <w:lang w:eastAsia="lv-LV"/>
        </w:rPr>
        <w:t>am</w:t>
      </w:r>
    </w:p>
    <w:p w14:paraId="4E1A9A29" w14:textId="77777777" w:rsidR="007461C4" w:rsidRDefault="007461C4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CF6656C" w14:textId="3807C481" w:rsidR="00BA51D5" w:rsidRPr="006941EF" w:rsidRDefault="006941EF" w:rsidP="77F54814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</w:rPr>
      </w:pPr>
      <w:r w:rsidRPr="77F5481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Apliecinājums par informētību attiecībā uz interešu konflikta jautājumu regulējumu un to integrāciju iekšējās kontroles sistēmās</w:t>
      </w:r>
      <w:r w:rsidR="26ACF7BF" w:rsidRPr="77F5481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51D5" w:rsidRPr="00BC022F" w14:paraId="52684940" w14:textId="77777777" w:rsidTr="00794C47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794C4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2D2D5654" w14:textId="77777777" w:rsidR="00BA51D5" w:rsidRPr="00BC022F" w:rsidRDefault="00BA51D5" w:rsidP="00794C4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794C4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794C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794C47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794C4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794C47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77777777" w:rsidR="00BA51D5" w:rsidRPr="00BC022F" w:rsidRDefault="00BA51D5" w:rsidP="00794C4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</w:p>
          <w:p w14:paraId="1B03BA8E" w14:textId="77777777" w:rsidR="00BA51D5" w:rsidRPr="00BC022F" w:rsidRDefault="00BA51D5" w:rsidP="00794C4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794C4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794C4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794C47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7777777" w:rsidR="00BA51D5" w:rsidRPr="00BC022F" w:rsidRDefault="00BA51D5" w:rsidP="00794C4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BA51D5" w:rsidRPr="00BC022F" w14:paraId="731CC68A" w14:textId="77777777" w:rsidTr="00794C47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794C4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794C4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794C4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794C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794C47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794C4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EE62A34" w14:textId="77777777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42963D3D" w:rsidR="00BA51D5" w:rsidRPr="00BC022F" w:rsidRDefault="00BA51D5" w:rsidP="00BA51D5">
      <w:pPr>
        <w:pStyle w:val="ListParagraph"/>
        <w:numPr>
          <w:ilvl w:val="0"/>
          <w:numId w:val="3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41096B5E" w:rsidR="00BA51D5" w:rsidRPr="00BC022F" w:rsidRDefault="00BA51D5" w:rsidP="00BA51D5">
      <w:pPr>
        <w:pStyle w:val="ListParagraph"/>
        <w:numPr>
          <w:ilvl w:val="0"/>
          <w:numId w:val="3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ir izveidota </w:t>
      </w:r>
      <w:r w:rsidR="542BC3FF" w:rsidRPr="00BC022F">
        <w:rPr>
          <w:rFonts w:ascii="Times New Roman" w:hAnsi="Times New Roman" w:cs="Times New Roman"/>
          <w:sz w:val="24"/>
          <w:szCs w:val="24"/>
          <w:lang w:eastAsia="lv-LV"/>
        </w:rPr>
        <w:t>vai ne vēlāk</w:t>
      </w:r>
      <w:r w:rsidR="2879ADCC"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kā mēnesi pēc līguma par projekta īstenošanu parakstīšanas</w:t>
      </w:r>
      <w:r w:rsidR="404701D1"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līdz pirmajam maksājuma pieprasījumam tiks izveidota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5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prasībām, kura sevī ietver</w:t>
      </w:r>
      <w:r w:rsidR="00260383">
        <w:rPr>
          <w:rFonts w:ascii="Times New Roman" w:hAnsi="Times New Roman" w:cs="Times New Roman"/>
          <w:sz w:val="24"/>
          <w:szCs w:val="24"/>
          <w:lang w:eastAsia="lv-LV"/>
        </w:rPr>
        <w:t xml:space="preserve"> vismaz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24438FC0" w14:textId="2E97BDC4" w:rsidR="00260383" w:rsidRDefault="00260383" w:rsidP="1FDDC6A4">
      <w:pPr>
        <w:pStyle w:val="ListParagraph"/>
        <w:numPr>
          <w:ilvl w:val="0"/>
          <w:numId w:val="4"/>
        </w:numPr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1FDDC6A4">
        <w:rPr>
          <w:rFonts w:ascii="Times New Roman" w:hAnsi="Times New Roman" w:cs="Times New Roman"/>
          <w:sz w:val="24"/>
          <w:szCs w:val="24"/>
          <w:lang w:eastAsia="lv-LV"/>
        </w:rPr>
        <w:t>pasākumus krāpšanas un korupcijas risku novēršanai;</w:t>
      </w:r>
    </w:p>
    <w:p w14:paraId="0E57D289" w14:textId="30400E21" w:rsidR="00260383" w:rsidRDefault="00260383" w:rsidP="1FDDC6A4">
      <w:pPr>
        <w:pStyle w:val="ListParagraph"/>
        <w:numPr>
          <w:ilvl w:val="0"/>
          <w:numId w:val="4"/>
        </w:numPr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1FDDC6A4">
        <w:rPr>
          <w:rFonts w:ascii="Times New Roman" w:hAnsi="Times New Roman"/>
          <w:sz w:val="24"/>
          <w:szCs w:val="24"/>
          <w:lang w:eastAsia="lv-LV"/>
        </w:rPr>
        <w:t>iekšējās informācijas aprites un komunikācijas pasākumu aprakst</w:t>
      </w:r>
      <w:r w:rsidR="00E46A80" w:rsidRPr="1FDDC6A4">
        <w:rPr>
          <w:rFonts w:ascii="Times New Roman" w:hAnsi="Times New Roman"/>
          <w:sz w:val="24"/>
          <w:szCs w:val="24"/>
          <w:lang w:eastAsia="lv-LV"/>
        </w:rPr>
        <w:t>u</w:t>
      </w:r>
      <w:r w:rsidRPr="1FDDC6A4">
        <w:rPr>
          <w:rFonts w:ascii="Times New Roman" w:hAnsi="Times New Roman"/>
          <w:sz w:val="24"/>
          <w:szCs w:val="24"/>
          <w:lang w:eastAsia="lv-LV"/>
        </w:rPr>
        <w:t xml:space="preserve"> par interešu konflikta, krāpšanas un korupcijas riska novēršanu;</w:t>
      </w:r>
    </w:p>
    <w:p w14:paraId="1D2038EC" w14:textId="24EFF2D5" w:rsidR="00BA51D5" w:rsidRPr="00BC022F" w:rsidRDefault="00BA51D5" w:rsidP="00BA51D5">
      <w:pPr>
        <w:pStyle w:val="ListParagraph"/>
        <w:numPr>
          <w:ilvl w:val="0"/>
          <w:numId w:val="4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t.sk. paziņošanas procedūru, labošanas pasākumus;</w:t>
      </w:r>
    </w:p>
    <w:p w14:paraId="7834853B" w14:textId="77777777" w:rsidR="00BA51D5" w:rsidRPr="00BC022F" w:rsidRDefault="00BA51D5" w:rsidP="77F54814">
      <w:pPr>
        <w:pStyle w:val="ListParagraph"/>
        <w:numPr>
          <w:ilvl w:val="0"/>
          <w:numId w:val="4"/>
        </w:numPr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77F54814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00D6EB00" w:rsidR="00BA51D5" w:rsidRPr="00BC022F" w:rsidRDefault="00BA51D5" w:rsidP="1FDDC6A4">
      <w:pPr>
        <w:pStyle w:val="ListParagraph"/>
        <w:numPr>
          <w:ilvl w:val="0"/>
          <w:numId w:val="4"/>
        </w:numPr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ētikas </w:t>
      </w:r>
      <w:r w:rsidR="00E46A80"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kodeksu </w:t>
      </w:r>
      <w:r w:rsidR="00260383"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vai </w:t>
      </w:r>
      <w:r w:rsidR="00E46A80"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ētikas </w:t>
      </w:r>
      <w:r w:rsidR="00CE44B3" w:rsidRPr="1FDDC6A4">
        <w:rPr>
          <w:rFonts w:ascii="Times New Roman" w:hAnsi="Times New Roman" w:cs="Times New Roman"/>
          <w:sz w:val="24"/>
          <w:szCs w:val="24"/>
          <w:lang w:eastAsia="lv-LV"/>
        </w:rPr>
        <w:t>pamat</w:t>
      </w:r>
      <w:r w:rsidR="00E46A80" w:rsidRPr="1FDDC6A4">
        <w:rPr>
          <w:rFonts w:ascii="Times New Roman" w:hAnsi="Times New Roman" w:cs="Times New Roman"/>
          <w:sz w:val="24"/>
          <w:szCs w:val="24"/>
          <w:lang w:eastAsia="lv-LV"/>
        </w:rPr>
        <w:t>principus</w:t>
      </w:r>
      <w:r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 un procedūras disciplināratbildības piemērošanai;</w:t>
      </w:r>
    </w:p>
    <w:p w14:paraId="10D0B962" w14:textId="3DE81B67" w:rsidR="00BA51D5" w:rsidRPr="00BC022F" w:rsidRDefault="00BA51D5" w:rsidP="1FDDC6A4">
      <w:pPr>
        <w:pStyle w:val="ListParagraph"/>
        <w:numPr>
          <w:ilvl w:val="0"/>
          <w:numId w:val="4"/>
        </w:numPr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ziņošanas </w:t>
      </w:r>
      <w:r w:rsidR="00E46A80"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mehānismu </w:t>
      </w:r>
      <w:r w:rsidRPr="1FDDC6A4">
        <w:rPr>
          <w:rFonts w:ascii="Times New Roman" w:hAnsi="Times New Roman" w:cs="Times New Roman"/>
          <w:sz w:val="24"/>
          <w:szCs w:val="24"/>
          <w:lang w:eastAsia="lv-LV"/>
        </w:rPr>
        <w:t>kompetentajām iestādēm par potenciālu administratīvu/kriminālatbildību;</w:t>
      </w:r>
    </w:p>
    <w:p w14:paraId="6653D35D" w14:textId="77777777" w:rsidR="00E46A80" w:rsidRDefault="00E46A80" w:rsidP="1FDDC6A4">
      <w:pPr>
        <w:pStyle w:val="ListParagraph"/>
        <w:numPr>
          <w:ilvl w:val="0"/>
          <w:numId w:val="4"/>
        </w:numPr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bookmarkStart w:id="1" w:name="_Hlk172892698"/>
      <w:r w:rsidRPr="1FDDC6A4">
        <w:rPr>
          <w:rFonts w:ascii="Times New Roman" w:hAnsi="Times New Roman"/>
          <w:sz w:val="24"/>
          <w:szCs w:val="24"/>
          <w:lang w:eastAsia="lv-LV"/>
        </w:rPr>
        <w:t>kārtību</w:t>
      </w:r>
      <w:r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, kādā darbiniekiem ir jārīkojas gadījumā, ja tie vēlas ziņot par iespējamiem pārkāpumiem (tai skaitā iespējamām koruptīvām darbībām), ietverot pasākumus, lai nodrošinātu ziņotāja anonimitāti un aizsardzību, t.sk. </w:t>
      </w:r>
      <w:r w:rsidR="00BA51D5" w:rsidRPr="1FDDC6A4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organizācijā </w:t>
      </w:r>
      <w:bookmarkEnd w:id="1"/>
      <w:r w:rsidR="00BA51D5" w:rsidRPr="1FDDC6A4">
        <w:rPr>
          <w:rFonts w:ascii="Times New Roman" w:hAnsi="Times New Roman" w:cs="Times New Roman"/>
          <w:sz w:val="24"/>
          <w:szCs w:val="24"/>
          <w:lang w:eastAsia="lv-LV"/>
        </w:rPr>
        <w:t>ir izveidota trauksmes celšanas sistēma</w:t>
      </w:r>
      <w:r w:rsidRPr="1FDDC6A4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3264A57E" w14:textId="38E074BF" w:rsidR="00BA51D5" w:rsidRPr="00BC022F" w:rsidRDefault="00E46A80" w:rsidP="1FDDC6A4">
      <w:pPr>
        <w:pStyle w:val="ListParagraph"/>
        <w:numPr>
          <w:ilvl w:val="0"/>
          <w:numId w:val="4"/>
        </w:numPr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1FDDC6A4">
        <w:rPr>
          <w:rFonts w:ascii="Times New Roman" w:hAnsi="Times New Roman"/>
          <w:sz w:val="24"/>
          <w:szCs w:val="24"/>
          <w:lang w:eastAsia="lv-LV"/>
        </w:rPr>
        <w:t>dubultā finansējuma novēršanas mehānismu pret citiem finansēšanas avotiem, tai skaitā pret valsts, pašvaldības vai ārvalstu finanšu instrumentiem</w:t>
      </w:r>
      <w:r w:rsidR="00BA51D5" w:rsidRPr="1FDDC6A4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51D5" w:rsidRPr="00BC022F" w14:paraId="4C9B1A13" w14:textId="77777777" w:rsidTr="00794C47">
        <w:tc>
          <w:tcPr>
            <w:tcW w:w="1413" w:type="dxa"/>
          </w:tcPr>
          <w:p w14:paraId="5A2D91C9" w14:textId="77777777" w:rsidR="00BA51D5" w:rsidRPr="00BC022F" w:rsidRDefault="00BA51D5" w:rsidP="00794C4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77777777" w:rsidR="00BA51D5" w:rsidRPr="00BC022F" w:rsidRDefault="00BA51D5" w:rsidP="00794C4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794C47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794C47">
        <w:tc>
          <w:tcPr>
            <w:tcW w:w="1413" w:type="dxa"/>
            <w:vMerge w:val="restart"/>
          </w:tcPr>
          <w:p w14:paraId="754437EC" w14:textId="77777777" w:rsidR="00BA51D5" w:rsidRPr="00BC022F" w:rsidRDefault="00BA51D5" w:rsidP="00794C4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794C4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794C47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794C4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794C4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794C47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794C47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794C47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7D3821E4" w14:textId="77777777" w:rsidR="0072099E" w:rsidRPr="00BA51D5" w:rsidRDefault="0072099E" w:rsidP="77F54814">
      <w:pPr>
        <w:ind w:left="0" w:firstLine="0"/>
      </w:pPr>
    </w:p>
    <w:p w14:paraId="73B4C112" w14:textId="232D3078" w:rsidR="77F54814" w:rsidRDefault="77F54814" w:rsidP="77F54814">
      <w:pPr>
        <w:ind w:left="0" w:firstLine="0"/>
      </w:pPr>
    </w:p>
    <w:p w14:paraId="7CD4DE95" w14:textId="4CEAAE56" w:rsidR="58D2672F" w:rsidRDefault="58D2672F" w:rsidP="77F54814">
      <w:pPr>
        <w:ind w:left="0" w:firstLine="0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77F548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*Apliecinājums iesniedzams </w:t>
      </w:r>
      <w:r w:rsidR="699CA134" w:rsidRPr="77F5481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publiskas personas institūcijām.</w:t>
      </w:r>
    </w:p>
    <w:sectPr w:rsidR="58D2672F" w:rsidSect="007461C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D069A" w14:textId="77777777" w:rsidR="00987FD0" w:rsidRDefault="00987FD0" w:rsidP="00BA51D5">
      <w:pPr>
        <w:spacing w:before="0" w:after="0"/>
      </w:pPr>
      <w:r>
        <w:separator/>
      </w:r>
    </w:p>
  </w:endnote>
  <w:endnote w:type="continuationSeparator" w:id="0">
    <w:p w14:paraId="0B1F2447" w14:textId="77777777" w:rsidR="00987FD0" w:rsidRDefault="00987FD0" w:rsidP="00BA51D5">
      <w:pPr>
        <w:spacing w:before="0" w:after="0"/>
      </w:pPr>
      <w:r>
        <w:continuationSeparator/>
      </w:r>
    </w:p>
  </w:endnote>
  <w:endnote w:type="continuationNotice" w:id="1">
    <w:p w14:paraId="0A04C379" w14:textId="77777777" w:rsidR="00AB2B8D" w:rsidRDefault="00AB2B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95CAC" w14:textId="77777777" w:rsidR="00987FD0" w:rsidRDefault="00987FD0" w:rsidP="00BA51D5">
      <w:pPr>
        <w:spacing w:before="0" w:after="0"/>
      </w:pPr>
      <w:r>
        <w:separator/>
      </w:r>
    </w:p>
  </w:footnote>
  <w:footnote w:type="continuationSeparator" w:id="0">
    <w:p w14:paraId="3A34CD6B" w14:textId="77777777" w:rsidR="00987FD0" w:rsidRDefault="00987FD0" w:rsidP="00BA51D5">
      <w:pPr>
        <w:spacing w:before="0" w:after="0"/>
      </w:pPr>
      <w:r>
        <w:continuationSeparator/>
      </w:r>
    </w:p>
  </w:footnote>
  <w:footnote w:type="continuationNotice" w:id="1">
    <w:p w14:paraId="01AA3E2B" w14:textId="77777777" w:rsidR="00AB2B8D" w:rsidRDefault="00AB2B8D">
      <w:pPr>
        <w:spacing w:before="0" w:after="0"/>
      </w:pPr>
    </w:p>
  </w:footnote>
  <w:footnote w:id="2">
    <w:p w14:paraId="48CAE913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3">
    <w:p w14:paraId="2B5C63CE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</w:p>
  </w:footnote>
  <w:footnote w:id="4">
    <w:p w14:paraId="126DB0E0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</w:p>
  </w:footnote>
  <w:footnote w:id="5">
    <w:p w14:paraId="15274F74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A7E"/>
    <w:multiLevelType w:val="hybridMultilevel"/>
    <w:tmpl w:val="91669BAA"/>
    <w:lvl w:ilvl="0" w:tplc="54C0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02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E1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7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AE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C7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20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C2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04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2B4F"/>
    <w:multiLevelType w:val="hybridMultilevel"/>
    <w:tmpl w:val="577A60D6"/>
    <w:lvl w:ilvl="0" w:tplc="74927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2C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24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4A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46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C9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01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A9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22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472141">
    <w:abstractNumId w:val="1"/>
  </w:num>
  <w:num w:numId="2" w16cid:durableId="740710137">
    <w:abstractNumId w:val="0"/>
  </w:num>
  <w:num w:numId="3" w16cid:durableId="1687243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79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106290"/>
    <w:rsid w:val="001F2CC6"/>
    <w:rsid w:val="00260383"/>
    <w:rsid w:val="00276EFD"/>
    <w:rsid w:val="00491D64"/>
    <w:rsid w:val="00551AC0"/>
    <w:rsid w:val="005C331A"/>
    <w:rsid w:val="005E0E84"/>
    <w:rsid w:val="00630719"/>
    <w:rsid w:val="006941EF"/>
    <w:rsid w:val="0072099E"/>
    <w:rsid w:val="00723646"/>
    <w:rsid w:val="007461C4"/>
    <w:rsid w:val="00794C47"/>
    <w:rsid w:val="00834162"/>
    <w:rsid w:val="00987FD0"/>
    <w:rsid w:val="009A3C2C"/>
    <w:rsid w:val="009A6D89"/>
    <w:rsid w:val="00A779FB"/>
    <w:rsid w:val="00AB2B8D"/>
    <w:rsid w:val="00B516CC"/>
    <w:rsid w:val="00BA51D5"/>
    <w:rsid w:val="00C05CCC"/>
    <w:rsid w:val="00C80C47"/>
    <w:rsid w:val="00CA4937"/>
    <w:rsid w:val="00CE44B3"/>
    <w:rsid w:val="00CF26AA"/>
    <w:rsid w:val="00D429DD"/>
    <w:rsid w:val="00E339B2"/>
    <w:rsid w:val="00E46A80"/>
    <w:rsid w:val="00E5317D"/>
    <w:rsid w:val="00EC0B5D"/>
    <w:rsid w:val="00F7787D"/>
    <w:rsid w:val="00FD16EF"/>
    <w:rsid w:val="09C0DE85"/>
    <w:rsid w:val="11EA5908"/>
    <w:rsid w:val="18639962"/>
    <w:rsid w:val="1F81961A"/>
    <w:rsid w:val="1FDDC6A4"/>
    <w:rsid w:val="245408E0"/>
    <w:rsid w:val="26ACF7BF"/>
    <w:rsid w:val="271BA6B9"/>
    <w:rsid w:val="2879ADCC"/>
    <w:rsid w:val="30C83FE6"/>
    <w:rsid w:val="31E52689"/>
    <w:rsid w:val="362C035A"/>
    <w:rsid w:val="374ECFD2"/>
    <w:rsid w:val="39DB3D59"/>
    <w:rsid w:val="3CA3C6DA"/>
    <w:rsid w:val="404701D1"/>
    <w:rsid w:val="46B9EC15"/>
    <w:rsid w:val="48C8D101"/>
    <w:rsid w:val="542BC3FF"/>
    <w:rsid w:val="54A8A4D7"/>
    <w:rsid w:val="58D2672F"/>
    <w:rsid w:val="5A75942A"/>
    <w:rsid w:val="5E83871C"/>
    <w:rsid w:val="65A1B477"/>
    <w:rsid w:val="660B93D5"/>
    <w:rsid w:val="678BE853"/>
    <w:rsid w:val="699CA134"/>
    <w:rsid w:val="726C0F41"/>
    <w:rsid w:val="73E5A3D4"/>
    <w:rsid w:val="766084BF"/>
    <w:rsid w:val="77F5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CDF2"/>
  <w15:chartTrackingRefBased/>
  <w15:docId w15:val="{74C9A1B5-5E43-4899-A251-215CE5AB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0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2B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2B8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B8D"/>
  </w:style>
  <w:style w:type="paragraph" w:styleId="Footer">
    <w:name w:val="footer"/>
    <w:basedOn w:val="Normal"/>
    <w:link w:val="FooterChar"/>
    <w:uiPriority w:val="99"/>
    <w:semiHidden/>
    <w:unhideWhenUsed/>
    <w:rsid w:val="00AB2B8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A2D14-E458-48BB-A1E9-4FED43F41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E159A-91A9-4194-B32F-7EA520CB60C9}">
  <ds:schemaRefs>
    <ds:schemaRef ds:uri="http://purl.org/dc/dcmitype/"/>
    <ds:schemaRef ds:uri="http://schemas.microsoft.com/office/2006/metadata/properties"/>
    <ds:schemaRef ds:uri="http://purl.org/dc/terms/"/>
    <ds:schemaRef ds:uri="42144e59-5907-413f-b624-803f3a022d9b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5a75a1d-8b78-49a6-8e4b-dbe94589a28d"/>
  </ds:schemaRefs>
</ds:datastoreItem>
</file>

<file path=customXml/itemProps3.xml><?xml version="1.0" encoding="utf-8"?>
<ds:datastoreItem xmlns:ds="http://schemas.openxmlformats.org/officeDocument/2006/customXml" ds:itemID="{6CEBBFD7-65DC-49A4-8465-C4E742631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4</DocSecurity>
  <Lines>15</Lines>
  <Paragraphs>4</Paragraphs>
  <ScaleCrop>false</ScaleCrop>
  <Company>CFLA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Jolanta Skujeniece</cp:lastModifiedBy>
  <cp:revision>5</cp:revision>
  <dcterms:created xsi:type="dcterms:W3CDTF">2024-07-26T21:17:00Z</dcterms:created>
  <dcterms:modified xsi:type="dcterms:W3CDTF">2024-07-29T08:42:00Z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