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09A5" w14:textId="4EA8E2D8" w:rsidR="0053369A" w:rsidRDefault="0053369A" w:rsidP="004524C0">
      <w:pPr>
        <w:spacing w:after="0" w:line="240" w:lineRule="auto"/>
        <w:jc w:val="center"/>
        <w:rPr>
          <w:rFonts w:ascii="Times New Roman" w:hAnsi="Times New Roman" w:cs="Times New Roman"/>
          <w:b/>
          <w:bCs/>
          <w:sz w:val="24"/>
          <w:szCs w:val="24"/>
          <w:lang w:val="lv-LV"/>
        </w:rPr>
      </w:pPr>
      <w:bookmarkStart w:id="0" w:name="_Hlk159849217"/>
      <w:r w:rsidRPr="00896442">
        <w:rPr>
          <w:rFonts w:ascii="Times New Roman" w:hAnsi="Times New Roman" w:cs="Times New Roman"/>
          <w:b/>
          <w:bCs/>
          <w:sz w:val="24"/>
          <w:szCs w:val="24"/>
          <w:lang w:val="lv-LV"/>
        </w:rPr>
        <w:t xml:space="preserve">Jaunā </w:t>
      </w:r>
      <w:proofErr w:type="spellStart"/>
      <w:r w:rsidRPr="00896442">
        <w:rPr>
          <w:rFonts w:ascii="Times New Roman" w:hAnsi="Times New Roman" w:cs="Times New Roman"/>
          <w:b/>
          <w:bCs/>
          <w:sz w:val="24"/>
          <w:szCs w:val="24"/>
          <w:lang w:val="lv-LV"/>
        </w:rPr>
        <w:t>Euro</w:t>
      </w:r>
      <w:r w:rsidR="00896442">
        <w:rPr>
          <w:rFonts w:ascii="Times New Roman" w:hAnsi="Times New Roman" w:cs="Times New Roman"/>
          <w:b/>
          <w:bCs/>
          <w:sz w:val="24"/>
          <w:szCs w:val="24"/>
          <w:lang w:val="lv-LV"/>
        </w:rPr>
        <w:t>p</w:t>
      </w:r>
      <w:r w:rsidRPr="00896442">
        <w:rPr>
          <w:rFonts w:ascii="Times New Roman" w:hAnsi="Times New Roman" w:cs="Times New Roman"/>
          <w:b/>
          <w:bCs/>
          <w:sz w:val="24"/>
          <w:szCs w:val="24"/>
          <w:lang w:val="lv-LV"/>
        </w:rPr>
        <w:t>as</w:t>
      </w:r>
      <w:proofErr w:type="spellEnd"/>
      <w:r w:rsidRPr="00896442">
        <w:rPr>
          <w:rFonts w:ascii="Times New Roman" w:hAnsi="Times New Roman" w:cs="Times New Roman"/>
          <w:b/>
          <w:bCs/>
          <w:sz w:val="24"/>
          <w:szCs w:val="24"/>
          <w:lang w:val="lv-LV"/>
        </w:rPr>
        <w:t xml:space="preserve"> “</w:t>
      </w:r>
      <w:proofErr w:type="spellStart"/>
      <w:r w:rsidRPr="00896442">
        <w:rPr>
          <w:rFonts w:ascii="Times New Roman" w:hAnsi="Times New Roman" w:cs="Times New Roman"/>
          <w:b/>
          <w:bCs/>
          <w:sz w:val="24"/>
          <w:szCs w:val="24"/>
          <w:lang w:val="lv-LV"/>
        </w:rPr>
        <w:t>Bauhaus</w:t>
      </w:r>
      <w:proofErr w:type="spellEnd"/>
      <w:r w:rsidRPr="00896442">
        <w:rPr>
          <w:rFonts w:ascii="Times New Roman" w:hAnsi="Times New Roman" w:cs="Times New Roman"/>
          <w:b/>
          <w:bCs/>
          <w:sz w:val="24"/>
          <w:szCs w:val="24"/>
          <w:lang w:val="lv-LV"/>
        </w:rPr>
        <w:t>” kritēriju piem</w:t>
      </w:r>
      <w:r w:rsidR="00896442" w:rsidRPr="00896442">
        <w:rPr>
          <w:rFonts w:ascii="Times New Roman" w:hAnsi="Times New Roman" w:cs="Times New Roman"/>
          <w:b/>
          <w:bCs/>
          <w:sz w:val="24"/>
          <w:szCs w:val="24"/>
          <w:lang w:val="lv-LV"/>
        </w:rPr>
        <w:t>ērošanas skaidrojums</w:t>
      </w:r>
    </w:p>
    <w:p w14:paraId="76033A3B" w14:textId="77777777" w:rsidR="00896442" w:rsidRPr="00896442" w:rsidRDefault="00896442" w:rsidP="0053369A">
      <w:pPr>
        <w:spacing w:after="0" w:line="240" w:lineRule="auto"/>
        <w:rPr>
          <w:rFonts w:ascii="Times New Roman" w:hAnsi="Times New Roman" w:cs="Times New Roman"/>
          <w:b/>
          <w:bCs/>
          <w:sz w:val="24"/>
          <w:szCs w:val="24"/>
          <w:lang w:val="lv-LV"/>
        </w:rPr>
      </w:pPr>
    </w:p>
    <w:p w14:paraId="47A25CCC" w14:textId="7C81E17A"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Detalizēti kritēriju skaidrojumi pieņemti pēc </w:t>
      </w:r>
      <w:hyperlink r:id="rId8" w:tgtFrame="_blank">
        <w:r w:rsidRPr="0053369A">
          <w:rPr>
            <w:rStyle w:val="Hipersaite"/>
            <w:rFonts w:ascii="Times New Roman" w:hAnsi="Times New Roman" w:cs="Times New Roman"/>
            <w:sz w:val="24"/>
            <w:szCs w:val="24"/>
            <w:lang w:val="lv-LV"/>
          </w:rPr>
          <w:t>NEB_TDM_financial_instrument.pdf (fi-compass.eu)</w:t>
        </w:r>
      </w:hyperlink>
      <w:r w:rsidRPr="0053369A">
        <w:rPr>
          <w:rStyle w:val="Hipersaite"/>
          <w:rFonts w:ascii="Times New Roman" w:hAnsi="Times New Roman" w:cs="Times New Roman"/>
          <w:sz w:val="24"/>
          <w:szCs w:val="24"/>
          <w:lang w:val="lv-LV"/>
        </w:rPr>
        <w:t xml:space="preserve">   </w:t>
      </w:r>
      <w:r w:rsidRPr="0053369A">
        <w:rPr>
          <w:rFonts w:ascii="Times New Roman" w:hAnsi="Times New Roman" w:cs="Times New Roman"/>
          <w:sz w:val="24"/>
          <w:szCs w:val="24"/>
          <w:lang w:val="lv-LV"/>
        </w:rPr>
        <w:t>dokumentā dotā skaidrojuma</w:t>
      </w:r>
      <w:bookmarkEnd w:id="0"/>
    </w:p>
    <w:p w14:paraId="3ACED195"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Saīsinājumi:</w:t>
      </w:r>
    </w:p>
    <w:p w14:paraId="2B4B01F2"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NEB – </w:t>
      </w:r>
      <w:proofErr w:type="spellStart"/>
      <w:r w:rsidRPr="0053369A">
        <w:rPr>
          <w:rFonts w:ascii="Times New Roman" w:hAnsi="Times New Roman" w:cs="Times New Roman"/>
          <w:sz w:val="24"/>
          <w:szCs w:val="24"/>
          <w:lang w:val="lv-LV"/>
        </w:rPr>
        <w:t>New</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Bauhaus</w:t>
      </w:r>
      <w:proofErr w:type="spellEnd"/>
      <w:r w:rsidRPr="0053369A">
        <w:rPr>
          <w:rFonts w:ascii="Times New Roman" w:hAnsi="Times New Roman" w:cs="Times New Roman"/>
          <w:sz w:val="24"/>
          <w:szCs w:val="24"/>
          <w:lang w:val="lv-LV"/>
        </w:rPr>
        <w:t xml:space="preserve"> - Jaunais Eiropas “</w:t>
      </w:r>
      <w:proofErr w:type="spellStart"/>
      <w:r w:rsidRPr="0053369A">
        <w:rPr>
          <w:rFonts w:ascii="Times New Roman" w:hAnsi="Times New Roman" w:cs="Times New Roman"/>
          <w:sz w:val="24"/>
          <w:szCs w:val="24"/>
          <w:lang w:val="lv-LV"/>
        </w:rPr>
        <w:t>Bauhaus</w:t>
      </w:r>
      <w:proofErr w:type="spellEnd"/>
      <w:r w:rsidRPr="0053369A">
        <w:rPr>
          <w:rFonts w:ascii="Times New Roman" w:hAnsi="Times New Roman" w:cs="Times New Roman"/>
          <w:sz w:val="24"/>
          <w:szCs w:val="24"/>
          <w:lang w:val="lv-LV"/>
        </w:rPr>
        <w:t>”</w:t>
      </w:r>
    </w:p>
    <w:p w14:paraId="779658F5"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TDM – </w:t>
      </w:r>
      <w:proofErr w:type="spellStart"/>
      <w:r w:rsidRPr="0053369A">
        <w:rPr>
          <w:rFonts w:ascii="Times New Roman" w:hAnsi="Times New Roman" w:cs="Times New Roman"/>
          <w:sz w:val="24"/>
          <w:szCs w:val="24"/>
          <w:lang w:val="lv-LV"/>
        </w:rPr>
        <w:t>territorial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development</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model</w:t>
      </w:r>
      <w:proofErr w:type="spellEnd"/>
      <w:r w:rsidRPr="0053369A">
        <w:rPr>
          <w:rFonts w:ascii="Times New Roman" w:hAnsi="Times New Roman" w:cs="Times New Roman"/>
          <w:sz w:val="24"/>
          <w:szCs w:val="24"/>
          <w:lang w:val="lv-LV"/>
        </w:rPr>
        <w:t xml:space="preserve"> – teritorijas attīstības modelis</w:t>
      </w:r>
    </w:p>
    <w:p w14:paraId="5DDFAA1C"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MA – </w:t>
      </w:r>
      <w:proofErr w:type="spellStart"/>
      <w:r w:rsidRPr="0053369A">
        <w:rPr>
          <w:rFonts w:ascii="Times New Roman" w:hAnsi="Times New Roman" w:cs="Times New Roman"/>
          <w:sz w:val="24"/>
          <w:szCs w:val="24"/>
          <w:lang w:val="lv-LV"/>
        </w:rPr>
        <w:t>managing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authority</w:t>
      </w:r>
      <w:proofErr w:type="spellEnd"/>
      <w:r w:rsidRPr="0053369A">
        <w:rPr>
          <w:rFonts w:ascii="Times New Roman" w:hAnsi="Times New Roman" w:cs="Times New Roman"/>
          <w:sz w:val="24"/>
          <w:szCs w:val="24"/>
          <w:lang w:val="lv-LV"/>
        </w:rPr>
        <w:t xml:space="preserve"> – uzraudzības/vadošā iestāde</w:t>
      </w:r>
    </w:p>
    <w:p w14:paraId="688DDECB"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FI – </w:t>
      </w:r>
      <w:proofErr w:type="spellStart"/>
      <w:r w:rsidRPr="0053369A">
        <w:rPr>
          <w:rFonts w:ascii="Times New Roman" w:hAnsi="Times New Roman" w:cs="Times New Roman"/>
          <w:sz w:val="24"/>
          <w:szCs w:val="24"/>
          <w:lang w:val="lv-LV"/>
        </w:rPr>
        <w:t>financial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instrument</w:t>
      </w:r>
      <w:proofErr w:type="spellEnd"/>
      <w:r w:rsidRPr="0053369A">
        <w:rPr>
          <w:rFonts w:ascii="Times New Roman" w:hAnsi="Times New Roman" w:cs="Times New Roman"/>
          <w:sz w:val="24"/>
          <w:szCs w:val="24"/>
          <w:lang w:val="lv-LV"/>
        </w:rPr>
        <w:t xml:space="preserve"> – finanšu instruments</w:t>
      </w:r>
    </w:p>
    <w:p w14:paraId="25A8FDCB" w14:textId="77777777" w:rsidR="00DB2679" w:rsidRPr="0053369A" w:rsidRDefault="00DB2679">
      <w:pPr>
        <w:rPr>
          <w:rFonts w:ascii="Times New Roman" w:hAnsi="Times New Roman" w:cs="Times New Roman"/>
          <w:b/>
          <w:bCs/>
          <w:sz w:val="24"/>
          <w:szCs w:val="24"/>
          <w:lang w:val="lv-LV"/>
        </w:rPr>
      </w:pPr>
    </w:p>
    <w:p w14:paraId="5F1D2BBC" w14:textId="2FAF459C" w:rsidR="00DB2679" w:rsidRPr="0053369A" w:rsidRDefault="00635A1B">
      <w:pPr>
        <w:jc w:val="center"/>
        <w:rPr>
          <w:rFonts w:ascii="Times New Roman" w:hAnsi="Times New Roman" w:cs="Times New Roman"/>
          <w:sz w:val="24"/>
          <w:szCs w:val="24"/>
          <w:lang w:val="lv-LV"/>
        </w:rPr>
      </w:pPr>
      <w:r w:rsidRPr="0053369A">
        <w:rPr>
          <w:rFonts w:ascii="Times New Roman" w:hAnsi="Times New Roman" w:cs="Times New Roman"/>
          <w:sz w:val="24"/>
          <w:szCs w:val="24"/>
          <w:lang w:val="lv-LV"/>
        </w:rPr>
        <w:t>3. daļa: projektu atbilstība NEB - pamatprincipi</w:t>
      </w:r>
    </w:p>
    <w:p w14:paraId="7D23C713" w14:textId="77777777" w:rsidR="00DB2679" w:rsidRPr="0053369A" w:rsidRDefault="00635A1B">
      <w:pPr>
        <w:jc w:val="center"/>
        <w:rPr>
          <w:rFonts w:ascii="Times New Roman" w:hAnsi="Times New Roman" w:cs="Times New Roman"/>
          <w:sz w:val="24"/>
          <w:szCs w:val="24"/>
          <w:lang w:val="lv-LV"/>
        </w:rPr>
      </w:pPr>
      <w:r w:rsidRPr="0053369A">
        <w:rPr>
          <w:rFonts w:ascii="Times New Roman" w:hAnsi="Times New Roman" w:cs="Times New Roman"/>
          <w:sz w:val="24"/>
          <w:szCs w:val="24"/>
          <w:lang w:val="lv-LV"/>
        </w:rPr>
        <w:t>Augstas kvalitātes NEB pamatvērtību piemērošana</w:t>
      </w:r>
    </w:p>
    <w:p w14:paraId="609926CD" w14:textId="77777777" w:rsidR="00DB2679" w:rsidRPr="0053369A" w:rsidRDefault="00DB2679" w:rsidP="0053369A">
      <w:pPr>
        <w:jc w:val="both"/>
        <w:rPr>
          <w:rFonts w:ascii="Times New Roman" w:hAnsi="Times New Roman" w:cs="Times New Roman"/>
          <w:b/>
          <w:bCs/>
          <w:sz w:val="24"/>
          <w:szCs w:val="24"/>
          <w:lang w:val="lv-LV"/>
        </w:rPr>
      </w:pPr>
    </w:p>
    <w:p w14:paraId="6E726CE6"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Ilgtspējība</w:t>
      </w:r>
    </w:p>
    <w:p w14:paraId="36C89902" w14:textId="2B2B0616"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NEB TDM atbalstīto projektu mērķis ir veicināt ilgtspējību. Paredzētajām projekta darbībām jāmazina ietekme uz vidi, jāsekmē saimnieciskā darbība, ievērojot dabas resursu ierobežotību, jāveicina esošo resursu efektīva izmantošana un jāpalīdz cilvēkiem atjaunot saikni ar dabu. Projekti var palīdzēt aizsargāt klimatu, palielināt noturību pret klimata pārmaiņām, saglabāt bioloģisko daudzveidību, samazināt resursu patēriņu un piesārņojumu, piemēram, sekmējot aprites modeli, atkārtoti izmantojot esošos resursus (piemēram, atkārtota ražošana) un veicinot </w:t>
      </w:r>
      <w:r w:rsidR="00920AE8" w:rsidRPr="0053369A">
        <w:rPr>
          <w:rFonts w:ascii="Times New Roman" w:hAnsi="Times New Roman" w:cs="Times New Roman"/>
          <w:sz w:val="24"/>
          <w:szCs w:val="24"/>
          <w:lang w:val="lv-LV"/>
        </w:rPr>
        <w:t xml:space="preserve">dabai draudzīgu </w:t>
      </w:r>
      <w:r w:rsidRPr="0053369A">
        <w:rPr>
          <w:rFonts w:ascii="Times New Roman" w:hAnsi="Times New Roman" w:cs="Times New Roman"/>
          <w:sz w:val="24"/>
          <w:szCs w:val="24"/>
          <w:lang w:val="lv-LV"/>
        </w:rPr>
        <w:t xml:space="preserve">dizainu, dabai pietuvinātus risinājumus un tuvuma </w:t>
      </w:r>
      <w:r w:rsidR="00920AE8" w:rsidRPr="0053369A">
        <w:rPr>
          <w:rFonts w:ascii="Times New Roman" w:hAnsi="Times New Roman" w:cs="Times New Roman"/>
          <w:sz w:val="24"/>
          <w:szCs w:val="24"/>
          <w:lang w:val="lv-LV"/>
        </w:rPr>
        <w:t xml:space="preserve">aprites </w:t>
      </w:r>
      <w:r w:rsidRPr="0053369A">
        <w:rPr>
          <w:rFonts w:ascii="Times New Roman" w:hAnsi="Times New Roman" w:cs="Times New Roman"/>
          <w:sz w:val="24"/>
          <w:szCs w:val="24"/>
          <w:lang w:val="lv-LV"/>
        </w:rPr>
        <w:t>ekonomiku. Projekti var veicināt dabas pieredzēšanu dzīves telpā, vairojot veselību un atpūtas iespējas un sekmējot izpratni par dabiskās vides nozīmi un tās saglabāšanu.</w:t>
      </w:r>
    </w:p>
    <w:p w14:paraId="48A2B978" w14:textId="77777777"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Ilgtspējības kritērijus var papildināt ar konkrētiem ilgtspējības kritērijiem, kuru pamatā ir attiecīgās programmas un prioritātes mērķi.</w:t>
      </w:r>
    </w:p>
    <w:p w14:paraId="25B1FEF8"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ilgtspējības kritērija novērtēšanai (neaprobežojoties tikai ar zemāk uzskaitītajiem):</w:t>
      </w:r>
    </w:p>
    <w:p w14:paraId="388F49C9"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ilgtspējības dimensija ietver detalizētu un ticamu aprakstu kvantitatīvi nosakāmiem parametriem paredzamajai ietekmei un tam, kā tā tiks sasniegta?</w:t>
      </w:r>
    </w:p>
    <w:p w14:paraId="6C0E67C1"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ietver un veicina saiknes atjaunošanu ar dabu, tās nozīmes novērtēšanu?</w:t>
      </w:r>
    </w:p>
    <w:p w14:paraId="7FAF38BE" w14:textId="18342884"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Uz kādiem vides aspektiem</w:t>
      </w:r>
      <w:r w:rsidRPr="0053369A">
        <w:rPr>
          <w:rFonts w:ascii="Times New Roman" w:hAnsi="Times New Roman" w:cs="Times New Roman"/>
          <w:sz w:val="24"/>
          <w:szCs w:val="24"/>
          <w:vertAlign w:val="superscript"/>
          <w:lang w:val="lv-LV"/>
        </w:rPr>
        <w:t xml:space="preserve">42 </w:t>
      </w:r>
      <w:r w:rsidRPr="0053369A">
        <w:rPr>
          <w:rFonts w:ascii="Times New Roman" w:hAnsi="Times New Roman" w:cs="Times New Roman"/>
          <w:sz w:val="24"/>
          <w:szCs w:val="24"/>
          <w:lang w:val="lv-LV"/>
        </w:rPr>
        <w:t>(piemēram, oglekļa pēdas nospiedums, tostarp oglekļa pagaidu uzglabāšana</w:t>
      </w:r>
      <w:r w:rsidRPr="0053369A">
        <w:rPr>
          <w:rFonts w:ascii="Times New Roman" w:hAnsi="Times New Roman" w:cs="Times New Roman"/>
          <w:sz w:val="24"/>
          <w:szCs w:val="24"/>
          <w:vertAlign w:val="superscript"/>
          <w:lang w:val="lv-LV"/>
        </w:rPr>
        <w:t>43</w:t>
      </w:r>
      <w:r w:rsidRPr="0053369A">
        <w:rPr>
          <w:rFonts w:ascii="Times New Roman" w:hAnsi="Times New Roman" w:cs="Times New Roman"/>
          <w:sz w:val="24"/>
          <w:szCs w:val="24"/>
          <w:lang w:val="lv-LV"/>
        </w:rPr>
        <w:t>, piemēram, ar ilgtspējīgi iegūtas koksnes izstrādājumiem, piesārņojuma/atkritumu samazināšanu, ar bioloģisko daudzveidību, ilgtspējīgu transportu u.c.) projekts attiecas? Projekts var risināt vienu vai vairākus vides aspektus, pētot iespējamo sinerģiju potenciālu un tādējādi tiecoties panākt plašu ietekmi uz ilgtspējību.</w:t>
      </w:r>
    </w:p>
    <w:p w14:paraId="0020C4F1"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attiecībā uz klimata pārmaiņu mazināšanu un pielāgošanos tām atbilst “būtiska pienesuma kritērijiem”, ko Eiropas Komisija ir noteikusi jaunu ēku būvniecībai</w:t>
      </w:r>
      <w:r w:rsidRPr="0053369A">
        <w:rPr>
          <w:rFonts w:ascii="Times New Roman" w:hAnsi="Times New Roman" w:cs="Times New Roman"/>
          <w:sz w:val="24"/>
          <w:szCs w:val="24"/>
          <w:vertAlign w:val="superscript"/>
          <w:lang w:val="lv-LV"/>
        </w:rPr>
        <w:t>44</w:t>
      </w:r>
      <w:r w:rsidRPr="0053369A">
        <w:rPr>
          <w:rFonts w:ascii="Times New Roman" w:hAnsi="Times New Roman" w:cs="Times New Roman"/>
          <w:sz w:val="24"/>
          <w:szCs w:val="24"/>
          <w:lang w:val="lv-LV"/>
        </w:rPr>
        <w:t xml:space="preserve"> un esošo ēku renovācijai</w:t>
      </w:r>
      <w:r w:rsidRPr="0053369A">
        <w:rPr>
          <w:rFonts w:ascii="Times New Roman" w:hAnsi="Times New Roman" w:cs="Times New Roman"/>
          <w:sz w:val="24"/>
          <w:szCs w:val="24"/>
          <w:vertAlign w:val="superscript"/>
          <w:lang w:val="lv-LV"/>
        </w:rPr>
        <w:t>45</w:t>
      </w:r>
      <w:r w:rsidRPr="0053369A">
        <w:rPr>
          <w:rFonts w:ascii="Times New Roman" w:hAnsi="Times New Roman" w:cs="Times New Roman"/>
          <w:sz w:val="24"/>
          <w:szCs w:val="24"/>
          <w:lang w:val="lv-LV"/>
        </w:rPr>
        <w:t xml:space="preserve"> ES Taksonomijas kompasā</w:t>
      </w:r>
      <w:r w:rsidRPr="0053369A">
        <w:rPr>
          <w:rFonts w:ascii="Times New Roman" w:hAnsi="Times New Roman" w:cs="Times New Roman"/>
          <w:sz w:val="24"/>
          <w:szCs w:val="24"/>
          <w:vertAlign w:val="superscript"/>
          <w:lang w:val="lv-LV"/>
        </w:rPr>
        <w:t>46</w:t>
      </w:r>
      <w:r w:rsidRPr="0053369A">
        <w:rPr>
          <w:rFonts w:ascii="Times New Roman" w:hAnsi="Times New Roman" w:cs="Times New Roman"/>
          <w:sz w:val="24"/>
          <w:szCs w:val="24"/>
          <w:lang w:val="lv-LV"/>
        </w:rPr>
        <w:t>?</w:t>
      </w:r>
    </w:p>
    <w:p w14:paraId="04300508"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lastRenderedPageBreak/>
        <w:t xml:space="preserve">Vai ilgtspējība ir iekļauta projektā kā pamatīpašība, sākot no </w:t>
      </w:r>
      <w:proofErr w:type="spellStart"/>
      <w:r w:rsidRPr="0053369A">
        <w:rPr>
          <w:rFonts w:ascii="Times New Roman" w:hAnsi="Times New Roman" w:cs="Times New Roman"/>
          <w:sz w:val="24"/>
          <w:szCs w:val="24"/>
          <w:lang w:val="lv-LV"/>
        </w:rPr>
        <w:t>konceptualizācijas</w:t>
      </w:r>
      <w:proofErr w:type="spellEnd"/>
      <w:r w:rsidRPr="0053369A">
        <w:rPr>
          <w:rFonts w:ascii="Times New Roman" w:hAnsi="Times New Roman" w:cs="Times New Roman"/>
          <w:sz w:val="24"/>
          <w:szCs w:val="24"/>
          <w:lang w:val="lv-LV"/>
        </w:rPr>
        <w:t xml:space="preserve"> līdz turpmākiem posmiem? Vai ilgtspējība ir plaši atspoguļota dažādās ar projektu saistītajās izvēlēs (piemēram, izmantotais materiāls, izstrādātās funkcijas utt.)? Abas pieejas ir pieņemamas.</w:t>
      </w:r>
    </w:p>
    <w:p w14:paraId="413DAF37"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piedāvā inovatīvus risinājumus ilgtspējībai (piemēram, jauns process, rīks vai metode; jauns materiāls vai tehnoloģija; jauna metožu, rīku vai materiālu kombinācija; jauna metožu, rīku vai materiālu pielietojuma joma)?</w:t>
      </w:r>
    </w:p>
    <w:p w14:paraId="7677B8BD"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dabisko ekosistēmu atjaunošanos; bioloģiskās daudzveidības samazināšanās novēršanu; gaisa, ūdens un augsnes kvalitātes un vispārējo dzīves apstākļu uzlabošanu vai atkritumu pārstrādi?</w:t>
      </w:r>
    </w:p>
    <w:p w14:paraId="69F729F6"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bookmarkStart w:id="1" w:name="_Hlk159849250"/>
      <w:r w:rsidRPr="0053369A">
        <w:rPr>
          <w:rFonts w:ascii="Times New Roman" w:hAnsi="Times New Roman" w:cs="Times New Roman"/>
          <w:sz w:val="24"/>
          <w:szCs w:val="24"/>
          <w:lang w:val="lv-LV"/>
        </w:rPr>
        <w:t>Vai projekts veicina saimniecisko darbību, ievērojot dabas resursu ierobežojumus?</w:t>
      </w:r>
      <w:bookmarkEnd w:id="1"/>
    </w:p>
    <w:p w14:paraId="4A11B395"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uzlabo pielāgošanās spējas klimata pārmaiņām?</w:t>
      </w:r>
    </w:p>
    <w:p w14:paraId="24234694" w14:textId="1468C7AF"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piedāvā inovatīvus risinājumus, kuru pamatā ir dabā iedvesmoti risinājumi?</w:t>
      </w:r>
    </w:p>
    <w:p w14:paraId="7857615F" w14:textId="7757ABD0"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veicina pilsētas modeļus, ko raksturo sociālā, tuvuma </w:t>
      </w:r>
      <w:proofErr w:type="spellStart"/>
      <w:r w:rsidR="00920AE8" w:rsidRPr="0053369A">
        <w:rPr>
          <w:rFonts w:ascii="Times New Roman" w:hAnsi="Times New Roman" w:cs="Times New Roman"/>
          <w:sz w:val="24"/>
          <w:szCs w:val="24"/>
          <w:lang w:val="lv-LV"/>
        </w:rPr>
        <w:t>reģionālā</w:t>
      </w:r>
      <w:r w:rsidRPr="0053369A">
        <w:rPr>
          <w:rFonts w:ascii="Times New Roman" w:hAnsi="Times New Roman" w:cs="Times New Roman"/>
          <w:sz w:val="24"/>
          <w:szCs w:val="24"/>
          <w:lang w:val="lv-LV"/>
        </w:rPr>
        <w:t>un</w:t>
      </w:r>
      <w:proofErr w:type="spellEnd"/>
      <w:r w:rsidRPr="0053369A">
        <w:rPr>
          <w:rFonts w:ascii="Times New Roman" w:hAnsi="Times New Roman" w:cs="Times New Roman"/>
          <w:sz w:val="24"/>
          <w:szCs w:val="24"/>
          <w:lang w:val="lv-LV"/>
        </w:rPr>
        <w:t xml:space="preserve"> aprites ekonomika?</w:t>
      </w:r>
    </w:p>
    <w:p w14:paraId="4B3F6FE6" w14:textId="1D08546F"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zaļo (publisko) zonu saglabāšanu vai atjaunošanu un to izmantošanu kā saskares punktus/koplietošanas telpas pašvaldībā vai f</w:t>
      </w:r>
      <w:r w:rsidR="00920AE8" w:rsidRPr="0053369A">
        <w:rPr>
          <w:rFonts w:ascii="Times New Roman" w:hAnsi="Times New Roman" w:cs="Times New Roman"/>
          <w:sz w:val="24"/>
          <w:szCs w:val="24"/>
          <w:lang w:val="lv-LV"/>
        </w:rPr>
        <w:t xml:space="preserve"> kopienā</w:t>
      </w:r>
      <w:r w:rsidRPr="0053369A">
        <w:rPr>
          <w:rFonts w:ascii="Times New Roman" w:hAnsi="Times New Roman" w:cs="Times New Roman"/>
          <w:sz w:val="24"/>
          <w:szCs w:val="24"/>
          <w:lang w:val="lv-LV"/>
        </w:rPr>
        <w:t>?</w:t>
      </w:r>
    </w:p>
    <w:p w14:paraId="5BB4A418"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esošo telpu un pilsētu centru atdzīvināšanu, izvairīšanos no jaunas zemes pārņemšanas, atkārtoti izmantojot esošās, bet tukšās ēkas, novēršot pilsētu izplešanos?</w:t>
      </w:r>
    </w:p>
    <w:p w14:paraId="3C0808E2" w14:textId="2B14F50A"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tiek saglabāta vai atjaunota apbūvētā vide, izmantojot jaunus materiālus vai dabā rastus risinājumus un produktus un/vai taupot resursus, izmantojot pārstrādātas, pārstrādājamas vai atkārtoti izmantojamas sastāvdaļas ar nepārprotamu ekoloģisko efektivitāti un pienesumu aprites ekonomikai?</w:t>
      </w:r>
    </w:p>
    <w:p w14:paraId="1B49899D" w14:textId="00AD2E76"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projektā tiek veidoti pilsētas zaļie koridori aktīvai mobilitātei, lai </w:t>
      </w:r>
      <w:r w:rsidR="00920AE8" w:rsidRPr="0053369A">
        <w:rPr>
          <w:rFonts w:ascii="Times New Roman" w:hAnsi="Times New Roman" w:cs="Times New Roman"/>
          <w:sz w:val="24"/>
          <w:szCs w:val="24"/>
          <w:lang w:val="lv-LV"/>
        </w:rPr>
        <w:t xml:space="preserve">uzlabotu </w:t>
      </w:r>
      <w:r w:rsidRPr="0053369A">
        <w:rPr>
          <w:rFonts w:ascii="Times New Roman" w:hAnsi="Times New Roman" w:cs="Times New Roman"/>
          <w:sz w:val="24"/>
          <w:szCs w:val="24"/>
          <w:lang w:val="lv-LV"/>
        </w:rPr>
        <w:t>transporta infrastruktūru un mainītu mobilitātes modeļus?</w:t>
      </w:r>
    </w:p>
    <w:p w14:paraId="6F3118C2"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ir iekļauti pasākumi enerģijas patēriņa samazināšanai renovētās ēkās?</w:t>
      </w:r>
    </w:p>
    <w:p w14:paraId="5B10AD0D" w14:textId="77777777" w:rsidR="00920AE8" w:rsidRPr="0053369A" w:rsidRDefault="00920AE8" w:rsidP="0053369A">
      <w:pPr>
        <w:jc w:val="both"/>
        <w:rPr>
          <w:rFonts w:ascii="Times New Roman" w:hAnsi="Times New Roman" w:cs="Times New Roman"/>
          <w:b/>
          <w:bCs/>
          <w:i/>
          <w:iCs/>
          <w:sz w:val="24"/>
          <w:szCs w:val="24"/>
          <w:lang w:val="lv-LV"/>
        </w:rPr>
      </w:pPr>
    </w:p>
    <w:p w14:paraId="5175AC71" w14:textId="77777777" w:rsidR="00DB2679" w:rsidRPr="0053369A" w:rsidRDefault="00635A1B" w:rsidP="0053369A">
      <w:pPr>
        <w:jc w:val="both"/>
        <w:rPr>
          <w:rFonts w:ascii="Times New Roman" w:hAnsi="Times New Roman" w:cs="Times New Roman"/>
          <w:i/>
          <w:iCs/>
          <w:sz w:val="24"/>
          <w:szCs w:val="24"/>
          <w:lang w:val="lv-LV"/>
        </w:rPr>
      </w:pPr>
      <w:r w:rsidRPr="0053369A">
        <w:rPr>
          <w:rFonts w:ascii="Times New Roman" w:hAnsi="Times New Roman" w:cs="Times New Roman"/>
          <w:sz w:val="24"/>
          <w:szCs w:val="24"/>
        </w:rPr>
        <w:br w:type="page"/>
      </w:r>
    </w:p>
    <w:p w14:paraId="2A653B9A"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lastRenderedPageBreak/>
        <w:t>Estētika</w:t>
      </w:r>
    </w:p>
    <w:p w14:paraId="08AC408A" w14:textId="30D76490"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NEB TDM atbalstītie projekti veicinās estētiku, t.i. kvalitāti, skaistumu un stilu, vairojot pieredzes kvalitāti un estētisko vērtību, kas neaprobežojas ar tīru funkcionalitāti infrastruktūras aspektos vai radītajās vai pārveidotajās publiskajās telpās. Ar estētisko un kultūras līdzekļu palīdzību šiem projektiem vajadzētu veicināt piederības sajūtu un lepnumu par attiecīgo vietu, kā arī atbilst kopējam telpiskajam kontekstam un arhitektūras stilam. Kultūras vērtības (mantojums, māksla, vietējā amatniecība, zināšanas utt.) un īpaša estētiskā pieredze ir unikāla, un projekti var savienot novatorisku estētiku ar vietas kultūras mantojumu. Kultūras un mākslas pasākumus var izmantot, lai stiprinātu sociālo mijiedarbību un </w:t>
      </w:r>
      <w:proofErr w:type="spellStart"/>
      <w:r w:rsidR="00920AE8" w:rsidRPr="0053369A">
        <w:rPr>
          <w:rFonts w:ascii="Times New Roman" w:hAnsi="Times New Roman" w:cs="Times New Roman"/>
          <w:sz w:val="24"/>
          <w:szCs w:val="24"/>
          <w:lang w:val="lv-LV"/>
        </w:rPr>
        <w:t>daudzveidigi</w:t>
      </w:r>
      <w:proofErr w:type="spellEnd"/>
      <w:r w:rsidR="00920AE8" w:rsidRPr="0053369A">
        <w:rPr>
          <w:rFonts w:ascii="Times New Roman" w:hAnsi="Times New Roman" w:cs="Times New Roman"/>
          <w:sz w:val="24"/>
          <w:szCs w:val="24"/>
          <w:lang w:val="lv-LV"/>
        </w:rPr>
        <w:t xml:space="preserve"> izmantotu </w:t>
      </w:r>
      <w:r w:rsidRPr="0053369A">
        <w:rPr>
          <w:rFonts w:ascii="Times New Roman" w:hAnsi="Times New Roman" w:cs="Times New Roman"/>
          <w:sz w:val="24"/>
          <w:szCs w:val="24"/>
          <w:lang w:val="lv-LV"/>
        </w:rPr>
        <w:t>dabas vērtības, tādējādi darbojoties kā katalizators citām NEB vērtībām.</w:t>
      </w:r>
    </w:p>
    <w:p w14:paraId="5334AD72"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estētikas kritērija novērtēšanai (neaprobežojoties tikai ar zemāk uzskaitītajiem):</w:t>
      </w:r>
    </w:p>
    <w:p w14:paraId="26EEDAE9" w14:textId="3F98568E"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demonstrē izpratni par estētiku kā NEB pamatvērtību? Vai estētika ir iekļauta projektā kā pamatīpašība, sākot no </w:t>
      </w:r>
      <w:proofErr w:type="spellStart"/>
      <w:r w:rsidRPr="0053369A">
        <w:rPr>
          <w:rFonts w:ascii="Times New Roman" w:hAnsi="Times New Roman" w:cs="Times New Roman"/>
          <w:sz w:val="24"/>
          <w:szCs w:val="24"/>
          <w:lang w:val="lv-LV"/>
        </w:rPr>
        <w:t>konceptualizācijas</w:t>
      </w:r>
      <w:proofErr w:type="spellEnd"/>
      <w:r w:rsidRPr="0053369A">
        <w:rPr>
          <w:rFonts w:ascii="Times New Roman" w:hAnsi="Times New Roman" w:cs="Times New Roman"/>
          <w:sz w:val="24"/>
          <w:szCs w:val="24"/>
          <w:lang w:val="lv-LV"/>
        </w:rPr>
        <w:t xml:space="preserve"> līdz turpmākiem posmiem?</w:t>
      </w:r>
    </w:p>
    <w:p w14:paraId="3450F716"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estētikas dimensija ir atspoguļota augstā kvalitātes līmenī (piemēram, tiek prezentēta saskaņota estētiskā koncepcija/vīzija, projektā atspoguļotā estētika ir savietojama ar vietas kultūras kontekstu, pārliecinoša īstenošana detaļās izmantotajam materiālam vai paņēmieniem/pārstāvētajam mākslas veidam)?</w:t>
      </w:r>
    </w:p>
    <w:p w14:paraId="2123C3B0"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tiek izmantoti estētiskie līdzekļi, lai stiprinātu NEB kopējo ideju/iedvesmotu cilvēkus un kopienas rīkoties pārmaiņu ieviešanai?</w:t>
      </w:r>
    </w:p>
    <w:p w14:paraId="7416EF5B"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bookmarkStart w:id="2" w:name="_Hlk159849832"/>
      <w:r w:rsidRPr="0053369A">
        <w:rPr>
          <w:rFonts w:ascii="Times New Roman" w:hAnsi="Times New Roman" w:cs="Times New Roman"/>
          <w:sz w:val="24"/>
          <w:szCs w:val="24"/>
          <w:lang w:val="lv-LV"/>
        </w:rPr>
        <w:t>Vai projekts ir pielāgots konkrētai vietējai vēsturei un pašreizējai sociālajai un kultūras realitātei? Priekšrocība būtu, ja projekts ņem vērā mantojumu un vietējo unikalitāti, “vietas sajūtu” cilvēku, materiālās un kultūras vēstures vai prakses ziņā.</w:t>
      </w:r>
      <w:bookmarkEnd w:id="2"/>
    </w:p>
    <w:p w14:paraId="2EE96DA5"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ar neuzbāzīgu pieeju palīdzību saglabā un izceļ vietas skaistumu un saskaņotību ar vietas kopējo estētiku un stilu (ainavu integrācija)?</w:t>
      </w:r>
    </w:p>
    <w:p w14:paraId="4C2028E2"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vairo vietas pieredzes kvalitāti, paaugstinot tās estētisko vērtību ar mākslas palīdzību?</w:t>
      </w:r>
    </w:p>
    <w:p w14:paraId="08CD4D0F"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ir skaidri aprakstīts dizains saistībā ar telpu vai funkcijām, piemēram, konkrēta stila vai dizaina izmantošana sadarbības stiprināšanai?</w:t>
      </w:r>
    </w:p>
    <w:p w14:paraId="4711DB97" w14:textId="30796A49"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projektā ir skaidri risināti jautājumi, kas saistīti ar vizuālo komfortu vai kvalitātes aspektiem, kas neaprobežojas </w:t>
      </w:r>
      <w:r w:rsidR="00920AE8" w:rsidRPr="0053369A">
        <w:rPr>
          <w:rFonts w:ascii="Times New Roman" w:hAnsi="Times New Roman" w:cs="Times New Roman"/>
          <w:sz w:val="24"/>
          <w:szCs w:val="24"/>
          <w:lang w:val="lv-LV"/>
        </w:rPr>
        <w:t xml:space="preserve">vienīgi </w:t>
      </w:r>
      <w:r w:rsidRPr="0053369A">
        <w:rPr>
          <w:rFonts w:ascii="Times New Roman" w:hAnsi="Times New Roman" w:cs="Times New Roman"/>
          <w:sz w:val="24"/>
          <w:szCs w:val="24"/>
          <w:lang w:val="lv-LV"/>
        </w:rPr>
        <w:t>ar funkcionalitāti?</w:t>
      </w:r>
    </w:p>
    <w:p w14:paraId="132210F7" w14:textId="3CEF50B4"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projekta mērķis ir caur dizaina pieredzi sekmēt vai radīt noteiktas emocijas vai sajūtu pieredzi? Vai tā mērķis ir uzlabot veselīgas dzīves apstākļus?</w:t>
      </w:r>
    </w:p>
    <w:p w14:paraId="1CF196CB" w14:textId="77777777" w:rsidR="00DB2679" w:rsidRPr="0053369A" w:rsidRDefault="00DB2679" w:rsidP="0053369A">
      <w:pPr>
        <w:pStyle w:val="Sarakstarindkopa"/>
        <w:jc w:val="both"/>
        <w:rPr>
          <w:rFonts w:ascii="Times New Roman" w:hAnsi="Times New Roman" w:cs="Times New Roman"/>
          <w:sz w:val="24"/>
          <w:szCs w:val="24"/>
          <w:lang w:val="lv-LV"/>
        </w:rPr>
      </w:pPr>
    </w:p>
    <w:p w14:paraId="0C29F1B9" w14:textId="77777777" w:rsidR="00635A1B" w:rsidRPr="0053369A" w:rsidRDefault="00635A1B" w:rsidP="0053369A">
      <w:pPr>
        <w:spacing w:after="0" w:line="240" w:lineRule="auto"/>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br w:type="page"/>
      </w:r>
    </w:p>
    <w:p w14:paraId="7B32B306" w14:textId="5C38DAAC"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lastRenderedPageBreak/>
        <w:t>Iekļaušana</w:t>
      </w:r>
    </w:p>
    <w:p w14:paraId="630ADFBE" w14:textId="015B7537"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NEB TDM atbalstītie projekti veicinās iekļaušanu ar tādu darbību palīdzību, kas izmanto daudzveidību, līdzvērtīgu sociālo iekļaušanu un “dizains visiem” principus, kā arī palielina fizisko pieejamību, ekonomisko pieejamību un kopību. Tas ietver cīņu pret telpisko segregāciju un izolētību, iespēju sekmēšanu dažādām kopienas daļām mijiedarboties, atbalstu neaizsargātākajiem kopienas locekļiem, galveno pakalpojumu pieejamību, ērtības un telpas sociālai iesaistei ikvienam. Kopumā projektiem vajadzētu veicināt solidaritāti un veidot saskarsmes punktus kopienām.</w:t>
      </w:r>
    </w:p>
    <w:p w14:paraId="333671E3"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iekļaušanas kritērija novērtēšanai (neaprobežojoties tikai ar zemāk uzskaitītajiem):</w:t>
      </w:r>
    </w:p>
    <w:p w14:paraId="4ABBE097" w14:textId="76C857DF"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demonstrē izpratni par iekļaušanu kā NEB pamatvērtību un ambīciju augstā līmenī? </w:t>
      </w:r>
    </w:p>
    <w:p w14:paraId="24A3D381"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iekļaušanai projektā tiek pievērsta uzmanība sākot no </w:t>
      </w:r>
      <w:proofErr w:type="spellStart"/>
      <w:r w:rsidRPr="0053369A">
        <w:rPr>
          <w:rFonts w:ascii="Times New Roman" w:hAnsi="Times New Roman" w:cs="Times New Roman"/>
          <w:sz w:val="24"/>
          <w:szCs w:val="24"/>
          <w:lang w:val="lv-LV"/>
        </w:rPr>
        <w:t>konceptualizācijas</w:t>
      </w:r>
      <w:proofErr w:type="spellEnd"/>
      <w:r w:rsidRPr="0053369A">
        <w:rPr>
          <w:rFonts w:ascii="Times New Roman" w:hAnsi="Times New Roman" w:cs="Times New Roman"/>
          <w:sz w:val="24"/>
          <w:szCs w:val="24"/>
          <w:lang w:val="lv-LV"/>
        </w:rPr>
        <w:t xml:space="preserve"> līdz turpmākiem posmiem? Vai projekts tiecas uzstādīt ambiciozus iekļaušanas rezultātus? Abas pieejas ir pieņemamas.</w:t>
      </w:r>
    </w:p>
    <w:p w14:paraId="3BF5BCC0" w14:textId="4C3BC5EA"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bookmarkStart w:id="3" w:name="_Hlk159850165"/>
      <w:r w:rsidRPr="0053369A">
        <w:rPr>
          <w:rFonts w:ascii="Times New Roman" w:hAnsi="Times New Roman" w:cs="Times New Roman"/>
          <w:sz w:val="24"/>
          <w:szCs w:val="24"/>
          <w:lang w:val="lv-LV"/>
        </w:rPr>
        <w:t>Vai iekļaušanas dimensija ir atspoguļota augstā kvalitātes līmenī (piemēram, visaptveroša dažādu grupu, īpaši neaizsargāto, ņemšana vērā; praktiski nosacījumi, lai nodrošinātu fizisko pieejamību un pieejamību cenas ziņā; ticama datu bāze lēmumu pieņemšanā; kopības sajūtas un kopīgas nozīmes kopienā veicināšana, izmantojot dažādības pieeju)?</w:t>
      </w:r>
      <w:bookmarkEnd w:id="3"/>
    </w:p>
    <w:p w14:paraId="5D56F720"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attiecas uz apbūvētās vides restaurāciju, renovāciju un atjaunošanu, lai satuvinātu kopienas un risinātu neaizsargāto grupu un indivīdu īpašās vajadzības, piemēram, to cilvēku, kam draud atstumtība vai nabadzība, vai kuri palikuši bez pajumtes?</w:t>
      </w:r>
    </w:p>
    <w:p w14:paraId="6C537D9C"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ietver vērienīgu iekļaujošu sociālo mājokļu attīstību, piemēram:</w:t>
      </w:r>
    </w:p>
    <w:p w14:paraId="5A06B498" w14:textId="11072649" w:rsidR="00DB2679" w:rsidRPr="0053369A" w:rsidRDefault="00635A1B" w:rsidP="0053369A">
      <w:pPr>
        <w:pStyle w:val="Sarakstarindkopa"/>
        <w:numPr>
          <w:ilvl w:val="1"/>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ēku pārveidošanu un pielāgošanu, izmantojot inovatīvas tehnikas, materiālus un ilgtspējīgus būvniecības procesus, lai padarītu mājokļus ekonomiski pieejamākus un iekļaujošākus;</w:t>
      </w:r>
    </w:p>
    <w:p w14:paraId="4E4B0CDA" w14:textId="77777777" w:rsidR="00DB2679" w:rsidRPr="0053369A" w:rsidRDefault="00635A1B" w:rsidP="0053369A">
      <w:pPr>
        <w:pStyle w:val="Sarakstarindkopa"/>
        <w:numPr>
          <w:ilvl w:val="1"/>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inovatīvu mājokļu risinājumu nodrošinājumu, kas reaģē uz steidzamām pagaidu vajadzībām ar augstiem estētiskiem un ilgtspējības standartiem; </w:t>
      </w:r>
    </w:p>
    <w:p w14:paraId="3038D4AC" w14:textId="5A5467CE" w:rsidR="00DB2679" w:rsidRPr="0053369A" w:rsidRDefault="00635A1B" w:rsidP="0053369A">
      <w:pPr>
        <w:pStyle w:val="Sarakstarindkopa"/>
        <w:numPr>
          <w:ilvl w:val="1"/>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apvienojot dažādas kopienas un/vai funkcijas (mājokļu, izglītības un apmācību utt.) vienā vidē.</w:t>
      </w:r>
    </w:p>
    <w:p w14:paraId="0F439D49" w14:textId="0D240FF6"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pārveidojot apbūvēto vidi, tiek piemērots princips “dizains visiem”, lai novērstu pieejamības šķēršļus neaizsargātām grupām, cilvēkiem ar invaliditāti un novecojošai sabiedrības daļai?</w:t>
      </w:r>
    </w:p>
    <w:p w14:paraId="2FF5A1FB" w14:textId="3B851214"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apbūvētās vides pielāgošanu vai atjaunošanu tā, lai atgūtu spēju lepoties ar dažādību?</w:t>
      </w:r>
    </w:p>
    <w:p w14:paraId="7D53F751" w14:textId="3385A0B2"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pozitīvā veidā maina nolūku, kādam telpas tiek izmantotas mijiedarbībai starp paaudzēm un kopienas veidošanai, vienlaikus nodrošinot fizisko un ekonomisko pieejamību? </w:t>
      </w:r>
    </w:p>
    <w:p w14:paraId="1943D62A" w14:textId="2872956C"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nodrošina tā aktivitāšu ekonomisko pieejamību, ieguvumus sabiedrībai un izmaksu dalīšanu, piemēram, sniedzot pienesumu vietējiem uzņēmējiem?</w:t>
      </w:r>
    </w:p>
    <w:p w14:paraId="5A7BC6EC"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bookmarkStart w:id="4" w:name="_Hlk159849285"/>
      <w:r w:rsidRPr="0053369A">
        <w:rPr>
          <w:rFonts w:ascii="Times New Roman" w:hAnsi="Times New Roman" w:cs="Times New Roman"/>
          <w:sz w:val="24"/>
          <w:szCs w:val="24"/>
          <w:lang w:val="lv-LV"/>
        </w:rPr>
        <w:t>Vai projekts sasaista kopā dažādus cilvēkus un puses gan ar fiziskas infrastruktūras, gan digitālu rīku palīdzību?</w:t>
      </w:r>
      <w:bookmarkEnd w:id="4"/>
    </w:p>
    <w:p w14:paraId="4CFEC99D"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lastRenderedPageBreak/>
        <w:t>Līdzdalība un starpdisciplināra pieeja</w:t>
      </w:r>
    </w:p>
    <w:p w14:paraId="658966D9" w14:textId="454F3616"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Līdzdalība un starpdisciplināra pieeja ir NEB galvenais princips. Projektiem jāparedz plaša dažādu grupu un ieinteresēto pušu līdzdalība dažādos projekta posmos (dizaina </w:t>
      </w:r>
      <w:proofErr w:type="spellStart"/>
      <w:r w:rsidRPr="0053369A">
        <w:rPr>
          <w:rFonts w:ascii="Times New Roman" w:hAnsi="Times New Roman" w:cs="Times New Roman"/>
          <w:sz w:val="24"/>
          <w:szCs w:val="24"/>
          <w:lang w:val="lv-LV"/>
        </w:rPr>
        <w:t>koprade</w:t>
      </w:r>
      <w:proofErr w:type="spellEnd"/>
      <w:r w:rsidRPr="0053369A">
        <w:rPr>
          <w:rFonts w:ascii="Times New Roman" w:hAnsi="Times New Roman" w:cs="Times New Roman"/>
          <w:sz w:val="24"/>
          <w:szCs w:val="24"/>
          <w:lang w:val="lv-LV"/>
        </w:rPr>
        <w:t xml:space="preserve"> un īstenošana), jābalstās uz dažādām kompetences jomām un nozarēm, kā arī jānodrošina iedzīvotāju iesaistīšanās vadībā un līdzatbildībā par sabiedrības īpašumtiesībām. Īpaša uzmanība jāpievērš esošo un iespējamo attiecīgās infrastruktūras vai publiskās telpas lietotāju iesaistīšanai, vienlaikus cenšoties iekļaut grupas, kuras ir visgrūtāk sasniegt vai kurām varētu būt mazāk piekļuves un resursu, lai piedalītos šādos procesos. Tādēļ jāiesaista grupas, kuras nav viegli sasniegt un kuras ir neaizsargātas, tostarp, bezpajumtnieki, bezdarbnieki, migranti un vecāka gadagājuma cilvēki. Svarīgs aspekts ir dzimumu līdztiesība. Projektiem jāpalīdz pārvarēt robežas starp iestādēm, politikas nozarēm un zināšanu jomām. Projektu priekšlikumiem būtu jāaptver konkrēti partneri un potenciālās ieinteresētās puses, kā arī to apņemšanās pakāpe (politiski) īstenojot projektu.</w:t>
      </w:r>
    </w:p>
    <w:p w14:paraId="633B725D"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līdzdalības un starpdisciplināras pieejas kritērija novērtēšanai (neaprobežojoties tikai ar zemāk uzskaitītajiem):</w:t>
      </w:r>
    </w:p>
    <w:p w14:paraId="7A9F4A53"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NEB TDM parāda, kā projekti </w:t>
      </w:r>
      <w:proofErr w:type="spellStart"/>
      <w:r w:rsidRPr="0053369A">
        <w:rPr>
          <w:rFonts w:ascii="Times New Roman" w:hAnsi="Times New Roman" w:cs="Times New Roman"/>
          <w:sz w:val="24"/>
          <w:szCs w:val="24"/>
          <w:lang w:val="lv-LV"/>
        </w:rPr>
        <w:t>portfolio</w:t>
      </w:r>
      <w:proofErr w:type="spellEnd"/>
      <w:r w:rsidRPr="0053369A">
        <w:rPr>
          <w:rFonts w:ascii="Times New Roman" w:hAnsi="Times New Roman" w:cs="Times New Roman"/>
          <w:sz w:val="24"/>
          <w:szCs w:val="24"/>
          <w:lang w:val="lv-LV"/>
        </w:rPr>
        <w:t xml:space="preserve"> līmenī palīdz pārvarēt institucionālās, politikas un zināšanu jomu robežas, un vai tiem piemīt pārmaiņu potenciāls vietējā kontekstā?</w:t>
      </w:r>
    </w:p>
    <w:p w14:paraId="4BF34B9C"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NEB TDM investīciju stratēģijā ir noteiktas divas vai vairākas disciplīnas, pamatojoties uz nepieciešamajām divām vai vairākām transformējošā procesa tematiskajām asīm?</w:t>
      </w:r>
    </w:p>
    <w:p w14:paraId="4FA88A72"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ir atbilstoša ieinteresēto pušu dažādība, kas atspoguļo visas trīs NEB pamatvērtības un paver iespējas dot ieguldījumu projektā, to novērtējot no dažādām perspektīvām? Vai visas būtiskās kompetences jomas ir iekļautas un atrisinātas?</w:t>
      </w:r>
    </w:p>
    <w:p w14:paraId="0FD40B0A" w14:textId="0ADAD5E4"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tiek pievērsta īpaša uzmanība un apņemšanās iesaistīt pašreizējos un iespējamos infrastruktūras vai publiskās telpas lietotājus, un grupas, kuras ir grūtāk sasniegt? Vai tādu grupu kā bezpajumtnieki, bezdarbnieki, migranti un vecāka gadagājuma cilvēki intereses ir ņemtas vērā? Vai projekts pievēršas dzimumu līdztiesībai?</w:t>
      </w:r>
    </w:p>
    <w:p w14:paraId="54B82705" w14:textId="084C54E3"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projektā ir aprakstīts, kā sabiedrība, ieinteresētās puses (piemēram, pilsoniskās sabiedrības grupas, nevalstiskais sektors, neformāli radošie darbinieki, privātais sektors) un grūti sasniedzamas grupas būs iesaistītas projekta </w:t>
      </w:r>
      <w:proofErr w:type="spellStart"/>
      <w:r w:rsidRPr="0053369A">
        <w:rPr>
          <w:rFonts w:ascii="Times New Roman" w:hAnsi="Times New Roman" w:cs="Times New Roman"/>
          <w:sz w:val="24"/>
          <w:szCs w:val="24"/>
          <w:lang w:val="lv-LV"/>
        </w:rPr>
        <w:t>līdzizstrādē</w:t>
      </w:r>
      <w:proofErr w:type="spellEnd"/>
      <w:r w:rsidRPr="0053369A">
        <w:rPr>
          <w:rFonts w:ascii="Times New Roman" w:hAnsi="Times New Roman" w:cs="Times New Roman"/>
          <w:sz w:val="24"/>
          <w:szCs w:val="24"/>
          <w:lang w:val="lv-LV"/>
        </w:rPr>
        <w:t xml:space="preserve"> un īstenošanā?</w:t>
      </w:r>
    </w:p>
    <w:p w14:paraId="37BDC0FC" w14:textId="73613FC2"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norāda uz apņemšanos iesaistīt sabiedrību un ieinteresētās puses </w:t>
      </w:r>
      <w:proofErr w:type="spellStart"/>
      <w:r w:rsidRPr="0053369A">
        <w:rPr>
          <w:rFonts w:ascii="Times New Roman" w:hAnsi="Times New Roman" w:cs="Times New Roman"/>
          <w:sz w:val="24"/>
          <w:szCs w:val="24"/>
          <w:lang w:val="lv-LV"/>
        </w:rPr>
        <w:t>līdzizstrādē</w:t>
      </w:r>
      <w:proofErr w:type="spellEnd"/>
      <w:r w:rsidRPr="0053369A">
        <w:rPr>
          <w:rFonts w:ascii="Times New Roman" w:hAnsi="Times New Roman" w:cs="Times New Roman"/>
          <w:sz w:val="24"/>
          <w:szCs w:val="24"/>
          <w:lang w:val="lv-LV"/>
        </w:rPr>
        <w:t xml:space="preserve"> un īstenošanā? Vai šī iesaistīšanās ir integrējoša vai drīzāk informatīva? Vai projekts paredz sabiedrības un ieinteresēto pušu līdzdalību pārmaiņās, piešķirot tām reālas tiesības uz projekta ideju?</w:t>
      </w:r>
    </w:p>
    <w:p w14:paraId="05A1590B" w14:textId="77777777" w:rsidR="00DB2679" w:rsidRPr="0053369A" w:rsidRDefault="00635A1B" w:rsidP="0053369A">
      <w:pPr>
        <w:pStyle w:val="Sarakstarindkopa"/>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ir iekļautas vai noteiktas atbilstošas nozares un kompetences, lai aptvertu dažādas NEB jomas?</w:t>
      </w:r>
    </w:p>
    <w:p w14:paraId="19E1B824" w14:textId="77777777" w:rsidR="00DB2679" w:rsidRPr="0053369A" w:rsidRDefault="00DB2679" w:rsidP="0053369A">
      <w:pPr>
        <w:jc w:val="both"/>
        <w:rPr>
          <w:rFonts w:ascii="Times New Roman" w:hAnsi="Times New Roman" w:cs="Times New Roman"/>
          <w:sz w:val="24"/>
          <w:szCs w:val="24"/>
          <w:lang w:val="lv-LV"/>
        </w:rPr>
      </w:pPr>
    </w:p>
    <w:p w14:paraId="0361F8F3" w14:textId="77777777"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Ja MA un FI īstenojošā iestāde nolemj īstenot NEB TDM saskaņā ar c) īstenošanas iespēju, starpdisciplinārie kritēriji ir jāievēro projekta līmenī.</w:t>
      </w:r>
    </w:p>
    <w:p w14:paraId="636C6453" w14:textId="77777777" w:rsidR="00920AE8" w:rsidRPr="0053369A" w:rsidRDefault="00920AE8">
      <w:pPr>
        <w:rPr>
          <w:rFonts w:ascii="Times New Roman" w:hAnsi="Times New Roman" w:cs="Times New Roman"/>
          <w:sz w:val="24"/>
          <w:szCs w:val="24"/>
          <w:lang w:val="lv-LV"/>
        </w:rPr>
      </w:pPr>
    </w:p>
    <w:p w14:paraId="2C8A99BE" w14:textId="77777777" w:rsidR="00635A1B" w:rsidRPr="0053369A" w:rsidRDefault="00635A1B">
      <w:pPr>
        <w:spacing w:after="0" w:line="240" w:lineRule="auto"/>
        <w:rPr>
          <w:rFonts w:ascii="Times New Roman" w:hAnsi="Times New Roman" w:cs="Times New Roman"/>
          <w:b/>
          <w:bCs/>
          <w:i/>
          <w:iCs/>
          <w:sz w:val="24"/>
          <w:szCs w:val="24"/>
          <w:lang w:val="lv-LV"/>
        </w:rPr>
      </w:pPr>
      <w:r w:rsidRPr="0053369A">
        <w:rPr>
          <w:rFonts w:ascii="Times New Roman" w:hAnsi="Times New Roman" w:cs="Times New Roman"/>
          <w:b/>
          <w:bCs/>
          <w:i/>
          <w:iCs/>
          <w:sz w:val="24"/>
          <w:szCs w:val="24"/>
          <w:lang w:val="lv-LV"/>
        </w:rPr>
        <w:br w:type="page"/>
      </w:r>
    </w:p>
    <w:p w14:paraId="31710615" w14:textId="27100488" w:rsidR="00920AE8" w:rsidRPr="0053369A" w:rsidRDefault="00920AE8" w:rsidP="004524C0">
      <w:pPr>
        <w:jc w:val="both"/>
        <w:rPr>
          <w:rFonts w:ascii="Times New Roman" w:hAnsi="Times New Roman" w:cs="Times New Roman"/>
          <w:b/>
          <w:bCs/>
          <w:i/>
          <w:iCs/>
          <w:sz w:val="24"/>
          <w:szCs w:val="24"/>
          <w:lang w:val="lv-LV"/>
        </w:rPr>
      </w:pPr>
      <w:r w:rsidRPr="0053369A">
        <w:rPr>
          <w:rFonts w:ascii="Times New Roman" w:hAnsi="Times New Roman" w:cs="Times New Roman"/>
          <w:b/>
          <w:bCs/>
          <w:i/>
          <w:iCs/>
          <w:sz w:val="24"/>
          <w:szCs w:val="24"/>
          <w:lang w:val="lv-LV"/>
        </w:rPr>
        <w:lastRenderedPageBreak/>
        <w:t>Atsauces:</w:t>
      </w:r>
    </w:p>
    <w:p w14:paraId="58031F61" w14:textId="77777777" w:rsidR="00920AE8" w:rsidRPr="0053369A" w:rsidRDefault="00920AE8" w:rsidP="004524C0">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42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environmental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aspects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other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than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climate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the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framework</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sustainable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Level(s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provides</w:t>
      </w:r>
      <w:proofErr w:type="spellEnd"/>
      <w:r w:rsidRPr="0053369A">
        <w:rPr>
          <w:rFonts w:ascii="Times New Roman" w:hAnsi="Times New Roman" w:cs="Times New Roman"/>
          <w:sz w:val="24"/>
          <w:szCs w:val="24"/>
          <w:lang w:val="lv-LV"/>
        </w:rPr>
        <w:t xml:space="preserve"> a </w:t>
      </w:r>
      <w:proofErr w:type="spellStart"/>
      <w:r w:rsidRPr="0053369A">
        <w:rPr>
          <w:rFonts w:ascii="Times New Roman" w:hAnsi="Times New Roman" w:cs="Times New Roman"/>
          <w:sz w:val="24"/>
          <w:szCs w:val="24"/>
          <w:lang w:val="lv-LV"/>
        </w:rPr>
        <w:t>common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language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assessing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and</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reporting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the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sustainability</w:t>
      </w:r>
      <w:proofErr w:type="spellEnd"/>
      <w:r w:rsidRPr="0053369A">
        <w:rPr>
          <w:rFonts w:ascii="Times New Roman" w:hAnsi="Times New Roman" w:cs="Times New Roman"/>
          <w:sz w:val="24"/>
          <w:szCs w:val="24"/>
          <w:lang w:val="lv-LV"/>
        </w:rPr>
        <w:t xml:space="preserve"> performance </w:t>
      </w:r>
      <w:proofErr w:type="spellStart"/>
      <w:r w:rsidRPr="0053369A">
        <w:rPr>
          <w:rFonts w:ascii="Times New Roman" w:hAnsi="Times New Roman" w:cs="Times New Roman"/>
          <w:sz w:val="24"/>
          <w:szCs w:val="24"/>
          <w:lang w:val="lv-LV"/>
        </w:rPr>
        <w:t>of</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It </w:t>
      </w:r>
      <w:proofErr w:type="spellStart"/>
      <w:r w:rsidRPr="0053369A">
        <w:rPr>
          <w:rFonts w:ascii="Times New Roman" w:hAnsi="Times New Roman" w:cs="Times New Roman"/>
          <w:sz w:val="24"/>
          <w:szCs w:val="24"/>
          <w:lang w:val="lv-LV"/>
        </w:rPr>
        <w:t>is</w:t>
      </w:r>
      <w:proofErr w:type="spellEnd"/>
      <w:r w:rsidRPr="0053369A">
        <w:rPr>
          <w:rFonts w:ascii="Times New Roman" w:hAnsi="Times New Roman" w:cs="Times New Roman"/>
          <w:sz w:val="24"/>
          <w:szCs w:val="24"/>
          <w:lang w:val="lv-LV"/>
        </w:rPr>
        <w:t xml:space="preserve"> a </w:t>
      </w:r>
      <w:proofErr w:type="spellStart"/>
      <w:r w:rsidRPr="0053369A">
        <w:rPr>
          <w:rFonts w:ascii="Times New Roman" w:hAnsi="Times New Roman" w:cs="Times New Roman"/>
          <w:sz w:val="24"/>
          <w:szCs w:val="24"/>
          <w:lang w:val="lv-LV"/>
        </w:rPr>
        <w:t>simple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entry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point</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applying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circular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economy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principles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in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our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built</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environment</w:t>
      </w:r>
      <w:proofErr w:type="spellEnd"/>
      <w:r w:rsidRPr="0053369A">
        <w:rPr>
          <w:rFonts w:ascii="Times New Roman" w:hAnsi="Times New Roman" w:cs="Times New Roman"/>
          <w:sz w:val="24"/>
          <w:szCs w:val="24"/>
          <w:lang w:val="lv-LV"/>
        </w:rPr>
        <w:t xml:space="preserve">. </w:t>
      </w:r>
      <w:hyperlink r:id="rId9">
        <w:r w:rsidRPr="0053369A">
          <w:rPr>
            <w:rStyle w:val="Hipersaite"/>
            <w:rFonts w:ascii="Times New Roman" w:hAnsi="Times New Roman" w:cs="Times New Roman"/>
            <w:sz w:val="24"/>
            <w:szCs w:val="24"/>
            <w:lang w:val="lv-LV"/>
          </w:rPr>
          <w:t>https://environment.ec.europa.eu/topics/circular-economy/levels_en</w:t>
        </w:r>
      </w:hyperlink>
      <w:r w:rsidRPr="0053369A">
        <w:rPr>
          <w:rFonts w:ascii="Times New Roman" w:hAnsi="Times New Roman" w:cs="Times New Roman"/>
          <w:sz w:val="24"/>
          <w:szCs w:val="24"/>
          <w:lang w:val="lv-LV"/>
        </w:rPr>
        <w:t xml:space="preserve"> </w:t>
      </w:r>
    </w:p>
    <w:p w14:paraId="0AD7BE95"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43 </w:t>
      </w:r>
      <w:proofErr w:type="spellStart"/>
      <w:r w:rsidRPr="0053369A">
        <w:rPr>
          <w:rFonts w:ascii="Times New Roman" w:hAnsi="Times New Roman" w:cs="Times New Roman"/>
          <w:sz w:val="24"/>
          <w:szCs w:val="24"/>
          <w:lang w:val="lv-LV"/>
        </w:rPr>
        <w:t>See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Communication</w:t>
      </w:r>
      <w:proofErr w:type="spellEnd"/>
      <w:r w:rsidRPr="0053369A">
        <w:rPr>
          <w:rFonts w:ascii="Times New Roman" w:hAnsi="Times New Roman" w:cs="Times New Roman"/>
          <w:sz w:val="24"/>
          <w:szCs w:val="24"/>
          <w:lang w:val="lv-LV"/>
        </w:rPr>
        <w:t xml:space="preserve"> COM(2021) 800 </w:t>
      </w:r>
      <w:proofErr w:type="spellStart"/>
      <w:r w:rsidRPr="0053369A">
        <w:rPr>
          <w:rFonts w:ascii="Times New Roman" w:hAnsi="Times New Roman" w:cs="Times New Roman"/>
          <w:sz w:val="24"/>
          <w:szCs w:val="24"/>
          <w:lang w:val="lv-LV"/>
        </w:rPr>
        <w:t>final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Sustainable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carbon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cycles</w:t>
      </w:r>
      <w:proofErr w:type="spellEnd"/>
      <w:r w:rsidRPr="0053369A">
        <w:rPr>
          <w:rFonts w:ascii="Times New Roman" w:hAnsi="Times New Roman" w:cs="Times New Roman"/>
          <w:sz w:val="24"/>
          <w:szCs w:val="24"/>
          <w:lang w:val="lv-LV"/>
        </w:rPr>
        <w:t xml:space="preserve">” </w:t>
      </w:r>
    </w:p>
    <w:p w14:paraId="11B714A7" w14:textId="77777777" w:rsidR="00920AE8" w:rsidRPr="0053369A" w:rsidRDefault="00973656" w:rsidP="004524C0">
      <w:pPr>
        <w:jc w:val="both"/>
        <w:rPr>
          <w:rFonts w:ascii="Times New Roman" w:hAnsi="Times New Roman" w:cs="Times New Roman"/>
          <w:sz w:val="24"/>
          <w:szCs w:val="24"/>
          <w:lang w:val="lv-LV"/>
        </w:rPr>
      </w:pPr>
      <w:hyperlink r:id="rId10">
        <w:r w:rsidR="00920AE8" w:rsidRPr="0053369A">
          <w:rPr>
            <w:rStyle w:val="Hipersaite"/>
            <w:rFonts w:ascii="Times New Roman" w:hAnsi="Times New Roman" w:cs="Times New Roman"/>
            <w:sz w:val="24"/>
            <w:szCs w:val="24"/>
            <w:lang w:val="lv-LV"/>
          </w:rPr>
          <w:t>https://climate.ec.europa.eu/eu-action/sustainable-carbon-cycles_en</w:t>
        </w:r>
      </w:hyperlink>
      <w:r w:rsidR="00920AE8" w:rsidRPr="0053369A">
        <w:rPr>
          <w:rFonts w:ascii="Times New Roman" w:hAnsi="Times New Roman" w:cs="Times New Roman"/>
          <w:sz w:val="24"/>
          <w:szCs w:val="24"/>
          <w:lang w:val="lv-LV"/>
        </w:rPr>
        <w:t xml:space="preserve"> </w:t>
      </w:r>
    </w:p>
    <w:p w14:paraId="379FF8D3"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44 </w:t>
      </w:r>
      <w:proofErr w:type="spellStart"/>
      <w:r w:rsidRPr="0053369A">
        <w:rPr>
          <w:rFonts w:ascii="Times New Roman" w:hAnsi="Times New Roman" w:cs="Times New Roman"/>
          <w:sz w:val="24"/>
          <w:szCs w:val="24"/>
          <w:lang w:val="lv-LV"/>
        </w:rPr>
        <w:t>Construction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of</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new</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 EU </w:t>
      </w:r>
      <w:proofErr w:type="spellStart"/>
      <w:r w:rsidRPr="0053369A">
        <w:rPr>
          <w:rFonts w:ascii="Times New Roman" w:hAnsi="Times New Roman" w:cs="Times New Roman"/>
          <w:sz w:val="24"/>
          <w:szCs w:val="24"/>
          <w:lang w:val="lv-LV"/>
        </w:rPr>
        <w:t>Taxonomy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Compass</w:t>
      </w:r>
      <w:proofErr w:type="spellEnd"/>
      <w:r w:rsidRPr="0053369A">
        <w:rPr>
          <w:rFonts w:ascii="Times New Roman" w:hAnsi="Times New Roman" w:cs="Times New Roman"/>
          <w:sz w:val="24"/>
          <w:szCs w:val="24"/>
          <w:lang w:val="lv-LV"/>
        </w:rPr>
        <w:t xml:space="preserve"> |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europa.eu</w:t>
      </w:r>
      <w:proofErr w:type="spellEnd"/>
      <w:r w:rsidRPr="0053369A">
        <w:rPr>
          <w:rFonts w:ascii="Times New Roman" w:hAnsi="Times New Roman" w:cs="Times New Roman"/>
          <w:sz w:val="24"/>
          <w:szCs w:val="24"/>
          <w:lang w:val="lv-LV"/>
        </w:rPr>
        <w:t xml:space="preserve">) </w:t>
      </w:r>
    </w:p>
    <w:p w14:paraId="0F198C4C" w14:textId="77777777" w:rsidR="00920AE8" w:rsidRPr="0053369A" w:rsidRDefault="00973656" w:rsidP="004524C0">
      <w:pPr>
        <w:jc w:val="both"/>
        <w:rPr>
          <w:rFonts w:ascii="Times New Roman" w:hAnsi="Times New Roman" w:cs="Times New Roman"/>
          <w:sz w:val="24"/>
          <w:szCs w:val="24"/>
          <w:lang w:val="lv-LV"/>
        </w:rPr>
      </w:pPr>
      <w:hyperlink r:id="rId11">
        <w:r w:rsidR="00920AE8" w:rsidRPr="0053369A">
          <w:rPr>
            <w:rStyle w:val="Hipersaite"/>
            <w:rFonts w:ascii="Times New Roman" w:hAnsi="Times New Roman" w:cs="Times New Roman"/>
            <w:sz w:val="24"/>
            <w:szCs w:val="24"/>
            <w:lang w:val="lv-LV"/>
          </w:rPr>
          <w:t>https://ec.europa.eu/sustainable-finance-taxonomy/home?reference=7.1</w:t>
        </w:r>
      </w:hyperlink>
      <w:r w:rsidR="00920AE8" w:rsidRPr="0053369A">
        <w:rPr>
          <w:rFonts w:ascii="Times New Roman" w:hAnsi="Times New Roman" w:cs="Times New Roman"/>
          <w:sz w:val="24"/>
          <w:szCs w:val="24"/>
          <w:lang w:val="lv-LV"/>
        </w:rPr>
        <w:t xml:space="preserve"> </w:t>
      </w:r>
    </w:p>
    <w:p w14:paraId="62280AB0"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45 </w:t>
      </w:r>
      <w:proofErr w:type="spellStart"/>
      <w:r w:rsidRPr="0053369A">
        <w:rPr>
          <w:rFonts w:ascii="Times New Roman" w:hAnsi="Times New Roman" w:cs="Times New Roman"/>
          <w:sz w:val="24"/>
          <w:szCs w:val="24"/>
          <w:lang w:val="lv-LV"/>
        </w:rPr>
        <w:t>Renovation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of</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existing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 EU </w:t>
      </w:r>
      <w:proofErr w:type="spellStart"/>
      <w:r w:rsidRPr="0053369A">
        <w:rPr>
          <w:rFonts w:ascii="Times New Roman" w:hAnsi="Times New Roman" w:cs="Times New Roman"/>
          <w:sz w:val="24"/>
          <w:szCs w:val="24"/>
          <w:lang w:val="lv-LV"/>
        </w:rPr>
        <w:t>Taxonomy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Compass</w:t>
      </w:r>
      <w:proofErr w:type="spellEnd"/>
      <w:r w:rsidRPr="0053369A">
        <w:rPr>
          <w:rFonts w:ascii="Times New Roman" w:hAnsi="Times New Roman" w:cs="Times New Roman"/>
          <w:sz w:val="24"/>
          <w:szCs w:val="24"/>
          <w:lang w:val="lv-LV"/>
        </w:rPr>
        <w:t xml:space="preserve"> |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europa.eu</w:t>
      </w:r>
      <w:proofErr w:type="spellEnd"/>
      <w:r w:rsidRPr="0053369A">
        <w:rPr>
          <w:rFonts w:ascii="Times New Roman" w:hAnsi="Times New Roman" w:cs="Times New Roman"/>
          <w:sz w:val="24"/>
          <w:szCs w:val="24"/>
          <w:lang w:val="lv-LV"/>
        </w:rPr>
        <w:t xml:space="preserve">) </w:t>
      </w:r>
    </w:p>
    <w:p w14:paraId="352EDBED" w14:textId="77777777" w:rsidR="00920AE8" w:rsidRPr="0053369A" w:rsidRDefault="00973656" w:rsidP="004524C0">
      <w:pPr>
        <w:jc w:val="both"/>
        <w:rPr>
          <w:rFonts w:ascii="Times New Roman" w:hAnsi="Times New Roman" w:cs="Times New Roman"/>
          <w:sz w:val="24"/>
          <w:szCs w:val="24"/>
          <w:lang w:val="lv-LV"/>
        </w:rPr>
      </w:pPr>
      <w:hyperlink r:id="rId12">
        <w:r w:rsidR="00920AE8" w:rsidRPr="0053369A">
          <w:rPr>
            <w:rStyle w:val="Hipersaite"/>
            <w:rFonts w:ascii="Times New Roman" w:hAnsi="Times New Roman" w:cs="Times New Roman"/>
            <w:sz w:val="24"/>
            <w:szCs w:val="24"/>
            <w:lang w:val="lv-LV"/>
          </w:rPr>
          <w:t>https://ec.europa.eu/sustainable-finance-taxonomy/home?reference=7.2</w:t>
        </w:r>
      </w:hyperlink>
      <w:r w:rsidR="00920AE8" w:rsidRPr="0053369A">
        <w:rPr>
          <w:rFonts w:ascii="Times New Roman" w:hAnsi="Times New Roman" w:cs="Times New Roman"/>
          <w:sz w:val="24"/>
          <w:szCs w:val="24"/>
          <w:lang w:val="lv-LV"/>
        </w:rPr>
        <w:t xml:space="preserve"> </w:t>
      </w:r>
    </w:p>
    <w:p w14:paraId="61B7F2B4"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46 EU </w:t>
      </w:r>
      <w:proofErr w:type="spellStart"/>
      <w:r w:rsidRPr="0053369A">
        <w:rPr>
          <w:rFonts w:ascii="Times New Roman" w:hAnsi="Times New Roman" w:cs="Times New Roman"/>
          <w:sz w:val="24"/>
          <w:szCs w:val="24"/>
          <w:lang w:val="lv-LV"/>
        </w:rPr>
        <w:t>Taxonomy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Compass</w:t>
      </w:r>
      <w:proofErr w:type="spellEnd"/>
      <w:r w:rsidRPr="0053369A">
        <w:rPr>
          <w:rFonts w:ascii="Times New Roman" w:hAnsi="Times New Roman" w:cs="Times New Roman"/>
          <w:sz w:val="24"/>
          <w:szCs w:val="24"/>
          <w:lang w:val="lv-LV"/>
        </w:rPr>
        <w:t xml:space="preserve"> |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europa.eu</w:t>
      </w:r>
      <w:proofErr w:type="spellEnd"/>
      <w:r w:rsidRPr="0053369A">
        <w:rPr>
          <w:rFonts w:ascii="Times New Roman" w:hAnsi="Times New Roman" w:cs="Times New Roman"/>
          <w:sz w:val="24"/>
          <w:szCs w:val="24"/>
          <w:lang w:val="lv-LV"/>
        </w:rPr>
        <w:t>)</w:t>
      </w:r>
    </w:p>
    <w:p w14:paraId="51726219" w14:textId="68E6DAE6" w:rsidR="00920AE8" w:rsidRPr="0053369A" w:rsidRDefault="00973656" w:rsidP="004524C0">
      <w:pPr>
        <w:jc w:val="both"/>
        <w:rPr>
          <w:rFonts w:ascii="Times New Roman" w:hAnsi="Times New Roman" w:cs="Times New Roman"/>
          <w:sz w:val="24"/>
          <w:szCs w:val="24"/>
          <w:lang w:val="lv-LV"/>
        </w:rPr>
      </w:pPr>
      <w:hyperlink r:id="rId13">
        <w:r w:rsidR="00920AE8" w:rsidRPr="0053369A">
          <w:rPr>
            <w:rStyle w:val="Hipersaite"/>
            <w:rFonts w:ascii="Times New Roman" w:hAnsi="Times New Roman" w:cs="Times New Roman"/>
            <w:i/>
            <w:iCs/>
            <w:sz w:val="24"/>
            <w:szCs w:val="24"/>
            <w:lang w:val="lv-LV"/>
          </w:rPr>
          <w:t>https://ec.europa.eu/sustainable-finance-taxonomy/home</w:t>
        </w:r>
      </w:hyperlink>
    </w:p>
    <w:sectPr w:rsidR="00920AE8" w:rsidRPr="0053369A">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0F66"/>
    <w:multiLevelType w:val="multilevel"/>
    <w:tmpl w:val="C37AB984"/>
    <w:lvl w:ilvl="0">
      <w:start w:val="3"/>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D7B3611"/>
    <w:multiLevelType w:val="multilevel"/>
    <w:tmpl w:val="B44073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982615">
    <w:abstractNumId w:val="0"/>
  </w:num>
  <w:num w:numId="2" w16cid:durableId="87688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9"/>
    <w:rsid w:val="004524C0"/>
    <w:rsid w:val="0053369A"/>
    <w:rsid w:val="00635A1B"/>
    <w:rsid w:val="00644BA4"/>
    <w:rsid w:val="00896442"/>
    <w:rsid w:val="00920AE8"/>
    <w:rsid w:val="00973656"/>
    <w:rsid w:val="00DB2679"/>
  </w:rsids>
  <m:mathPr>
    <m:mathFont m:val="Cambria Math"/>
    <m:brkBin m:val="before"/>
    <m:brkBinSub m:val="--"/>
    <m:smallFrac m:val="0"/>
    <m:dispDef/>
    <m:lMargin m:val="0"/>
    <m:rMargin m:val="0"/>
    <m:defJc m:val="centerGroup"/>
    <m:wrapIndent m:val="1440"/>
    <m:intLim m:val="subSup"/>
    <m:naryLim m:val="undOvr"/>
  </m:mathPr>
  <w:themeFontLang w:val="en-US" w:eastAsi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C5A4"/>
  <w15:docId w15:val="{225B3596-21F7-4669-8024-4FF8203F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4FA"/>
    <w:pPr>
      <w:spacing w:after="160" w:line="259" w:lineRule="auto"/>
    </w:pPr>
  </w:style>
  <w:style w:type="paragraph" w:styleId="Virsraksts1">
    <w:name w:val="heading 1"/>
    <w:basedOn w:val="Parasts"/>
    <w:next w:val="Parasts"/>
    <w:link w:val="Virsraksts1Rakstz"/>
    <w:uiPriority w:val="9"/>
    <w:qFormat/>
    <w:rsid w:val="008A1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A1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A14F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A14F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A14F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A14F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14F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14F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14F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8A14F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qFormat/>
    <w:rsid w:val="008A14F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qFormat/>
    <w:rsid w:val="008A14F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qFormat/>
    <w:rsid w:val="008A14F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qFormat/>
    <w:rsid w:val="008A14F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qFormat/>
    <w:rsid w:val="008A14F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8A14F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8A14F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8A14FA"/>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8A14FA"/>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8A14FA"/>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8A14FA"/>
    <w:rPr>
      <w:i/>
      <w:iCs/>
      <w:color w:val="404040" w:themeColor="text1" w:themeTint="BF"/>
    </w:rPr>
  </w:style>
  <w:style w:type="character" w:styleId="Intensvsizclums">
    <w:name w:val="Intense Emphasis"/>
    <w:basedOn w:val="Noklusjumarindkopasfonts"/>
    <w:uiPriority w:val="21"/>
    <w:qFormat/>
    <w:rsid w:val="008A14FA"/>
    <w:rPr>
      <w:i/>
      <w:iCs/>
      <w:color w:val="0F4761" w:themeColor="accent1" w:themeShade="BF"/>
    </w:rPr>
  </w:style>
  <w:style w:type="character" w:customStyle="1" w:styleId="IntensvscittsRakstz">
    <w:name w:val="Intensīvs citāts Rakstz."/>
    <w:basedOn w:val="Noklusjumarindkopasfonts"/>
    <w:link w:val="Intensvscitts"/>
    <w:uiPriority w:val="30"/>
    <w:qFormat/>
    <w:rsid w:val="008A14FA"/>
    <w:rPr>
      <w:i/>
      <w:iCs/>
      <w:color w:val="0F4761" w:themeColor="accent1" w:themeShade="BF"/>
    </w:rPr>
  </w:style>
  <w:style w:type="character" w:styleId="Intensvaatsauce">
    <w:name w:val="Intense Reference"/>
    <w:basedOn w:val="Noklusjumarindkopasfonts"/>
    <w:uiPriority w:val="32"/>
    <w:qFormat/>
    <w:rsid w:val="008A14FA"/>
    <w:rPr>
      <w:b/>
      <w:bCs/>
      <w:smallCaps/>
      <w:color w:val="0F4761" w:themeColor="accent1" w:themeShade="BF"/>
      <w:spacing w:val="5"/>
    </w:rPr>
  </w:style>
  <w:style w:type="character" w:styleId="Hipersaite">
    <w:name w:val="Hyperlink"/>
    <w:basedOn w:val="Noklusjumarindkopasfonts"/>
    <w:uiPriority w:val="99"/>
    <w:unhideWhenUsed/>
    <w:rsid w:val="008A14FA"/>
    <w:rPr>
      <w:color w:val="467886" w:themeColor="hyperlink"/>
      <w:u w:val="single"/>
    </w:rPr>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Nosaukums">
    <w:name w:val="Title"/>
    <w:basedOn w:val="Parasts"/>
    <w:next w:val="Parasts"/>
    <w:link w:val="NosaukumsRakstz"/>
    <w:uiPriority w:val="10"/>
    <w:qFormat/>
    <w:rsid w:val="008A14FA"/>
    <w:pPr>
      <w:spacing w:after="80" w:line="240" w:lineRule="auto"/>
      <w:contextualSpacing/>
    </w:pPr>
    <w:rPr>
      <w:rFonts w:asciiTheme="majorHAnsi" w:eastAsiaTheme="majorEastAsia" w:hAnsiTheme="majorHAnsi" w:cstheme="majorBidi"/>
      <w:spacing w:val="-10"/>
      <w:sz w:val="56"/>
      <w:szCs w:val="56"/>
    </w:rPr>
  </w:style>
  <w:style w:type="paragraph" w:styleId="Apakvirsraksts">
    <w:name w:val="Subtitle"/>
    <w:basedOn w:val="Parasts"/>
    <w:next w:val="Parasts"/>
    <w:link w:val="ApakvirsrakstsRakstz"/>
    <w:uiPriority w:val="11"/>
    <w:qFormat/>
    <w:rsid w:val="008A14F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14FA"/>
    <w:pPr>
      <w:spacing w:before="160"/>
      <w:jc w:val="center"/>
    </w:pPr>
    <w:rPr>
      <w:i/>
      <w:iCs/>
      <w:color w:val="404040" w:themeColor="text1" w:themeTint="BF"/>
    </w:rPr>
  </w:style>
  <w:style w:type="paragraph" w:styleId="Sarakstarindkopa">
    <w:name w:val="List Paragraph"/>
    <w:basedOn w:val="Parasts"/>
    <w:uiPriority w:val="34"/>
    <w:qFormat/>
    <w:rsid w:val="008A14FA"/>
    <w:pPr>
      <w:ind w:left="720"/>
      <w:contextualSpacing/>
    </w:pPr>
  </w:style>
  <w:style w:type="paragraph" w:styleId="Intensvscitts">
    <w:name w:val="Intense Quote"/>
    <w:basedOn w:val="Parasts"/>
    <w:next w:val="Parasts"/>
    <w:link w:val="IntensvscittsRakstz"/>
    <w:uiPriority w:val="30"/>
    <w:qFormat/>
    <w:rsid w:val="008A14F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920AE8"/>
    <w:pPr>
      <w:suppressAutoHyphens w:val="0"/>
    </w:pPr>
  </w:style>
  <w:style w:type="paragraph" w:styleId="Komentratma">
    <w:name w:val="annotation subject"/>
    <w:basedOn w:val="Komentrateksts"/>
    <w:next w:val="Komentrateksts"/>
    <w:link w:val="KomentratmaRakstz"/>
    <w:uiPriority w:val="99"/>
    <w:semiHidden/>
    <w:unhideWhenUsed/>
    <w:rsid w:val="00920AE8"/>
    <w:rPr>
      <w:b/>
      <w:bCs/>
    </w:rPr>
  </w:style>
  <w:style w:type="character" w:customStyle="1" w:styleId="KomentratmaRakstz">
    <w:name w:val="Komentāra tēma Rakstz."/>
    <w:basedOn w:val="KomentratekstsRakstz"/>
    <w:link w:val="Komentratma"/>
    <w:uiPriority w:val="99"/>
    <w:semiHidden/>
    <w:rsid w:val="00920A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compass.eu/sites/default/files/publications/NEB_TDM_financial_instrument.pdf" TargetMode="External"/><Relationship Id="rId13" Type="http://schemas.openxmlformats.org/officeDocument/2006/relationships/hyperlink" Target="https://ec.europa.eu/sustainable-finance-taxonomy/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sustainable-finance-taxonomy/home?reference=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sustainable-finance-taxonomy/home?reference=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limate.ec.europa.eu/eu-action/sustainable-carbon-cycles_en" TargetMode="External"/><Relationship Id="rId4" Type="http://schemas.openxmlformats.org/officeDocument/2006/relationships/numbering" Target="numbering.xml"/><Relationship Id="rId9" Type="http://schemas.openxmlformats.org/officeDocument/2006/relationships/hyperlink" Target="https://environment.ec.europa.eu/topics/circular-economy/levels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862559B-DB1C-4336-BCFD-063BB143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A03E-44F1-4F24-B3E6-69AC228F74C9}">
  <ds:schemaRefs>
    <ds:schemaRef ds:uri="http://schemas.microsoft.com/sharepoint/v3/contenttype/forms"/>
  </ds:schemaRefs>
</ds:datastoreItem>
</file>

<file path=customXml/itemProps3.xml><?xml version="1.0" encoding="utf-8"?>
<ds:datastoreItem xmlns:ds="http://schemas.openxmlformats.org/officeDocument/2006/customXml" ds:itemID="{CFE51905-C59A-4041-9B1C-95FC46FC1EB3}">
  <ds:schemaRefs>
    <ds:schemaRef ds:uri="42144e59-5907-413f-b624-803f3a022d9b"/>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25a75a1d-8b78-49a6-8e4b-dbe94589a2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9012</Words>
  <Characters>5137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Švarca</dc:creator>
  <dc:description/>
  <cp:lastModifiedBy>Andrelita Blusanoviča</cp:lastModifiedBy>
  <cp:revision>2</cp:revision>
  <dcterms:created xsi:type="dcterms:W3CDTF">2024-04-10T07:33:00Z</dcterms:created>
  <dcterms:modified xsi:type="dcterms:W3CDTF">2024-04-10T07:33:00Z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