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0B0A" w14:textId="34AF49D6" w:rsidR="00FC61EF" w:rsidRPr="00FB4525" w:rsidRDefault="00BF1BD2" w:rsidP="00BF1BD2">
      <w:pPr>
        <w:spacing w:after="0"/>
        <w:jc w:val="both"/>
        <w:rPr>
          <w:rFonts w:ascii="Times New Roman" w:hAnsi="Times New Roman" w:cs="Times New Roman"/>
          <w:b/>
          <w:bCs/>
          <w:sz w:val="28"/>
          <w:szCs w:val="28"/>
        </w:rPr>
      </w:pPr>
      <w:r w:rsidRPr="00FB4525">
        <w:rPr>
          <w:rFonts w:ascii="Times New Roman" w:hAnsi="Times New Roman" w:cs="Times New Roman"/>
          <w:b/>
          <w:bCs/>
          <w:sz w:val="28"/>
          <w:szCs w:val="28"/>
        </w:rPr>
        <w:t>Par saules paneļiem</w:t>
      </w:r>
    </w:p>
    <w:p w14:paraId="764BBE87" w14:textId="77777777" w:rsidR="00BF1BD2" w:rsidRPr="00FB4525" w:rsidRDefault="00BF1BD2" w:rsidP="00BF1BD2">
      <w:pPr>
        <w:spacing w:after="0"/>
        <w:jc w:val="both"/>
        <w:rPr>
          <w:rFonts w:ascii="Times New Roman" w:hAnsi="Times New Roman" w:cs="Times New Roman"/>
          <w:sz w:val="24"/>
          <w:szCs w:val="24"/>
        </w:rPr>
      </w:pPr>
    </w:p>
    <w:p w14:paraId="73D3FDC4" w14:textId="3775BEE5" w:rsidR="00BF1BD2" w:rsidRPr="00FB4525" w:rsidRDefault="00BF1BD2" w:rsidP="00BF1BD2">
      <w:pPr>
        <w:spacing w:after="0"/>
        <w:jc w:val="both"/>
        <w:rPr>
          <w:rFonts w:ascii="Times New Roman" w:hAnsi="Times New Roman" w:cs="Times New Roman"/>
          <w:sz w:val="24"/>
          <w:szCs w:val="24"/>
        </w:rPr>
      </w:pPr>
      <w:r w:rsidRPr="00FB4525">
        <w:rPr>
          <w:rFonts w:ascii="Times New Roman" w:hAnsi="Times New Roman" w:cs="Times New Roman"/>
          <w:sz w:val="24"/>
          <w:szCs w:val="24"/>
        </w:rPr>
        <w:t>Sniedzam papildus skaidrojumus par tehnisko dokumentāciju priekš saules paneļu izvietošanas uz ēkas jumta.</w:t>
      </w:r>
    </w:p>
    <w:p w14:paraId="7809C650" w14:textId="77777777" w:rsidR="00BF1BD2" w:rsidRPr="00FB4525" w:rsidRDefault="00BF1BD2" w:rsidP="00BF1BD2">
      <w:pPr>
        <w:spacing w:after="0"/>
        <w:jc w:val="both"/>
        <w:rPr>
          <w:rFonts w:ascii="Times New Roman" w:hAnsi="Times New Roman" w:cs="Times New Roman"/>
          <w:sz w:val="24"/>
          <w:szCs w:val="24"/>
        </w:rPr>
      </w:pPr>
    </w:p>
    <w:p w14:paraId="323B6994" w14:textId="6A69F70D" w:rsidR="00BF1BD2" w:rsidRDefault="00BF1BD2" w:rsidP="00BF1BD2">
      <w:pPr>
        <w:spacing w:after="0"/>
        <w:jc w:val="both"/>
        <w:rPr>
          <w:rFonts w:ascii="Times New Roman" w:hAnsi="Times New Roman" w:cs="Times New Roman"/>
          <w:sz w:val="24"/>
          <w:szCs w:val="24"/>
        </w:rPr>
      </w:pPr>
      <w:r w:rsidRPr="00FB4525">
        <w:rPr>
          <w:rFonts w:ascii="Times New Roman" w:hAnsi="Times New Roman" w:cs="Times New Roman"/>
          <w:sz w:val="24"/>
          <w:szCs w:val="24"/>
        </w:rPr>
        <w:t xml:space="preserve">Lai izpildītu AF 1.2.1.3.i investīcijas kritērijā Nr.3.4. noteikto, projekta iesniedzējam par visiem projekta ietvaros paredzētajiem būvdarbiem kopā ar projekta iesniegumu ir jāiesniedz būvniecības ieceres dokumentācija vai būvvaldes izziņa, kas liecina, ka būvdarbiem būvatļauja, paskaidrojuma raksts vai </w:t>
      </w:r>
      <w:r w:rsidR="00495C54">
        <w:rPr>
          <w:rFonts w:ascii="Times New Roman" w:hAnsi="Times New Roman" w:cs="Times New Roman"/>
          <w:sz w:val="24"/>
          <w:szCs w:val="24"/>
        </w:rPr>
        <w:t>paziņojuma par būvniecību</w:t>
      </w:r>
      <w:r w:rsidRPr="00FB4525">
        <w:rPr>
          <w:rFonts w:ascii="Times New Roman" w:hAnsi="Times New Roman" w:cs="Times New Roman"/>
          <w:sz w:val="24"/>
          <w:szCs w:val="24"/>
        </w:rPr>
        <w:t xml:space="preserve"> nav nepieciešama (turpmāk – Būvvaldes izziņa).</w:t>
      </w:r>
      <w:r w:rsidR="00FB4525">
        <w:rPr>
          <w:rFonts w:ascii="Times New Roman" w:hAnsi="Times New Roman" w:cs="Times New Roman"/>
          <w:sz w:val="24"/>
          <w:szCs w:val="24"/>
        </w:rPr>
        <w:t xml:space="preserve"> CFLA no projekta iesnieguma un tam pievienotajiem dokumentiem, kā arī no BIS ievietotajiem dokumentiem ir jāspēj identificēt vai saules paneļu uzstādīšana ir iekārtas vai būvdarbi.</w:t>
      </w:r>
    </w:p>
    <w:p w14:paraId="2248856F" w14:textId="77777777" w:rsidR="00FB4525" w:rsidRPr="00FB4525" w:rsidRDefault="00FB4525" w:rsidP="00BF1BD2">
      <w:pPr>
        <w:spacing w:after="0"/>
        <w:jc w:val="both"/>
        <w:rPr>
          <w:rFonts w:ascii="Times New Roman" w:hAnsi="Times New Roman" w:cs="Times New Roman"/>
          <w:sz w:val="24"/>
          <w:szCs w:val="24"/>
        </w:rPr>
      </w:pPr>
    </w:p>
    <w:p w14:paraId="4D712600" w14:textId="4B8DD407" w:rsidR="00BF1BD2" w:rsidRPr="00FB4525" w:rsidRDefault="00BF1BD2" w:rsidP="00BF1BD2">
      <w:pPr>
        <w:spacing w:after="0"/>
        <w:jc w:val="both"/>
        <w:rPr>
          <w:rFonts w:ascii="Times New Roman" w:hAnsi="Times New Roman" w:cs="Times New Roman"/>
          <w:i/>
          <w:iCs/>
          <w:color w:val="212529"/>
          <w:sz w:val="24"/>
          <w:szCs w:val="24"/>
          <w:shd w:val="clear" w:color="auto" w:fill="FFFFFF"/>
        </w:rPr>
      </w:pPr>
      <w:r w:rsidRPr="00FB4525">
        <w:rPr>
          <w:rFonts w:ascii="Times New Roman" w:hAnsi="Times New Roman" w:cs="Times New Roman"/>
          <w:sz w:val="24"/>
          <w:szCs w:val="24"/>
        </w:rPr>
        <w:t>Ekonomikas ministrijas skaidrojumā</w:t>
      </w:r>
      <w:r w:rsidRPr="00FB4525">
        <w:rPr>
          <w:rStyle w:val="FootnoteReference"/>
          <w:rFonts w:cs="Times New Roman"/>
          <w:sz w:val="24"/>
          <w:szCs w:val="24"/>
        </w:rPr>
        <w:footnoteReference w:id="2"/>
      </w:r>
      <w:r w:rsidRPr="00FB4525">
        <w:rPr>
          <w:rFonts w:ascii="Times New Roman" w:hAnsi="Times New Roman" w:cs="Times New Roman"/>
          <w:sz w:val="24"/>
          <w:szCs w:val="24"/>
        </w:rPr>
        <w:t xml:space="preserve"> ir sniegta saules paneļu definīcija, kurā norādīts, ka </w:t>
      </w:r>
      <w:r w:rsidRPr="00FB4525">
        <w:rPr>
          <w:rFonts w:ascii="Times New Roman" w:hAnsi="Times New Roman" w:cs="Times New Roman"/>
          <w:i/>
          <w:iCs/>
          <w:sz w:val="24"/>
          <w:szCs w:val="24"/>
        </w:rPr>
        <w:t>“saules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sidRPr="00FB4525">
        <w:rPr>
          <w:rFonts w:ascii="Times New Roman" w:hAnsi="Times New Roman" w:cs="Times New Roman"/>
          <w:sz w:val="24"/>
          <w:szCs w:val="24"/>
        </w:rPr>
        <w:t>. Turklāt pēc būtības identisks skaidrojums ir iekļauts arī Ekonomikas ministrijas 2023.gada 8.augustā publicētajā skaidrojumā “Skaidrojums par saules paneļiem”.</w:t>
      </w:r>
      <w:r w:rsidRPr="00FB4525">
        <w:rPr>
          <w:rFonts w:ascii="Times New Roman" w:hAnsi="Times New Roman" w:cs="Times New Roman"/>
          <w:sz w:val="24"/>
          <w:szCs w:val="24"/>
          <w:vertAlign w:val="superscript"/>
        </w:rPr>
        <w:footnoteReference w:id="3"/>
      </w:r>
      <w:r w:rsidRPr="00FB4525">
        <w:rPr>
          <w:rFonts w:ascii="Times New Roman" w:hAnsi="Times New Roman" w:cs="Times New Roman"/>
          <w:sz w:val="24"/>
          <w:szCs w:val="24"/>
        </w:rPr>
        <w:t xml:space="preserve"> Pēdējā skaidrojumā cita starpā norādīts un ņemams vērā: </w:t>
      </w:r>
      <w:r w:rsidRPr="00FB4525">
        <w:rPr>
          <w:rFonts w:ascii="Times New Roman" w:hAnsi="Times New Roman" w:cs="Times New Roman"/>
          <w:i/>
          <w:iCs/>
          <w:sz w:val="24"/>
          <w:szCs w:val="24"/>
        </w:rPr>
        <w:t>“</w:t>
      </w:r>
      <w:r w:rsidRPr="00FB4525">
        <w:rPr>
          <w:rFonts w:ascii="Times New Roman" w:hAnsi="Times New Roman" w:cs="Times New Roman"/>
          <w:i/>
          <w:iCs/>
          <w:color w:val="212529"/>
          <w:sz w:val="24"/>
          <w:szCs w:val="24"/>
          <w:shd w:val="clear" w:color="auto" w:fill="FFFFFF"/>
        </w:rPr>
        <w:t>Saules panelis vai vairāku saules paneļu apkopojums nav uzskatāms par Vispārīgo būvnoteikumu 1.pielikuma 2.2.9.apakšpunktā noteikto elektroenerģijas apgādes ēku vai 3.2.6.apakšpunbktā noteikto enerģijas ražošanas inženierbūvi”.</w:t>
      </w:r>
    </w:p>
    <w:p w14:paraId="1F0F830C" w14:textId="77777777" w:rsidR="00BF1BD2" w:rsidRPr="00FB4525" w:rsidRDefault="00BF1BD2" w:rsidP="00BF1BD2">
      <w:pPr>
        <w:spacing w:after="0"/>
        <w:jc w:val="both"/>
        <w:rPr>
          <w:rFonts w:ascii="Times New Roman" w:hAnsi="Times New Roman" w:cs="Times New Roman"/>
          <w:sz w:val="24"/>
          <w:szCs w:val="24"/>
        </w:rPr>
      </w:pPr>
      <w:r w:rsidRPr="00FB4525">
        <w:rPr>
          <w:rFonts w:ascii="Times New Roman" w:hAnsi="Times New Roman" w:cs="Times New Roman"/>
          <w:sz w:val="24"/>
          <w:szCs w:val="24"/>
        </w:rPr>
        <w:t>Ekonomikas ministrijas 2022.gada 8.marta skaidrojums ir publicēts, pamatojoties uz 2022.gada 8.martā veiktajiem grozījumiem Ministru kabineta 2014.gada 19.augusta noteikumos Nr.500 “Vispārīgie būvnoteikumi”</w:t>
      </w:r>
      <w:r w:rsidRPr="00FB4525">
        <w:rPr>
          <w:rStyle w:val="FootnoteReference"/>
          <w:rFonts w:cs="Times New Roman"/>
          <w:sz w:val="24"/>
          <w:szCs w:val="24"/>
        </w:rPr>
        <w:footnoteReference w:id="4"/>
      </w:r>
      <w:r w:rsidRPr="00FB4525">
        <w:rPr>
          <w:rFonts w:ascii="Times New Roman" w:hAnsi="Times New Roman" w:cs="Times New Roman"/>
          <w:sz w:val="24"/>
          <w:szCs w:val="24"/>
        </w:rPr>
        <w:t>, kuri veikti, lai</w:t>
      </w:r>
      <w:r w:rsidRPr="00FB4525">
        <w:rPr>
          <w:rFonts w:ascii="Times New Roman" w:hAnsi="Times New Roman" w:cs="Times New Roman"/>
          <w:color w:val="212529"/>
          <w:sz w:val="24"/>
          <w:szCs w:val="24"/>
          <w:shd w:val="clear" w:color="auto" w:fill="FFFFFF"/>
        </w:rPr>
        <w:t xml:space="preserve"> </w:t>
      </w:r>
      <w:r w:rsidRPr="00FB4525">
        <w:rPr>
          <w:rFonts w:ascii="Times New Roman" w:hAnsi="Times New Roman" w:cs="Times New Roman"/>
          <w:sz w:val="24"/>
          <w:szCs w:val="24"/>
        </w:rPr>
        <w:t>atvieglotu administratīvās procedūras, kas saistītas ar būvniecības iecerēm, kas paredz pāreju uz atjaunojamiem energoresursiem. Minēto noteikumu anotācijā</w:t>
      </w:r>
      <w:r w:rsidRPr="00FB4525">
        <w:rPr>
          <w:rFonts w:ascii="Times New Roman" w:hAnsi="Times New Roman" w:cs="Times New Roman"/>
          <w:sz w:val="24"/>
          <w:szCs w:val="24"/>
          <w:vertAlign w:val="superscript"/>
        </w:rPr>
        <w:footnoteReference w:id="5"/>
      </w:r>
      <w:r w:rsidRPr="00FB4525">
        <w:rPr>
          <w:rFonts w:ascii="Times New Roman" w:hAnsi="Times New Roman" w:cs="Times New Roman"/>
          <w:sz w:val="24"/>
          <w:szCs w:val="24"/>
        </w:rPr>
        <w:t xml:space="preserve"> (turpmāk – Anotācija) attiecībā uz saules paneļu uzstādīšanu ir skaidrots, ka: </w:t>
      </w:r>
      <w:r w:rsidRPr="00FB4525">
        <w:rPr>
          <w:rFonts w:ascii="Times New Roman" w:hAnsi="Times New Roman" w:cs="Times New Roman"/>
          <w:i/>
          <w:iCs/>
          <w:sz w:val="24"/>
          <w:szCs w:val="24"/>
        </w:rPr>
        <w:t>“attiecībā uz gadījumu, kad saules paneļus izvieto uz ēkas jumta, būvniecības regulējums primāri attiecas uz būvju būvniecību, nevis iekārtu ierīkošanu, uzstādīšanu vai izvietošanu būvē. Ja iekārtas (tai skaitā saules paneļa) funkcionēšanas, ierīkošanas vai izvietošanas nodrošināšanai nav nepieciešams veikt būvdarbus (piemēram, pastiprināt nesošās konstrukcijas, izbūvēt jaunus iekšējos inženiertīklus), tad tas nav būvniecības regulējuma jautājums, bet sabiedriskās kārtības un būvju uzturēšanas jautājums. Savukārt, ja iekārtas funkcionēšanas, ierīkošanas vai izvietošanas nodrošināšanai ir nepieciešams veikt būvdarbus, tad piemērojams būvniecības regulējums atkarībā no plānotajiem būvdarbiem.”</w:t>
      </w:r>
      <w:r w:rsidRPr="00FB4525">
        <w:rPr>
          <w:rFonts w:ascii="Times New Roman" w:hAnsi="Times New Roman" w:cs="Times New Roman"/>
          <w:sz w:val="24"/>
          <w:szCs w:val="24"/>
        </w:rPr>
        <w:t xml:space="preserve"> Tāpat Anotācijā ir skaidrots, ka saules paneļa (iekārtas) uzstādīšanai uz būves pašai par sevi nevajag būvniecības ieceres dokumentāciju, neatkarīgi no tā potenciālās jaudas, vienlaikus norādot, ka par ēkas drošumu atbild ēkas īpašnieks, tāpēc </w:t>
      </w:r>
      <w:r w:rsidRPr="00FB4525">
        <w:rPr>
          <w:rFonts w:ascii="Times New Roman" w:hAnsi="Times New Roman" w:cs="Times New Roman"/>
          <w:sz w:val="24"/>
          <w:szCs w:val="24"/>
          <w:u w:val="single"/>
        </w:rPr>
        <w:t xml:space="preserve">pirms iekārtu </w:t>
      </w:r>
      <w:r w:rsidRPr="00FB4525">
        <w:rPr>
          <w:rFonts w:ascii="Times New Roman" w:hAnsi="Times New Roman" w:cs="Times New Roman"/>
          <w:sz w:val="24"/>
          <w:szCs w:val="24"/>
          <w:u w:val="single"/>
        </w:rPr>
        <w:lastRenderedPageBreak/>
        <w:t>izvietošanas ēkas īpašniekam būtu nepieciešams veikt ēkas tehnisko apsekošanu, lai noskaidrotu jumta konstrukciju nestspēju</w:t>
      </w:r>
      <w:r w:rsidRPr="00FB4525">
        <w:rPr>
          <w:rFonts w:ascii="Times New Roman" w:hAnsi="Times New Roman" w:cs="Times New Roman"/>
          <w:sz w:val="24"/>
          <w:szCs w:val="24"/>
        </w:rPr>
        <w:t>.</w:t>
      </w:r>
    </w:p>
    <w:p w14:paraId="277F9770" w14:textId="4BD91FC7" w:rsidR="00FB4525" w:rsidRPr="00FB4525" w:rsidRDefault="00BF1BD2" w:rsidP="00BF1BD2">
      <w:pPr>
        <w:spacing w:after="0"/>
        <w:jc w:val="both"/>
        <w:rPr>
          <w:rFonts w:ascii="Times New Roman" w:hAnsi="Times New Roman" w:cs="Times New Roman"/>
          <w:sz w:val="24"/>
          <w:szCs w:val="24"/>
        </w:rPr>
      </w:pPr>
      <w:bookmarkStart w:id="0" w:name="_Hlk147910856"/>
      <w:r w:rsidRPr="00FB4525">
        <w:rPr>
          <w:rFonts w:ascii="Times New Roman" w:hAnsi="Times New Roman" w:cs="Times New Roman"/>
          <w:sz w:val="24"/>
          <w:szCs w:val="24"/>
        </w:rPr>
        <w:t>Ņemot vērā iepriekš minēto norādām, ka saules paneļi ir iekārtas un to uzstādīšana uz ēkas jumta pati par sevi nav uzskatāma par būvdarbiem un attiecīgi tādā gadījumā saules paneļu uzstādīšanai nav nepieciešama būvniecības ieceres dokumentācija. Vienlaikus gadījumā, ja saules paneļu uzstādīšanai ir nepieciešams veikt būvdarbus, piemēram, pastiprināt ēkas nesošās konstrukcijas vai izbūvēt jaunus iekšējos</w:t>
      </w:r>
      <w:r w:rsidR="005F5F04">
        <w:rPr>
          <w:rFonts w:ascii="Times New Roman" w:hAnsi="Times New Roman" w:cs="Times New Roman"/>
          <w:sz w:val="24"/>
          <w:szCs w:val="24"/>
        </w:rPr>
        <w:t>/ārējos</w:t>
      </w:r>
      <w:r w:rsidRPr="00FB4525">
        <w:rPr>
          <w:rFonts w:ascii="Times New Roman" w:hAnsi="Times New Roman" w:cs="Times New Roman"/>
          <w:sz w:val="24"/>
          <w:szCs w:val="24"/>
        </w:rPr>
        <w:t xml:space="preserve"> inženiertīklus,</w:t>
      </w:r>
      <w:r w:rsidRPr="00FB4525">
        <w:rPr>
          <w:rFonts w:ascii="Times New Roman" w:hAnsi="Times New Roman" w:cs="Times New Roman"/>
          <w:i/>
          <w:iCs/>
          <w:sz w:val="24"/>
          <w:szCs w:val="24"/>
        </w:rPr>
        <w:t xml:space="preserve"> </w:t>
      </w:r>
      <w:r w:rsidRPr="00FB4525">
        <w:rPr>
          <w:rFonts w:ascii="Times New Roman" w:hAnsi="Times New Roman" w:cs="Times New Roman"/>
          <w:sz w:val="24"/>
          <w:szCs w:val="24"/>
        </w:rPr>
        <w:t xml:space="preserve">tad saules paneļu uzstādīšanai ir piemērojams būvniecības regulējums un attiecīgi nepieciešama konkrētajām būvniecības darbībām atbilstoša būvniecības ieceres dokumentācija. Atbilstoši Anotācijā norādītajam, par ēkas drošumu atbild tās īpašnieks un lai noskaidrotu, vai saules paneļu uzstādīšanai nav nepieciešams veikt būvdarbus, ir nepieciešams veikt ēkas tehnisko apsekošanu. </w:t>
      </w:r>
    </w:p>
    <w:p w14:paraId="2B0851F0" w14:textId="78ABD97E" w:rsidR="00BF1BD2" w:rsidRPr="00FB4525" w:rsidRDefault="00FB4525" w:rsidP="00BF1BD2">
      <w:pPr>
        <w:spacing w:after="0"/>
        <w:jc w:val="both"/>
        <w:rPr>
          <w:rFonts w:ascii="Times New Roman" w:hAnsi="Times New Roman" w:cs="Times New Roman"/>
          <w:sz w:val="24"/>
          <w:szCs w:val="24"/>
        </w:rPr>
      </w:pPr>
      <w:r w:rsidRPr="00FB4525">
        <w:rPr>
          <w:rFonts w:ascii="Times New Roman" w:hAnsi="Times New Roman" w:cs="Times New Roman"/>
          <w:sz w:val="24"/>
          <w:szCs w:val="24"/>
        </w:rPr>
        <w:t>La</w:t>
      </w:r>
      <w:r w:rsidR="00BF1BD2" w:rsidRPr="00FB4525">
        <w:rPr>
          <w:rFonts w:ascii="Times New Roman" w:hAnsi="Times New Roman" w:cs="Times New Roman"/>
          <w:sz w:val="24"/>
          <w:szCs w:val="24"/>
        </w:rPr>
        <w:t xml:space="preserve">i izvērtētu, vai Projekta ietvaros paredzētajai saules paneļu uzstādīšanai būvniecības ieceres dokumentācija ir vai nav nepieciešama ir noskaidrojams, vai </w:t>
      </w:r>
      <w:bookmarkStart w:id="1" w:name="_Hlk148083646"/>
      <w:r w:rsidR="00BF1BD2" w:rsidRPr="00FB4525">
        <w:rPr>
          <w:rFonts w:ascii="Times New Roman" w:hAnsi="Times New Roman" w:cs="Times New Roman"/>
          <w:sz w:val="24"/>
          <w:szCs w:val="24"/>
        </w:rPr>
        <w:t>saules paneļu funkcionēšanas, ierīkošanas vai izvietošanas nodrošināšanai ir nepieciešams veikt būvdarbus</w:t>
      </w:r>
      <w:bookmarkEnd w:id="1"/>
      <w:r w:rsidR="00BF1BD2" w:rsidRPr="00FB4525">
        <w:rPr>
          <w:rFonts w:ascii="Times New Roman" w:hAnsi="Times New Roman" w:cs="Times New Roman"/>
          <w:sz w:val="24"/>
          <w:szCs w:val="24"/>
        </w:rPr>
        <w:t>, ko attiecīgi iespējams secināt no ēkas tehniskajā apsekošanā konstatētā.</w:t>
      </w:r>
      <w:bookmarkEnd w:id="0"/>
    </w:p>
    <w:p w14:paraId="0175F1F8" w14:textId="77777777" w:rsidR="00FB4525" w:rsidRPr="00FB4525" w:rsidRDefault="00FB4525" w:rsidP="00BF1BD2">
      <w:pPr>
        <w:spacing w:after="0"/>
        <w:jc w:val="both"/>
        <w:rPr>
          <w:rFonts w:ascii="Times New Roman" w:hAnsi="Times New Roman" w:cs="Times New Roman"/>
          <w:sz w:val="24"/>
          <w:szCs w:val="24"/>
        </w:rPr>
      </w:pPr>
      <w:r w:rsidRPr="00FB4525">
        <w:rPr>
          <w:rFonts w:ascii="Times New Roman" w:hAnsi="Times New Roman" w:cs="Times New Roman"/>
          <w:sz w:val="24"/>
          <w:szCs w:val="24"/>
        </w:rPr>
        <w:t xml:space="preserve">Tehniskās apsekošanas atzinumā (turpmāk – TAA) </w:t>
      </w:r>
      <w:r w:rsidR="00BF1BD2" w:rsidRPr="00FB4525">
        <w:rPr>
          <w:rFonts w:ascii="Times New Roman" w:hAnsi="Times New Roman" w:cs="Times New Roman"/>
          <w:sz w:val="24"/>
          <w:szCs w:val="24"/>
        </w:rPr>
        <w:t xml:space="preserve">ir </w:t>
      </w:r>
      <w:r w:rsidRPr="00FB4525">
        <w:rPr>
          <w:rFonts w:ascii="Times New Roman" w:hAnsi="Times New Roman" w:cs="Times New Roman"/>
          <w:sz w:val="24"/>
          <w:szCs w:val="24"/>
        </w:rPr>
        <w:t xml:space="preserve">jābūt </w:t>
      </w:r>
      <w:r w:rsidR="00BF1BD2" w:rsidRPr="00FB4525">
        <w:rPr>
          <w:rFonts w:ascii="Times New Roman" w:hAnsi="Times New Roman" w:cs="Times New Roman"/>
          <w:sz w:val="24"/>
          <w:szCs w:val="24"/>
        </w:rPr>
        <w:t>norādīt</w:t>
      </w:r>
      <w:r w:rsidRPr="00FB4525">
        <w:rPr>
          <w:rFonts w:ascii="Times New Roman" w:hAnsi="Times New Roman" w:cs="Times New Roman"/>
          <w:sz w:val="24"/>
          <w:szCs w:val="24"/>
        </w:rPr>
        <w:t>am:</w:t>
      </w:r>
    </w:p>
    <w:p w14:paraId="01763E97" w14:textId="0DD3BB26" w:rsidR="00FB4525" w:rsidRPr="00FB4525" w:rsidRDefault="00BF1BD2" w:rsidP="00FB4525">
      <w:pPr>
        <w:pStyle w:val="ListParagraph"/>
        <w:numPr>
          <w:ilvl w:val="0"/>
          <w:numId w:val="1"/>
        </w:numPr>
        <w:spacing w:after="0"/>
        <w:jc w:val="both"/>
        <w:rPr>
          <w:rFonts w:ascii="Times New Roman" w:hAnsi="Times New Roman" w:cs="Times New Roman"/>
          <w:i/>
          <w:iCs/>
          <w:color w:val="212529"/>
          <w:sz w:val="24"/>
          <w:szCs w:val="24"/>
          <w:shd w:val="clear" w:color="auto" w:fill="FFFFFF"/>
        </w:rPr>
      </w:pPr>
      <w:r w:rsidRPr="00FB4525">
        <w:rPr>
          <w:rFonts w:ascii="Times New Roman" w:hAnsi="Times New Roman" w:cs="Times New Roman"/>
          <w:sz w:val="24"/>
          <w:szCs w:val="24"/>
        </w:rPr>
        <w:t>k</w:t>
      </w:r>
      <w:r w:rsidR="00FB4525" w:rsidRPr="00FB4525">
        <w:rPr>
          <w:rFonts w:ascii="Times New Roman" w:hAnsi="Times New Roman" w:cs="Times New Roman"/>
          <w:sz w:val="24"/>
          <w:szCs w:val="24"/>
        </w:rPr>
        <w:t>āds</w:t>
      </w:r>
      <w:r w:rsidRPr="00FB4525">
        <w:rPr>
          <w:rFonts w:ascii="Times New Roman" w:hAnsi="Times New Roman" w:cs="Times New Roman"/>
          <w:sz w:val="24"/>
          <w:szCs w:val="24"/>
        </w:rPr>
        <w:t xml:space="preserve"> </w:t>
      </w:r>
      <w:r w:rsidR="00FB4525" w:rsidRPr="00FB4525">
        <w:rPr>
          <w:rFonts w:ascii="Times New Roman" w:hAnsi="Times New Roman" w:cs="Times New Roman"/>
          <w:sz w:val="24"/>
          <w:szCs w:val="24"/>
        </w:rPr>
        <w:t xml:space="preserve">būs plānotais </w:t>
      </w:r>
      <w:r w:rsidRPr="00FB4525">
        <w:rPr>
          <w:rFonts w:ascii="Times New Roman" w:hAnsi="Times New Roman" w:cs="Times New Roman"/>
          <w:sz w:val="24"/>
          <w:szCs w:val="24"/>
        </w:rPr>
        <w:t>saules paneļu svars kopā ar to montāžas detaļām (adapteriem, jumta kronšteiniem, distanceriem un enkurskrūvēm) objektā</w:t>
      </w:r>
      <w:r w:rsidR="00FB4525" w:rsidRPr="00FB4525">
        <w:rPr>
          <w:rFonts w:ascii="Times New Roman" w:hAnsi="Times New Roman" w:cs="Times New Roman"/>
          <w:sz w:val="24"/>
          <w:szCs w:val="24"/>
        </w:rPr>
        <w:t>;</w:t>
      </w:r>
    </w:p>
    <w:p w14:paraId="20469AE0" w14:textId="54C5DD13" w:rsidR="00FB4525" w:rsidRPr="00FB4525" w:rsidRDefault="00FB4525" w:rsidP="00FB4525">
      <w:pPr>
        <w:pStyle w:val="ListParagraph"/>
        <w:numPr>
          <w:ilvl w:val="0"/>
          <w:numId w:val="1"/>
        </w:numPr>
        <w:spacing w:after="0"/>
        <w:jc w:val="both"/>
        <w:rPr>
          <w:rFonts w:ascii="Times New Roman" w:hAnsi="Times New Roman" w:cs="Times New Roman"/>
          <w:i/>
          <w:iCs/>
          <w:color w:val="212529"/>
          <w:sz w:val="24"/>
          <w:szCs w:val="24"/>
          <w:shd w:val="clear" w:color="auto" w:fill="FFFFFF"/>
        </w:rPr>
      </w:pPr>
      <w:r w:rsidRPr="00FB4525">
        <w:rPr>
          <w:rFonts w:ascii="Times New Roman" w:hAnsi="Times New Roman" w:cs="Times New Roman"/>
          <w:sz w:val="24"/>
          <w:szCs w:val="24"/>
        </w:rPr>
        <w:t>jumta maksimālais slodzes lielums;</w:t>
      </w:r>
    </w:p>
    <w:p w14:paraId="527A9023" w14:textId="5FA08257" w:rsidR="00BF1BD2" w:rsidRPr="00FB4525" w:rsidRDefault="00FB4525" w:rsidP="00FB4525">
      <w:pPr>
        <w:pStyle w:val="ListParagraph"/>
        <w:numPr>
          <w:ilvl w:val="0"/>
          <w:numId w:val="1"/>
        </w:numPr>
        <w:spacing w:after="0"/>
        <w:jc w:val="both"/>
        <w:rPr>
          <w:rFonts w:ascii="Times New Roman" w:hAnsi="Times New Roman" w:cs="Times New Roman"/>
          <w:i/>
          <w:iCs/>
          <w:color w:val="212529"/>
          <w:sz w:val="24"/>
          <w:szCs w:val="24"/>
          <w:shd w:val="clear" w:color="auto" w:fill="FFFFFF"/>
        </w:rPr>
      </w:pPr>
      <w:r w:rsidRPr="00FB4525">
        <w:rPr>
          <w:rFonts w:ascii="Times New Roman" w:hAnsi="Times New Roman" w:cs="Times New Roman"/>
          <w:sz w:val="24"/>
          <w:szCs w:val="24"/>
        </w:rPr>
        <w:t>secinājumiem vai ir vai nav nepieciešami jumta konstrukciju stiprināšanas darbi.</w:t>
      </w:r>
    </w:p>
    <w:p w14:paraId="68EA7A11" w14:textId="77777777" w:rsidR="00FB4525" w:rsidRDefault="00FB4525" w:rsidP="00BF1BD2">
      <w:pPr>
        <w:spacing w:after="0"/>
        <w:jc w:val="both"/>
        <w:rPr>
          <w:rFonts w:ascii="Times New Roman" w:hAnsi="Times New Roman" w:cs="Times New Roman"/>
          <w:sz w:val="24"/>
          <w:szCs w:val="24"/>
        </w:rPr>
      </w:pPr>
    </w:p>
    <w:sectPr w:rsidR="00FB45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78D6" w14:textId="77777777" w:rsidR="00342B91" w:rsidRDefault="00342B91" w:rsidP="00BF1BD2">
      <w:pPr>
        <w:spacing w:after="0" w:line="240" w:lineRule="auto"/>
      </w:pPr>
      <w:r>
        <w:separator/>
      </w:r>
    </w:p>
  </w:endnote>
  <w:endnote w:type="continuationSeparator" w:id="0">
    <w:p w14:paraId="33EEBCB0" w14:textId="77777777" w:rsidR="00342B91" w:rsidRDefault="00342B91" w:rsidP="00BF1BD2">
      <w:pPr>
        <w:spacing w:after="0" w:line="240" w:lineRule="auto"/>
      </w:pPr>
      <w:r>
        <w:continuationSeparator/>
      </w:r>
    </w:p>
  </w:endnote>
  <w:endnote w:type="continuationNotice" w:id="1">
    <w:p w14:paraId="166E7159" w14:textId="77777777" w:rsidR="00342B91" w:rsidRDefault="00342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88BB" w14:textId="77777777" w:rsidR="00342B91" w:rsidRDefault="00342B91" w:rsidP="00BF1BD2">
      <w:pPr>
        <w:spacing w:after="0" w:line="240" w:lineRule="auto"/>
      </w:pPr>
      <w:r>
        <w:separator/>
      </w:r>
    </w:p>
  </w:footnote>
  <w:footnote w:type="continuationSeparator" w:id="0">
    <w:p w14:paraId="359015BD" w14:textId="77777777" w:rsidR="00342B91" w:rsidRDefault="00342B91" w:rsidP="00BF1BD2">
      <w:pPr>
        <w:spacing w:after="0" w:line="240" w:lineRule="auto"/>
      </w:pPr>
      <w:r>
        <w:continuationSeparator/>
      </w:r>
    </w:p>
  </w:footnote>
  <w:footnote w:type="continuationNotice" w:id="1">
    <w:p w14:paraId="2B3EFBB4" w14:textId="77777777" w:rsidR="00342B91" w:rsidRDefault="00342B91">
      <w:pPr>
        <w:spacing w:after="0" w:line="240" w:lineRule="auto"/>
      </w:pPr>
    </w:p>
  </w:footnote>
  <w:footnote w:id="2">
    <w:p w14:paraId="39B85E60" w14:textId="77777777" w:rsidR="00BF1BD2" w:rsidRDefault="00BF1BD2" w:rsidP="00BF1BD2">
      <w:pPr>
        <w:pStyle w:val="FootnoteText"/>
      </w:pPr>
      <w:r>
        <w:rPr>
          <w:rStyle w:val="FootnoteReference"/>
        </w:rPr>
        <w:footnoteRef/>
      </w:r>
      <w:r>
        <w:t xml:space="preserve">Pieejams: </w:t>
      </w:r>
      <w:r w:rsidRPr="00D65065">
        <w:t>https://www.em.gov.lv/lv/jaunums/atvieglo-buvniecibas-procesu-saules-panelu-uzstadisanai</w:t>
      </w:r>
      <w:r>
        <w:t>.</w:t>
      </w:r>
    </w:p>
  </w:footnote>
  <w:footnote w:id="3">
    <w:p w14:paraId="1B0BFC11" w14:textId="77777777" w:rsidR="00BF1BD2" w:rsidRDefault="00BF1BD2" w:rsidP="00BF1BD2">
      <w:pPr>
        <w:pStyle w:val="FootnoteText"/>
      </w:pPr>
      <w:r>
        <w:rPr>
          <w:rStyle w:val="FootnoteReference"/>
        </w:rPr>
        <w:footnoteRef/>
      </w:r>
      <w:r>
        <w:t xml:space="preserve">Pieejams: </w:t>
      </w:r>
      <w:r w:rsidRPr="0070367A">
        <w:t>https://www.em.gov.lv/lv/skaidrojums-par-saules-paneliem</w:t>
      </w:r>
      <w:r>
        <w:t>.</w:t>
      </w:r>
    </w:p>
  </w:footnote>
  <w:footnote w:id="4">
    <w:p w14:paraId="3F165340" w14:textId="77777777" w:rsidR="00BF1BD2" w:rsidRDefault="00BF1BD2" w:rsidP="00BF1BD2">
      <w:pPr>
        <w:pStyle w:val="FootnoteText"/>
      </w:pPr>
      <w:r>
        <w:rPr>
          <w:rStyle w:val="FootnoteReference"/>
        </w:rPr>
        <w:footnoteRef/>
      </w:r>
      <w:r w:rsidRPr="001E3824">
        <w:t xml:space="preserve">Ministru kabineta 2022.gada 8.marta noteikumi Nr.166 </w:t>
      </w:r>
      <w:r>
        <w:t>“</w:t>
      </w:r>
      <w:r w:rsidRPr="001E3824">
        <w:t xml:space="preserve">Grozījumi Ministru kabineta 2014.gada 19.augusta noteikumos Nr.500 </w:t>
      </w:r>
      <w:r>
        <w:t>“</w:t>
      </w:r>
      <w:r w:rsidRPr="001E3824">
        <w:t>Vispārīgie būvnoteikumi</w:t>
      </w:r>
      <w:r>
        <w:t>””</w:t>
      </w:r>
      <w:r w:rsidRPr="001E3824">
        <w:t>.</w:t>
      </w:r>
    </w:p>
  </w:footnote>
  <w:footnote w:id="5">
    <w:p w14:paraId="5684A02E" w14:textId="77777777" w:rsidR="00BF1BD2" w:rsidRDefault="00BF1BD2" w:rsidP="00BF1BD2">
      <w:pPr>
        <w:pStyle w:val="FootnoteText"/>
      </w:pPr>
      <w:r>
        <w:rPr>
          <w:rStyle w:val="FootnoteReference"/>
        </w:rPr>
        <w:footnoteRef/>
      </w:r>
      <w:r>
        <w:t xml:space="preserve">Pieejams: </w:t>
      </w:r>
      <w:r w:rsidRPr="00755EB9">
        <w:t>https://tapportals.mk.gov.lv/annotation/a23ca554-c6bf-4efe-8757-9e207d937ae7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E31A4"/>
    <w:multiLevelType w:val="hybridMultilevel"/>
    <w:tmpl w:val="B97EAE6E"/>
    <w:lvl w:ilvl="0" w:tplc="04260017">
      <w:start w:val="1"/>
      <w:numFmt w:val="lowerLetter"/>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262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D2"/>
    <w:rsid w:val="00197497"/>
    <w:rsid w:val="00294802"/>
    <w:rsid w:val="00342B91"/>
    <w:rsid w:val="004009C7"/>
    <w:rsid w:val="0046079E"/>
    <w:rsid w:val="00495C54"/>
    <w:rsid w:val="005611B1"/>
    <w:rsid w:val="005F5F04"/>
    <w:rsid w:val="007F4159"/>
    <w:rsid w:val="008B534D"/>
    <w:rsid w:val="008F2E00"/>
    <w:rsid w:val="00AB1E6D"/>
    <w:rsid w:val="00BF1BD2"/>
    <w:rsid w:val="00DE4408"/>
    <w:rsid w:val="00E615F0"/>
    <w:rsid w:val="00EF68B7"/>
    <w:rsid w:val="00F1533E"/>
    <w:rsid w:val="00F97DA0"/>
    <w:rsid w:val="00FB4525"/>
    <w:rsid w:val="00FC61EF"/>
    <w:rsid w:val="00FC73AF"/>
    <w:rsid w:val="00FD2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B2A6"/>
  <w15:chartTrackingRefBased/>
  <w15:docId w15:val="{2402D2E8-153E-4532-9BAB-B827089A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ußnotentext Ursprung,single space,FOOTNOTES,fn,Footnote Text Char2 Char,Footnote Text Char Char1 Char,Schriftart: 9 pt,f"/>
    <w:basedOn w:val="Normal"/>
    <w:link w:val="FootnoteTextChar"/>
    <w:uiPriority w:val="99"/>
    <w:rsid w:val="00BF1BD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Char,Fußnote Char Char1,Fußnote Char Char Char,Fußnote Char Char Char Char Char Char Char,Fußnote Char1,-E Fußnotentext Char,Fußnotentext Ursprung Char,single space Char,FOOTNOTES Char,fn Char,Footnote Text Char2 Char Char"/>
    <w:basedOn w:val="DefaultParagraphFont"/>
    <w:link w:val="FootnoteText"/>
    <w:uiPriority w:val="99"/>
    <w:rsid w:val="00BF1BD2"/>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E FN"/>
    <w:link w:val="FootnoteReferenceNumber"/>
    <w:uiPriority w:val="99"/>
    <w:rsid w:val="00BF1BD2"/>
    <w:rPr>
      <w:rFonts w:ascii="Times New Roman" w:hAnsi="Times New Roman"/>
      <w:vertAlign w:val="superscript"/>
    </w:rPr>
  </w:style>
  <w:style w:type="paragraph" w:customStyle="1" w:styleId="FootnoteReferenceNumber">
    <w:name w:val="Footnote Reference Number"/>
    <w:aliases w:val="Footnote symbol,Footnote Reference Superscript,Footnote Refernece,ftref,Odwołanie przypisu,BVI fnr,Footnotes refss,SUPERS,Ref,de nota al pie,-E Fußnotenzeichen,Footnote reference number,Times 10 Point,E,E FNZ"/>
    <w:basedOn w:val="Normal"/>
    <w:next w:val="Normal"/>
    <w:link w:val="FootnoteReference"/>
    <w:uiPriority w:val="99"/>
    <w:rsid w:val="00BF1BD2"/>
    <w:pPr>
      <w:spacing w:line="240" w:lineRule="exact"/>
      <w:jc w:val="both"/>
      <w:textAlignment w:val="baseline"/>
    </w:pPr>
    <w:rPr>
      <w:rFonts w:ascii="Times New Roman" w:hAnsi="Times New Roman"/>
      <w:vertAlign w:val="superscript"/>
    </w:rPr>
  </w:style>
  <w:style w:type="paragraph" w:styleId="ListParagraph">
    <w:name w:val="List Paragraph"/>
    <w:basedOn w:val="Normal"/>
    <w:uiPriority w:val="34"/>
    <w:qFormat/>
    <w:rsid w:val="00FB4525"/>
    <w:pPr>
      <w:ind w:left="720"/>
      <w:contextualSpacing/>
    </w:pPr>
  </w:style>
  <w:style w:type="paragraph" w:styleId="Header">
    <w:name w:val="header"/>
    <w:basedOn w:val="Normal"/>
    <w:link w:val="HeaderChar"/>
    <w:uiPriority w:val="99"/>
    <w:semiHidden/>
    <w:unhideWhenUsed/>
    <w:rsid w:val="002948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4802"/>
  </w:style>
  <w:style w:type="paragraph" w:styleId="Footer">
    <w:name w:val="footer"/>
    <w:basedOn w:val="Normal"/>
    <w:link w:val="FooterChar"/>
    <w:uiPriority w:val="99"/>
    <w:semiHidden/>
    <w:unhideWhenUsed/>
    <w:rsid w:val="002948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FF807-1C96-4233-A8C1-4A71551C912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935B90C-5C16-4A57-8C34-8FFC6651021E}">
  <ds:schemaRefs>
    <ds:schemaRef ds:uri="http://schemas.microsoft.com/sharepoint/v3/contenttype/forms"/>
  </ds:schemaRefs>
</ds:datastoreItem>
</file>

<file path=customXml/itemProps3.xml><?xml version="1.0" encoding="utf-8"?>
<ds:datastoreItem xmlns:ds="http://schemas.openxmlformats.org/officeDocument/2006/customXml" ds:itemID="{42C1C056-F67D-4E47-B60E-7C8EF0F3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2938</Words>
  <Characters>1676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Šmite</dc:creator>
  <cp:keywords/>
  <dc:description/>
  <cp:lastModifiedBy>Elza Renāte Treimane</cp:lastModifiedBy>
  <cp:revision>3</cp:revision>
  <dcterms:created xsi:type="dcterms:W3CDTF">2023-12-04T08:07:00Z</dcterms:created>
  <dcterms:modified xsi:type="dcterms:W3CDTF">2023-12-04T08:31:00Z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