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DE1B32" w:rsidP="000F2B58" w14:paraId="7783627B" w14:textId="77777777">
      <w:pPr>
        <w:jc w:val="center"/>
        <w:rPr>
          <w:b/>
          <w:sz w:val="28"/>
        </w:rPr>
      </w:pPr>
    </w:p>
    <w:p w:rsidR="00094D73" w:rsidP="000F2B58" w14:paraId="3725123B" w14:textId="37F9717C">
      <w:pPr>
        <w:jc w:val="center"/>
        <w:rPr>
          <w:b/>
          <w:color w:val="000000" w:themeColor="text1"/>
          <w:sz w:val="28"/>
        </w:rPr>
      </w:pPr>
      <w:r w:rsidRPr="000B21B2">
        <w:rPr>
          <w:b/>
          <w:sz w:val="28"/>
        </w:rPr>
        <w:t>Eiropas Savienības kohēzijas politikas programmas 2021.–2027. gadam</w:t>
      </w:r>
      <w:r>
        <w:rPr>
          <w:b/>
          <w:sz w:val="28"/>
        </w:rPr>
        <w:t xml:space="preserve"> </w:t>
      </w:r>
      <w:r w:rsidRPr="000F2B58" w:rsidR="000F2B58">
        <w:rPr>
          <w:b/>
          <w:sz w:val="28"/>
        </w:rPr>
        <w:t>4.</w:t>
      </w:r>
      <w:r w:rsidR="000C5CA1">
        <w:rPr>
          <w:b/>
          <w:sz w:val="28"/>
        </w:rPr>
        <w:t>1</w:t>
      </w:r>
      <w:r w:rsidRPr="000F2B58" w:rsidR="000F2B58">
        <w:rPr>
          <w:b/>
          <w:sz w:val="28"/>
        </w:rPr>
        <w:t>.1. specifiskā atbalsta mērķa "</w:t>
      </w:r>
      <w:r w:rsidRPr="000C5CA1" w:rsidR="000C5CA1">
        <w:rPr>
          <w:b/>
          <w:sz w:val="28"/>
        </w:rPr>
        <w:t>Nodrošināt vienlīdzīgu piekļuvi veselības aprūpei un stiprināt veselības sistēmu, tostarp primārās veselības aprūpes noturību</w:t>
      </w:r>
      <w:r w:rsidRPr="000F2B58" w:rsidR="000F2B58">
        <w:rPr>
          <w:b/>
          <w:sz w:val="28"/>
        </w:rPr>
        <w:t>" 4.</w:t>
      </w:r>
      <w:r w:rsidR="000C5CA1">
        <w:rPr>
          <w:b/>
          <w:sz w:val="28"/>
        </w:rPr>
        <w:t>1</w:t>
      </w:r>
      <w:r w:rsidRPr="000F2B58" w:rsidR="000F2B58">
        <w:rPr>
          <w:b/>
          <w:sz w:val="28"/>
        </w:rPr>
        <w:t>.1.</w:t>
      </w:r>
      <w:r w:rsidR="000C5CA1">
        <w:rPr>
          <w:b/>
          <w:sz w:val="28"/>
        </w:rPr>
        <w:t>1</w:t>
      </w:r>
      <w:r w:rsidRPr="000F2B58" w:rsidR="000F2B58">
        <w:rPr>
          <w:b/>
          <w:sz w:val="28"/>
        </w:rPr>
        <w:t>. pasākuma "</w:t>
      </w:r>
      <w:r w:rsidRPr="000C5CA1" w:rsidR="000C5CA1">
        <w:rPr>
          <w:b/>
          <w:sz w:val="28"/>
        </w:rPr>
        <w:t xml:space="preserve">Ārstniecības iestāžu infrastruktūras </w:t>
      </w:r>
      <w:r w:rsidRPr="00F479E2" w:rsidR="000C5CA1">
        <w:rPr>
          <w:b/>
          <w:color w:val="000000" w:themeColor="text1"/>
          <w:sz w:val="28"/>
        </w:rPr>
        <w:t>attīstība</w:t>
      </w:r>
      <w:r w:rsidRPr="00F479E2" w:rsidR="00347BE4">
        <w:rPr>
          <w:b/>
          <w:color w:val="000000" w:themeColor="text1"/>
          <w:sz w:val="28"/>
        </w:rPr>
        <w:t>"</w:t>
      </w:r>
      <w:r w:rsidRPr="00F479E2" w:rsidR="00FF61A6">
        <w:rPr>
          <w:b/>
          <w:color w:val="000000" w:themeColor="text1"/>
          <w:sz w:val="28"/>
        </w:rPr>
        <w:t xml:space="preserve"> 1.kārtas</w:t>
      </w:r>
      <w:r w:rsidRPr="00F479E2" w:rsidR="00347BE4">
        <w:rPr>
          <w:b/>
          <w:color w:val="000000" w:themeColor="text1"/>
          <w:sz w:val="28"/>
        </w:rPr>
        <w:t xml:space="preserve"> papildinošās</w:t>
      </w:r>
      <w:r w:rsidRPr="00F479E2" w:rsidR="000F2B58">
        <w:rPr>
          <w:b/>
          <w:color w:val="000000" w:themeColor="text1"/>
          <w:sz w:val="28"/>
        </w:rPr>
        <w:t xml:space="preserve"> saimniecisk</w:t>
      </w:r>
      <w:r w:rsidRPr="00F479E2" w:rsidR="00347BE4">
        <w:rPr>
          <w:b/>
          <w:color w:val="000000" w:themeColor="text1"/>
          <w:sz w:val="28"/>
        </w:rPr>
        <w:t>ās darbības aprēķina metodika</w:t>
      </w:r>
    </w:p>
    <w:p w:rsidR="00C70BFB" w:rsidRPr="00F479E2" w:rsidP="000F2B58" w14:paraId="7114210A" w14:textId="77777777">
      <w:pPr>
        <w:jc w:val="center"/>
        <w:rPr>
          <w:b/>
          <w:color w:val="FF0000"/>
          <w:sz w:val="28"/>
        </w:rPr>
      </w:pPr>
    </w:p>
    <w:p w:rsidR="00C70BFB" w:rsidP="00C70BFB" w14:paraId="709BC014" w14:textId="77777777">
      <w:pPr>
        <w:spacing w:after="120"/>
        <w:ind w:firstLine="851"/>
        <w:jc w:val="both"/>
      </w:pPr>
      <w:r w:rsidRPr="000B21B2">
        <w:t>Eiropas Savienības kohēzijas politikas programmas 2021.–2027. gadam 4.1.1. specifiskā atbalsta mērķa "Nodrošināt vienlīdzīgu piekļuvi veselības aprūpei un stiprināt veselības sistēmu, tostarp primārās veselības aprūpes noturību"</w:t>
      </w:r>
      <w:r w:rsidR="0050523B">
        <w:t xml:space="preserve"> (turpmāk- SAM 4.1.1)</w:t>
      </w:r>
      <w:r w:rsidRPr="000B21B2">
        <w:t xml:space="preserve"> 4.1.1.1. pasākuma "Ārstniecības iestāžu infrastruktūras attīstība"</w:t>
      </w:r>
      <w:r w:rsidR="005C7B48">
        <w:t xml:space="preserve"> (turpmāk</w:t>
      </w:r>
      <w:r w:rsidR="007450A0">
        <w:t xml:space="preserve"> -</w:t>
      </w:r>
      <w:r w:rsidR="00B51937">
        <w:t xml:space="preserve"> </w:t>
      </w:r>
      <w:r w:rsidR="005C7B48">
        <w:t>4.</w:t>
      </w:r>
      <w:r w:rsidR="00B51937">
        <w:t>1</w:t>
      </w:r>
      <w:r w:rsidR="005C7B48">
        <w:t>.1.</w:t>
      </w:r>
      <w:r w:rsidR="00B51937">
        <w:t>1</w:t>
      </w:r>
      <w:r w:rsidR="005C7B48">
        <w:t>.pasākums)</w:t>
      </w:r>
      <w:r w:rsidR="00FF61A6">
        <w:t xml:space="preserve"> 1.kārtas</w:t>
      </w:r>
      <w:r w:rsidR="005C7B48">
        <w:t xml:space="preserve"> ietvaros ir noteikts, ka </w:t>
      </w:r>
      <w:r w:rsidR="00B51937">
        <w:t xml:space="preserve">projekta iesniedzējam </w:t>
      </w:r>
      <w:r w:rsidRPr="00B51937" w:rsidR="00B51937">
        <w:t>Valsts tiesu medicīnas ekspertīžu centr</w:t>
      </w:r>
      <w:r w:rsidR="00B51937">
        <w:t xml:space="preserve">am (turpmāk – </w:t>
      </w:r>
      <w:r w:rsidRPr="00ED7317" w:rsidR="00B51937">
        <w:t>VTMEC</w:t>
      </w:r>
      <w:r w:rsidR="00B51937">
        <w:t xml:space="preserve">) </w:t>
      </w:r>
      <w:r w:rsidR="002F686F">
        <w:t xml:space="preserve">atbilstoši Ministru kabineta </w:t>
      </w:r>
      <w:r w:rsidR="00FF61A6">
        <w:t>2023</w:t>
      </w:r>
      <w:r w:rsidR="00BE043B">
        <w:t xml:space="preserve">.gada 15.augusta </w:t>
      </w:r>
      <w:r w:rsidR="002F686F">
        <w:t>noteikumu Nr. 462</w:t>
      </w:r>
      <w:r w:rsidR="00FF61A6">
        <w:t xml:space="preserve"> “</w:t>
      </w:r>
      <w:r w:rsidRPr="00BE043B" w:rsidR="00BE043B">
        <w:t>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pirmās kārtas un 4.1.1.5. pasākuma "Neatliekamās medicīniskās palīdzības dienesta attīstība" īstenošanas noteikumi</w:t>
      </w:r>
      <w:r w:rsidR="00FF61A6">
        <w:t>”</w:t>
      </w:r>
      <w:r w:rsidR="002F686F">
        <w:t xml:space="preserve"> (turpmāk MK </w:t>
      </w:r>
      <w:r w:rsidRPr="00ED7317" w:rsidR="002F686F">
        <w:t xml:space="preserve">noteikumi) 23.punktā noteiktajam </w:t>
      </w:r>
      <w:r w:rsidRPr="00ED7317" w:rsidR="00B51937">
        <w:t xml:space="preserve">atbalsts tiek sniegts deleģētās valsts funkcijas nodrošināšanai, un tas nav kvalificējams kā komercdarbības atbalsts, tostarp minētajam finansējuma saņēmējam pamatlīdzekļu un ilgtermiņa ieguldījumu nolietojuma periodā ir pieļaujams veikt papildinošu saimniecisko darbību 20 procentu apmērā no infrastruktūras gada jaudas platības, laika vai finanšu izteiksmē, lai atbalsts pasākuma ietvaros netiktu kvalificēts kā komercdarbības atbalsts. </w:t>
      </w:r>
    </w:p>
    <w:p w:rsidR="001F4DC7" w:rsidP="00C70BFB" w14:paraId="1F4D7A37" w14:textId="672835B4">
      <w:pPr>
        <w:spacing w:after="120"/>
        <w:ind w:firstLine="851"/>
        <w:jc w:val="both"/>
      </w:pPr>
      <w:r w:rsidRPr="00ED7317">
        <w:t>Ar papildinošu saimniecisko darbību saprot darbības, kas ir tieši saistītas ar infrastruktūras ekspluatāciju un tai nepieciešamas vai nesaraujami saistītas ar tās galveno ar saimniecisko darbību nesaistīto izmantojumu, patērējot tādu pašu resursu (piemēram, materiāli, aprīkojums, darbaspēks, pamatkapitāls) apjomu kā ar saimniecisko darbību nesaistītajām darbībām.</w:t>
      </w:r>
      <w:r w:rsidR="00543659">
        <w:t xml:space="preserve"> </w:t>
      </w:r>
      <w:bookmarkStart w:id="0" w:name="_Hlk146704511"/>
      <w:r w:rsidR="00171FE5">
        <w:t>P</w:t>
      </w:r>
      <w:r w:rsidR="00543659">
        <w:t>apildinošā</w:t>
      </w:r>
      <w:r w:rsidR="00171FE5">
        <w:t xml:space="preserve"> </w:t>
      </w:r>
      <w:r w:rsidR="00543659">
        <w:t>saimnieciskā darbība ir</w:t>
      </w:r>
      <w:r w:rsidR="00171FE5">
        <w:t>, piemēram,</w:t>
      </w:r>
      <w:r w:rsidR="00543659">
        <w:t xml:space="preserve"> ķīmiski-</w:t>
      </w:r>
      <w:r w:rsidR="005718BE">
        <w:t>toksikoloģiskās izpētes veikšana</w:t>
      </w:r>
      <w:r w:rsidR="00543659">
        <w:t>,</w:t>
      </w:r>
      <w:r w:rsidR="00A9693D">
        <w:t xml:space="preserve"> m</w:t>
      </w:r>
      <w:r w:rsidRPr="00A9693D" w:rsidR="00A9693D">
        <w:t>iruša cilvēka tiesu medicīniskā izpēte nāves cēloņa noteikšanai</w:t>
      </w:r>
      <w:r w:rsidR="005718BE">
        <w:t xml:space="preserve"> un saistītās darbības</w:t>
      </w:r>
      <w:r w:rsidR="00A9693D">
        <w:t>, a</w:t>
      </w:r>
      <w:r w:rsidRPr="00A9693D" w:rsidR="00A9693D">
        <w:t>tzinuma sniegšana par dzīvu fizisku personu</w:t>
      </w:r>
      <w:r w:rsidR="00A9693D">
        <w:t>,</w:t>
      </w:r>
      <w:r w:rsidR="00543659">
        <w:t xml:space="preserve"> paternitātes un parentitātes noteikšanas ekspertīžu veikšana </w:t>
      </w:r>
      <w:r w:rsidR="001209DD">
        <w:t xml:space="preserve">u.c. </w:t>
      </w:r>
      <w:r w:rsidR="00E85B56">
        <w:t xml:space="preserve">pakalpojumu sniegšana </w:t>
      </w:r>
      <w:r w:rsidR="00543659">
        <w:t>privātpersonām pēc viņu iniciatīvas</w:t>
      </w:r>
      <w:r w:rsidR="00711FDA">
        <w:t xml:space="preserve">, </w:t>
      </w:r>
      <w:r w:rsidR="00543659">
        <w:t>izmantojot VTMEC materiālus, aprīkojumu un darbaspēku.</w:t>
      </w:r>
      <w:bookmarkEnd w:id="0"/>
      <w:r w:rsidR="00171FE5">
        <w:t xml:space="preserve"> </w:t>
      </w:r>
      <w:r w:rsidR="00DB5825">
        <w:t>P</w:t>
      </w:r>
      <w:r w:rsidRPr="00ED7317" w:rsidR="00DB5825">
        <w:t>apildinoš</w:t>
      </w:r>
      <w:r w:rsidR="00DB5825">
        <w:t>ā</w:t>
      </w:r>
      <w:r w:rsidRPr="00ED7317" w:rsidR="00DB5825">
        <w:t xml:space="preserve"> saimniecisk</w:t>
      </w:r>
      <w:r w:rsidR="00DB5825">
        <w:t>ā</w:t>
      </w:r>
      <w:r w:rsidRPr="00ED7317" w:rsidR="00DB5825">
        <w:t xml:space="preserve"> darbīb</w:t>
      </w:r>
      <w:r w:rsidR="00DB5825">
        <w:t>a</w:t>
      </w:r>
      <w:r w:rsidR="00171FE5">
        <w:t xml:space="preserve"> pieļaujama, nepārsniedzot </w:t>
      </w:r>
      <w:r w:rsidRPr="00ED7317" w:rsidR="00DB5825">
        <w:t>20 procentu apmēr</w:t>
      </w:r>
      <w:r w:rsidR="00DB5825">
        <w:t>u</w:t>
      </w:r>
      <w:r w:rsidRPr="00ED7317" w:rsidR="00DB5825">
        <w:t xml:space="preserve"> no infrastruktūras gada jaudas platības, laika vai finanšu izteiksmē</w:t>
      </w:r>
      <w:r w:rsidR="00171FE5">
        <w:t xml:space="preserve">. </w:t>
      </w:r>
      <w:r w:rsidRPr="00ED7317" w:rsidR="00DB5825">
        <w:t>VTMEC</w:t>
      </w:r>
      <w:r>
        <w:t xml:space="preserve"> infrastruktūra ir jebkura ēka vai</w:t>
      </w:r>
      <w:r w:rsidR="00953282">
        <w:t xml:space="preserve"> </w:t>
      </w:r>
      <w:r w:rsidR="00EE1A99">
        <w:t xml:space="preserve">ar ēku, par kuru iesniegts projekta iesniegums, </w:t>
      </w:r>
      <w:r w:rsidR="00953282">
        <w:t>funkcionāli saistītā</w:t>
      </w:r>
      <w:r>
        <w:t xml:space="preserve"> ēku grupa, vai inženierbūve, kuras ir </w:t>
      </w:r>
      <w:r w:rsidRPr="00ED7317" w:rsidR="00DB5825">
        <w:t>VTMEC</w:t>
      </w:r>
      <w:r>
        <w:t xml:space="preserve"> īpašumā, lietošanā vai valdījumā, lai veiktu valsts deleģētos pārvaldes uzdevumus</w:t>
      </w:r>
      <w:r w:rsidR="00006AA6">
        <w:t xml:space="preserve">, </w:t>
      </w:r>
      <w:r w:rsidRPr="00EB11BB" w:rsidR="00006AA6">
        <w:t>papildinoš</w:t>
      </w:r>
      <w:r w:rsidR="007621C4">
        <w:t>o</w:t>
      </w:r>
      <w:r w:rsidRPr="00EB11BB" w:rsidR="00006AA6">
        <w:t xml:space="preserve"> saimniecisk</w:t>
      </w:r>
      <w:r w:rsidR="007621C4">
        <w:t>o</w:t>
      </w:r>
      <w:r w:rsidRPr="00EB11BB" w:rsidR="00006AA6">
        <w:t xml:space="preserve"> darbīb</w:t>
      </w:r>
      <w:r w:rsidR="007621C4">
        <w:t>u</w:t>
      </w:r>
      <w:r w:rsidRPr="00EB11BB" w:rsidR="00006AA6">
        <w:t xml:space="preserve"> </w:t>
      </w:r>
      <w:r w:rsidR="00006AA6">
        <w:t xml:space="preserve">un </w:t>
      </w:r>
      <w:r w:rsidRPr="00EB11BB" w:rsidR="00006AA6">
        <w:t>saimniecisk</w:t>
      </w:r>
      <w:r w:rsidR="007621C4">
        <w:t>o</w:t>
      </w:r>
      <w:r w:rsidRPr="00EB11BB" w:rsidR="00006AA6">
        <w:t xml:space="preserve"> darbīb</w:t>
      </w:r>
      <w:r w:rsidR="007621C4">
        <w:t>u</w:t>
      </w:r>
      <w:r w:rsidR="00030134">
        <w:t xml:space="preserve"> (turpmāk – infrastruktūra)</w:t>
      </w:r>
      <w:r>
        <w:t>.</w:t>
      </w:r>
    </w:p>
    <w:p w:rsidR="00971C90" w:rsidRPr="00ED7317" w:rsidP="00C70BFB" w14:paraId="2F7A79E6" w14:textId="5E62E265">
      <w:pPr>
        <w:spacing w:before="120"/>
        <w:ind w:firstLine="851"/>
        <w:jc w:val="both"/>
      </w:pPr>
      <w:r w:rsidRPr="00ED7317">
        <w:t>S</w:t>
      </w:r>
      <w:r w:rsidRPr="00ED7317" w:rsidR="00B46C75">
        <w:t>aimnieciskā darbība ir</w:t>
      </w:r>
      <w:r w:rsidRPr="00ED7317" w:rsidR="005F5508">
        <w:t xml:space="preserve"> ikviena darbība, kas ietver preču un pakalpojumu piedāvāšanu tirgū</w:t>
      </w:r>
      <w:r w:rsidRPr="00ED7317" w:rsidR="00B46C75">
        <w:t>.</w:t>
      </w:r>
      <w:r>
        <w:rPr>
          <w:rStyle w:val="FootnoteReference"/>
        </w:rPr>
        <w:footnoteReference w:id="3"/>
      </w:r>
      <w:r w:rsidRPr="00ED7317" w:rsidR="003A182B">
        <w:t xml:space="preserve"> </w:t>
      </w:r>
      <w:r w:rsidRPr="00ED7317" w:rsidR="00510924">
        <w:t>J</w:t>
      </w:r>
      <w:r w:rsidRPr="00ED7317" w:rsidR="003A182B">
        <w:t xml:space="preserve">a noteikts </w:t>
      </w:r>
      <w:r w:rsidRPr="00ED7317" w:rsidR="003C78A0">
        <w:t xml:space="preserve">infrastruktūras </w:t>
      </w:r>
      <w:r w:rsidRPr="00ED7317" w:rsidR="003A182B">
        <w:t xml:space="preserve">apjoms ir iznomāts ar </w:t>
      </w:r>
      <w:r w:rsidRPr="00ED7317" w:rsidR="00DB5825">
        <w:t>VTMEC</w:t>
      </w:r>
      <w:r w:rsidRPr="00ED7317" w:rsidR="003A182B">
        <w:t xml:space="preserve"> nesaistītai </w:t>
      </w:r>
      <w:r w:rsidRPr="00ED7317" w:rsidR="003A182B">
        <w:t>privātai vai juridiskai personai, kas neveic valsts deleģētos pārvaldes uzdevumus, tad š</w:t>
      </w:r>
      <w:r w:rsidRPr="00ED7317" w:rsidR="009B77F4">
        <w:t>ā</w:t>
      </w:r>
      <w:r w:rsidRPr="00ED7317" w:rsidR="003A182B">
        <w:t>das darbības ir kvalificējamas kā saimnieciskā darbība.</w:t>
      </w:r>
      <w:r w:rsidRPr="00ED7317" w:rsidR="009B77F4">
        <w:t xml:space="preserve"> </w:t>
      </w:r>
      <w:r w:rsidRPr="00171FE5" w:rsidR="00171FE5">
        <w:t xml:space="preserve">Saimnieciskā darbība ir, piemēram, VTMEC telpu iznomāšana uzņēmējam. Tā pasākuma ietvaros nav pieļaujama.    </w:t>
      </w:r>
    </w:p>
    <w:p w:rsidR="00C70BFB" w:rsidP="00C70BFB" w14:paraId="651BFCF7" w14:textId="7DC47747">
      <w:pPr>
        <w:spacing w:before="120"/>
        <w:ind w:firstLine="851"/>
        <w:jc w:val="both"/>
      </w:pPr>
      <w:r w:rsidRPr="00ED7317">
        <w:t>Atbilstoši MK noteikumu 26.punktam v</w:t>
      </w:r>
      <w:r w:rsidRPr="00ED7317" w:rsidR="001B3DDA">
        <w:t>eikto investīciju atbilstības uzraudzību papildinošai saimnieciskai darbībai</w:t>
      </w:r>
      <w:r w:rsidRPr="00ED7317" w:rsidR="00112B6C">
        <w:t xml:space="preserve"> </w:t>
      </w:r>
      <w:r w:rsidRPr="00ED7317" w:rsidR="001B3DDA">
        <w:t>reizi gadā visā projekta dzīves ci</w:t>
      </w:r>
      <w:r w:rsidRPr="00ED7317" w:rsidR="00971C90">
        <w:t>kla periodā</w:t>
      </w:r>
      <w:r w:rsidRPr="00ED7317" w:rsidR="00112B6C">
        <w:t xml:space="preserve"> nodrošina sadarbības iestāde</w:t>
      </w:r>
      <w:r w:rsidRPr="00ED7317" w:rsidR="009674F5">
        <w:t xml:space="preserve"> Centrālā finanšu un līgumu aģentūra</w:t>
      </w:r>
      <w:r w:rsidRPr="00ED7317" w:rsidR="00112B6C">
        <w:t xml:space="preserve"> (</w:t>
      </w:r>
      <w:r w:rsidRPr="00ED7317" w:rsidR="007450A0">
        <w:t xml:space="preserve">turpmāk – </w:t>
      </w:r>
      <w:r w:rsidRPr="00ED7317" w:rsidR="00112B6C">
        <w:t>CFLA).</w:t>
      </w:r>
      <w:r w:rsidRPr="00ED7317" w:rsidR="00D87065">
        <w:t xml:space="preserve"> </w:t>
      </w:r>
      <w:r w:rsidRPr="00ED7317" w:rsidR="006723A6">
        <w:t xml:space="preserve">Līdz ar to </w:t>
      </w:r>
      <w:r w:rsidRPr="00ED7317" w:rsidR="00971C90">
        <w:t>f</w:t>
      </w:r>
      <w:r w:rsidRPr="00ED7317" w:rsidR="00D87065">
        <w:t>inansējuma saņēmējs</w:t>
      </w:r>
      <w:r w:rsidRPr="00ED7317" w:rsidR="006723A6">
        <w:t xml:space="preserve"> visa projekta dzīves cikla laikā</w:t>
      </w:r>
      <w:r w:rsidRPr="00ED7317" w:rsidR="00D87065">
        <w:t xml:space="preserve"> iesniedz CFLA skaidrojumu un aprēķinu par papildinošās saimnieciskās darbības apmēru atbilstoši</w:t>
      </w:r>
      <w:r w:rsidRPr="00ED7317" w:rsidR="00E325AD">
        <w:t xml:space="preserve"> nosacījumiem, kas noteikti šajā</w:t>
      </w:r>
      <w:r w:rsidRPr="00ED7317" w:rsidR="00D87065">
        <w:t xml:space="preserve"> metodi</w:t>
      </w:r>
      <w:r w:rsidRPr="00ED7317" w:rsidR="007F397B">
        <w:t>k</w:t>
      </w:r>
      <w:r w:rsidRPr="00ED7317" w:rsidR="00D87065">
        <w:t>ā un noslēgt</w:t>
      </w:r>
      <w:r w:rsidRPr="00ED7317" w:rsidR="009674F5">
        <w:t>aj</w:t>
      </w:r>
      <w:r w:rsidRPr="00ED7317" w:rsidR="00D87065">
        <w:t>ā līgumā/vienošanās ar CFLA</w:t>
      </w:r>
      <w:r w:rsidR="007F397B">
        <w:t>.</w:t>
      </w:r>
    </w:p>
    <w:p w:rsidR="00FD6E1D" w:rsidP="00C70BFB" w14:paraId="2B4C87E6" w14:textId="59E5C666">
      <w:pPr>
        <w:spacing w:before="120" w:after="120"/>
        <w:ind w:firstLine="851"/>
        <w:jc w:val="both"/>
      </w:pPr>
      <w:r w:rsidRPr="00D52EF3">
        <w:t xml:space="preserve">Projekta dzīves cikls ir </w:t>
      </w:r>
      <w:r w:rsidRPr="0069187B" w:rsidR="00D52EF3">
        <w:t>10 – 15 gadi</w:t>
      </w:r>
      <w:r w:rsidRPr="0069187B" w:rsidR="00956A5F">
        <w:t>.</w:t>
      </w:r>
      <w:r>
        <w:rPr>
          <w:rStyle w:val="FootnoteReference"/>
        </w:rPr>
        <w:footnoteReference w:id="4"/>
      </w:r>
      <w:r w:rsidR="00956A5F">
        <w:t xml:space="preserve"> </w:t>
      </w:r>
      <w:r w:rsidRPr="00ED7317" w:rsidR="00DB5825">
        <w:t>VTMEC</w:t>
      </w:r>
      <w:r w:rsidR="00956A5F">
        <w:t xml:space="preserve"> izvēlas un pamato dzīves cikla perioda garumu</w:t>
      </w:r>
      <w:r w:rsidRPr="00D52EF3" w:rsidR="00D52EF3">
        <w:t>.</w:t>
      </w:r>
    </w:p>
    <w:p w:rsidR="00D0731A" w:rsidRPr="00ED7317" w:rsidP="00C70BFB" w14:paraId="3CF7C777" w14:textId="7D42F008">
      <w:pPr>
        <w:spacing w:after="120"/>
        <w:ind w:firstLine="851"/>
        <w:jc w:val="both"/>
      </w:pPr>
      <w:r w:rsidRPr="00ED7317">
        <w:t xml:space="preserve">Metodika ietver aprakstu papildinošās saimnieciskās darbības aprēķinam </w:t>
      </w:r>
      <w:r w:rsidRPr="00ED7317" w:rsidR="00DB5825">
        <w:t>VTMEC</w:t>
      </w:r>
      <w:r w:rsidRPr="00ED7317">
        <w:t xml:space="preserve"> īpašumā</w:t>
      </w:r>
      <w:r w:rsidRPr="00ED7317" w:rsidR="008C0D63">
        <w:t>, lietošanā</w:t>
      </w:r>
      <w:r w:rsidRPr="00ED7317">
        <w:t xml:space="preserve"> vai valdījumā esošajā infrastruktūrā pēc trīs metodēm: platības, laika </w:t>
      </w:r>
      <w:r w:rsidRPr="00ED7317" w:rsidR="00A32795">
        <w:t>vai</w:t>
      </w:r>
      <w:r w:rsidRPr="00ED7317">
        <w:t xml:space="preserve"> finanšu izteiksmē. </w:t>
      </w:r>
      <w:r w:rsidRPr="00ED7317" w:rsidR="00DB5825">
        <w:t>VTMEC</w:t>
      </w:r>
      <w:r w:rsidRPr="00ED7317">
        <w:t>, iesniedzot projekta iesniegumu, izvēlas savai darbībai atbilstošo aprēķina metodi, kuru nevar mainīt visa projekta dzīves cikla laikā.</w:t>
      </w:r>
    </w:p>
    <w:p w:rsidR="00030134" w:rsidP="00C70BFB" w14:paraId="09FA28EC" w14:textId="613EE742">
      <w:pPr>
        <w:spacing w:after="120"/>
        <w:ind w:firstLine="851"/>
        <w:jc w:val="both"/>
      </w:pPr>
      <w:r>
        <w:t xml:space="preserve">Tā kā </w:t>
      </w:r>
      <w:r w:rsidRPr="00ED7317" w:rsidR="00DB5825">
        <w:t>VTMEC</w:t>
      </w:r>
      <w:r w:rsidR="00F9136F">
        <w:t xml:space="preserve"> </w:t>
      </w:r>
      <w:r w:rsidR="005A18C9">
        <w:t xml:space="preserve">iesniedz </w:t>
      </w:r>
      <w:r>
        <w:t xml:space="preserve">projekta </w:t>
      </w:r>
      <w:r w:rsidR="005A18C9">
        <w:t>iesniegumu</w:t>
      </w:r>
      <w:r w:rsidR="006A7472">
        <w:t xml:space="preserve"> par </w:t>
      </w:r>
      <w:r>
        <w:t xml:space="preserve">divām </w:t>
      </w:r>
      <w:r w:rsidR="00E274DB">
        <w:t>funkcionāli saistītām</w:t>
      </w:r>
      <w:r w:rsidR="005A18C9">
        <w:t xml:space="preserve"> ēkām, tad papildinošā saimnieciskā darbība ir jārēķina kopā par </w:t>
      </w:r>
      <w:r>
        <w:t xml:space="preserve">abām </w:t>
      </w:r>
      <w:r w:rsidR="00D5440E">
        <w:t xml:space="preserve">funkcionāli saistītajām </w:t>
      </w:r>
      <w:r w:rsidR="005A18C9">
        <w:t>ēkām</w:t>
      </w:r>
      <w:r>
        <w:t>.</w:t>
      </w:r>
    </w:p>
    <w:p w:rsidR="005A18C9" w:rsidP="00C70BFB" w14:paraId="68F51DAD" w14:textId="2963559D">
      <w:pPr>
        <w:spacing w:after="120"/>
        <w:ind w:firstLine="851"/>
        <w:jc w:val="both"/>
      </w:pPr>
      <w:r>
        <w:t>Lai noteiktu, vai VTMEC</w:t>
      </w:r>
      <w:r w:rsidRPr="0050523B">
        <w:t xml:space="preserve"> atbilst SAM 4</w:t>
      </w:r>
      <w:r>
        <w:t>.</w:t>
      </w:r>
      <w:r w:rsidRPr="0050523B">
        <w:t>1</w:t>
      </w:r>
      <w:r>
        <w:t>.</w:t>
      </w:r>
      <w:r w:rsidRPr="0050523B">
        <w:t>1</w:t>
      </w:r>
      <w:r w:rsidR="00AF025C">
        <w:t>.</w:t>
      </w:r>
      <w:r>
        <w:t xml:space="preserve"> </w:t>
      </w:r>
      <w:r w:rsidRPr="0050523B">
        <w:t>nosacījumiem</w:t>
      </w:r>
      <w:r>
        <w:t xml:space="preserve">, </w:t>
      </w:r>
      <w:r w:rsidRPr="00ED7317" w:rsidR="00DB5825">
        <w:t>VTMEC</w:t>
      </w:r>
      <w:r w:rsidRPr="00ED7317" w:rsidR="0028007C">
        <w:t>, iesniedzot projekta iesniegumu,</w:t>
      </w:r>
      <w:r w:rsidRPr="00ED7317" w:rsidR="005B5D33">
        <w:t xml:space="preserve"> </w:t>
      </w:r>
      <w:r w:rsidRPr="00ED7317">
        <w:t xml:space="preserve">veic </w:t>
      </w:r>
      <w:r w:rsidR="00214E15">
        <w:t xml:space="preserve">papildinošās saimnieciskās darbības </w:t>
      </w:r>
      <w:r w:rsidRPr="00ED7317" w:rsidR="005B5D33">
        <w:t>aprēķinus par pēdējo pilno kalendāro gadu</w:t>
      </w:r>
      <w:r w:rsidR="00B90FC1">
        <w:t xml:space="preserve">. </w:t>
      </w:r>
      <w:r w:rsidRPr="00ED7317" w:rsidR="00A80877">
        <w:t xml:space="preserve"> </w:t>
      </w:r>
    </w:p>
    <w:p w:rsidR="00916F55" w:rsidP="00C70BFB" w14:paraId="33186671" w14:textId="7633EA05">
      <w:pPr>
        <w:spacing w:after="120"/>
        <w:ind w:firstLine="851"/>
        <w:jc w:val="both"/>
      </w:pPr>
      <w:r w:rsidRPr="002B2A77">
        <w:t>Gadījumā, ja uz projekta iesnieguma iesniegšanas brīdi aprēķina r</w:t>
      </w:r>
      <w:r>
        <w:t xml:space="preserve">ezultātā tiek konstatēts, ka </w:t>
      </w:r>
      <w:r w:rsidRPr="002B2A77" w:rsidR="00DB5825">
        <w:t>papildinošā saimnieciskā darbība</w:t>
      </w:r>
      <w:r>
        <w:t xml:space="preserve"> pārsniedz 20% apmēru, tad</w:t>
      </w:r>
      <w:r w:rsidRPr="002B2A77">
        <w:t xml:space="preserve"> visa ēku daļa</w:t>
      </w:r>
      <w:r w:rsidR="005A18C9">
        <w:t>, kas sākotnēji uzskatīta kā papildinošai saimnieciskai darbībai izmantojama</w:t>
      </w:r>
      <w:r w:rsidRPr="002B2A77">
        <w:t xml:space="preserve"> (</w:t>
      </w:r>
      <w:r w:rsidR="005A18C9">
        <w:t>arī daļa, kas nepārsniedz 20% slieksni</w:t>
      </w:r>
      <w:r w:rsidRPr="002B2A77">
        <w:t>)</w:t>
      </w:r>
      <w:r w:rsidR="00CF21CA">
        <w:t>,</w:t>
      </w:r>
      <w:r w:rsidRPr="002B2A77">
        <w:t xml:space="preserve"> tiek </w:t>
      </w:r>
      <w:r w:rsidR="00CF21CA">
        <w:t>uzskatīta, kā ēku daļa, kas izmantota</w:t>
      </w:r>
      <w:r w:rsidRPr="002B2A77">
        <w:t xml:space="preserve"> saimniecisk</w:t>
      </w:r>
      <w:r w:rsidR="00CF21CA">
        <w:t>ajai</w:t>
      </w:r>
      <w:r w:rsidRPr="002B2A77">
        <w:t xml:space="preserve"> darbīb</w:t>
      </w:r>
      <w:r w:rsidR="00CF21CA">
        <w:t>ai</w:t>
      </w:r>
      <w:r w:rsidRPr="002B2A77">
        <w:t>.</w:t>
      </w:r>
      <w:r w:rsidR="00CF21CA">
        <w:t xml:space="preserve"> </w:t>
      </w:r>
    </w:p>
    <w:p w:rsidR="00916F55" w:rsidP="00C70BFB" w14:paraId="54C2CF67" w14:textId="09BA4A99">
      <w:pPr>
        <w:spacing w:after="120"/>
        <w:ind w:firstLine="851"/>
        <w:jc w:val="both"/>
      </w:pPr>
      <w:r>
        <w:t>J</w:t>
      </w:r>
      <w:r w:rsidRPr="00916F55">
        <w:t>a</w:t>
      </w:r>
      <w:r>
        <w:t>,</w:t>
      </w:r>
      <w:r w:rsidRPr="00916F55">
        <w:t xml:space="preserve"> vērtējot projektu, tiks secināts, ka</w:t>
      </w:r>
      <w:r>
        <w:t xml:space="preserve"> VTMEC telpās tiek veikta saimnieciskā darbība vai papildinošā saimnieciskā darbība pārsniedz 20%, </w:t>
      </w:r>
      <w:r w:rsidRPr="00916F55">
        <w:t>4.1.1.1.pasākum</w:t>
      </w:r>
      <w:r>
        <w:t xml:space="preserve">a </w:t>
      </w:r>
      <w:r w:rsidRPr="00916F55">
        <w:t>atbalstu VTMEC nesaņems</w:t>
      </w:r>
      <w:r w:rsidR="00A573A3">
        <w:t xml:space="preserve"> līdz brīdim, kamēr</w:t>
      </w:r>
      <w:r w:rsidR="00AF025C">
        <w:t xml:space="preserve"> </w:t>
      </w:r>
      <w:r w:rsidR="00AF025C">
        <w:t>saimnieciskā darbība</w:t>
      </w:r>
      <w:r w:rsidR="00AF025C">
        <w:t xml:space="preserve"> netiks pārtraukta un</w:t>
      </w:r>
      <w:r w:rsidR="00A573A3">
        <w:t xml:space="preserve"> </w:t>
      </w:r>
      <w:r w:rsidR="00A573A3">
        <w:t>papildinošā</w:t>
      </w:r>
      <w:r w:rsidR="00AF025C">
        <w:t>s</w:t>
      </w:r>
      <w:r w:rsidR="00A573A3">
        <w:t xml:space="preserve"> saimnieciskā</w:t>
      </w:r>
      <w:r w:rsidR="00AF025C">
        <w:t>s</w:t>
      </w:r>
      <w:r w:rsidR="00A573A3">
        <w:t xml:space="preserve"> darbība</w:t>
      </w:r>
      <w:r w:rsidR="00A573A3">
        <w:t xml:space="preserve">s apmērs netiks </w:t>
      </w:r>
      <w:r w:rsidR="00AF025C">
        <w:t>samazināts</w:t>
      </w:r>
      <w:r w:rsidR="00A573A3">
        <w:t xml:space="preserve"> </w:t>
      </w:r>
      <w:r w:rsidR="00AF025C">
        <w:t>zem 20%</w:t>
      </w:r>
      <w:r>
        <w:t>.</w:t>
      </w:r>
    </w:p>
    <w:p w:rsidR="00E90979" w:rsidP="00C70BFB" w14:paraId="0C0C1ADE" w14:textId="6071D7B9">
      <w:pPr>
        <w:spacing w:after="120"/>
        <w:ind w:firstLine="851"/>
        <w:jc w:val="both"/>
      </w:pPr>
      <w:r>
        <w:t xml:space="preserve">Tāpat </w:t>
      </w:r>
      <w:r w:rsidRPr="00ED7317" w:rsidR="00DB5825">
        <w:t>VTMEC</w:t>
      </w:r>
      <w:r>
        <w:t xml:space="preserve"> </w:t>
      </w:r>
      <w:r w:rsidR="00AE7789">
        <w:t xml:space="preserve">visā </w:t>
      </w:r>
      <w:r w:rsidR="00971C90">
        <w:t>projekta dzīves cikla periodā</w:t>
      </w:r>
      <w:r>
        <w:t xml:space="preserve"> nevar pārsniegt 20% papildinošās saimnieciskās darbības slieksni. Ja tas tiek pārsniegts, </w:t>
      </w:r>
      <w:r w:rsidR="0013104D">
        <w:t xml:space="preserve">tad </w:t>
      </w:r>
      <w:r w:rsidR="00CF21CA">
        <w:t xml:space="preserve">viss </w:t>
      </w:r>
      <w:r w:rsidRPr="0013104D" w:rsidR="0013104D">
        <w:t xml:space="preserve">atbalsts ir kvalificējams kā komercdarbības atbalsts, </w:t>
      </w:r>
      <w:r w:rsidR="0013104D">
        <w:t xml:space="preserve">un </w:t>
      </w:r>
      <w:r w:rsidR="00E23B2A">
        <w:t>f</w:t>
      </w:r>
      <w:r w:rsidR="0013104D">
        <w:t>inansējuma saņēmēj</w:t>
      </w:r>
      <w:r w:rsidRPr="0013104D" w:rsidR="0013104D">
        <w:t>am ir pienākums</w:t>
      </w:r>
      <w:r w:rsidR="00E23B2A">
        <w:t xml:space="preserve"> </w:t>
      </w:r>
      <w:r w:rsidRPr="0013104D" w:rsidR="0013104D">
        <w:t xml:space="preserve">atmaksāt </w:t>
      </w:r>
      <w:r w:rsidR="00CB1969">
        <w:t>CFLA</w:t>
      </w:r>
      <w:r w:rsidRPr="0013104D" w:rsidR="0013104D">
        <w:t xml:space="preserve"> </w:t>
      </w:r>
      <w:r w:rsidR="006723A6">
        <w:t xml:space="preserve">daļu </w:t>
      </w:r>
      <w:r w:rsidR="00E23B2A">
        <w:t xml:space="preserve"> no</w:t>
      </w:r>
      <w:r w:rsidRPr="0013104D" w:rsidR="0013104D">
        <w:t xml:space="preserve"> saņemt</w:t>
      </w:r>
      <w:r w:rsidR="00E23B2A">
        <w:t>ā</w:t>
      </w:r>
      <w:r w:rsidRPr="0013104D" w:rsidR="0013104D">
        <w:t xml:space="preserve"> publisk</w:t>
      </w:r>
      <w:r w:rsidR="00E23B2A">
        <w:t>ā</w:t>
      </w:r>
      <w:r w:rsidRPr="0013104D" w:rsidR="0013104D">
        <w:t xml:space="preserve"> </w:t>
      </w:r>
      <w:r w:rsidRPr="00FF61A6" w:rsidR="0013104D">
        <w:t>finansējum</w:t>
      </w:r>
      <w:r w:rsidRPr="00FF61A6" w:rsidR="00E23B2A">
        <w:t>a</w:t>
      </w:r>
      <w:r w:rsidRPr="00FF61A6" w:rsidR="00A60868">
        <w:t xml:space="preserve"> (skatīt </w:t>
      </w:r>
      <w:r w:rsidR="00A573A3">
        <w:t xml:space="preserve">šīs metodikas </w:t>
      </w:r>
      <w:r w:rsidRPr="00FF61A6" w:rsidR="00A60868">
        <w:t>4.3.punktu)</w:t>
      </w:r>
      <w:r w:rsidRPr="00FF61A6" w:rsidR="0013104D">
        <w:t>.</w:t>
      </w:r>
    </w:p>
    <w:p w:rsidR="005C7B48" w:rsidP="009E7A8E" w14:paraId="476F79DC" w14:textId="77777777">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platības izteiksmē</w:t>
      </w:r>
      <w:r w:rsidRPr="005C7B48">
        <w:rPr>
          <w:b/>
        </w:rPr>
        <w:t xml:space="preserve"> aprēķina metodika</w:t>
      </w:r>
    </w:p>
    <w:p w:rsidR="009E5643" w:rsidP="009E5643" w14:paraId="5C301319" w14:textId="449E378C">
      <w:pPr>
        <w:spacing w:before="120"/>
        <w:jc w:val="both"/>
      </w:pPr>
      <w:r>
        <w:t>Aprēķina formula:</w:t>
      </w:r>
    </w:p>
    <w:p w:rsidR="009E5643" w:rsidP="009E5643" w14:paraId="3B5998DF" w14:textId="1418D020">
      <w:pPr>
        <w:spacing w:before="120" w:after="240"/>
        <w:jc w:val="both"/>
      </w:pPr>
      <m:oMath>
        <m:r>
          <w:rPr>
            <w:rFonts w:ascii="Cambria Math" w:hAnsi="Cambria Math"/>
          </w:rPr>
          <m:t>PSD=</m:t>
        </m:r>
        <m:f>
          <m:fPr>
            <m:ctrlPr>
              <w:rPr>
                <w:rFonts w:ascii="Cambria Math" w:hAnsi="Cambria Math"/>
                <w:i/>
              </w:rPr>
            </m:ctrlPr>
          </m:fPr>
          <m:num>
            <m:nary>
              <m:naryPr>
                <m:chr m:val="∑"/>
                <m:limLoc m:val="undOvr"/>
                <m:subHide/>
                <m:supHide/>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P2</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den>
        </m:f>
        <m:r>
          <w:rPr>
            <w:rFonts w:ascii="Cambria Math" w:hAnsi="Cambria Math"/>
          </w:rPr>
          <m:t>×100%, kur</m:t>
        </m:r>
      </m:oMath>
      <w:r w:rsidR="001700A7">
        <w:t xml:space="preserve"> </w:t>
      </w:r>
    </w:p>
    <w:p w:rsidR="009E5643" w:rsidP="009E5643" w14:paraId="774A8756" w14:textId="77777777">
      <w:pPr>
        <w:spacing w:after="60"/>
        <w:ind w:left="567"/>
        <w:jc w:val="both"/>
      </w:pPr>
      <w:r>
        <w:t>PSD – papildinošā saimnieciskā darbība, %;</w:t>
      </w:r>
    </w:p>
    <w:p w:rsidR="006F5357" w:rsidP="009E5643" w14:paraId="5DE652D5" w14:textId="2A571788">
      <w:pPr>
        <w:spacing w:after="60"/>
        <w:ind w:left="567"/>
        <w:jc w:val="both"/>
      </w:pPr>
      <w:bookmarkStart w:id="1" w:name="_Hlk146288799"/>
      <w:bookmarkStart w:id="2" w:name="_Hlk146284851"/>
      <w:r>
        <w:rPr>
          <w:rFonts w:ascii="Calibri" w:hAnsi="Calibri" w:cs="Calibri"/>
        </w:rPr>
        <w:t>∑</w:t>
      </w:r>
      <w:r>
        <w:t>- summa</w:t>
      </w:r>
      <w:bookmarkEnd w:id="1"/>
      <w:r>
        <w:t>;</w:t>
      </w:r>
    </w:p>
    <w:p w:rsidR="006F5357" w:rsidP="009E5643" w14:paraId="55339C76" w14:textId="77743838">
      <w:pPr>
        <w:spacing w:after="60"/>
        <w:ind w:left="567"/>
        <w:jc w:val="both"/>
      </w:pPr>
      <w:r>
        <w:t>P</w:t>
      </w:r>
      <w:r w:rsidR="0060056A">
        <w:t>1</w:t>
      </w:r>
      <w:r w:rsidRPr="0002277E" w:rsidR="0002277E">
        <w:rPr>
          <w:vertAlign w:val="subscript"/>
        </w:rPr>
        <w:t>psd</w:t>
      </w:r>
      <w:bookmarkEnd w:id="2"/>
      <w:r>
        <w:t xml:space="preserve">– </w:t>
      </w:r>
      <w:r w:rsidRPr="006B63A7">
        <w:t xml:space="preserve"> projekta iesniedzēja īpašumā, lietošanā vai valdījumā </w:t>
      </w:r>
      <w:r w:rsidRPr="006B63A7">
        <w:t>esoš</w:t>
      </w:r>
      <w:r>
        <w:t>ās ēkas Nr.1</w:t>
      </w:r>
      <w:r w:rsidR="009734D7">
        <w:t xml:space="preserve"> </w:t>
      </w:r>
      <w:r w:rsidRPr="00296D96" w:rsidR="001E6547">
        <w:rPr>
          <w:u w:val="single"/>
        </w:rPr>
        <w:t>platība</w:t>
      </w:r>
      <w:r w:rsidRPr="006B63A7">
        <w:t xml:space="preserve">, kas tiek izmantota </w:t>
      </w:r>
      <w:r>
        <w:t>PSD</w:t>
      </w:r>
      <w:r w:rsidRPr="007360A3">
        <w:t xml:space="preserve"> nodrošināšanai</w:t>
      </w:r>
      <w:r w:rsidRPr="006B63A7">
        <w:t xml:space="preserve">, </w:t>
      </w:r>
      <w:r>
        <w:t>m</w:t>
      </w:r>
      <w:r w:rsidRPr="008E2156">
        <w:rPr>
          <w:vertAlign w:val="superscript"/>
        </w:rPr>
        <w:t>2</w:t>
      </w:r>
      <w:r>
        <w:t>;</w:t>
      </w:r>
      <w:r w:rsidRPr="006F5357">
        <w:t xml:space="preserve"> </w:t>
      </w:r>
    </w:p>
    <w:p w:rsidR="009E5643" w:rsidP="009E5643" w14:paraId="0136F6C4" w14:textId="74DC3B5E">
      <w:pPr>
        <w:spacing w:after="60"/>
        <w:ind w:left="567"/>
        <w:jc w:val="both"/>
      </w:pPr>
      <w:r w:rsidRPr="003248DA">
        <w:t>P2</w:t>
      </w:r>
      <w:r w:rsidRPr="009734D7">
        <w:rPr>
          <w:vertAlign w:val="subscript"/>
        </w:rPr>
        <w:t>psd</w:t>
      </w:r>
      <w:r>
        <w:t xml:space="preserve">- </w:t>
      </w:r>
      <w:r w:rsidRPr="006F5357">
        <w:t>projekta iesniedzēja īpašumā, lietošanā vai valdījumā esošās ēkas Nr.</w:t>
      </w:r>
      <w:r>
        <w:t>2</w:t>
      </w:r>
      <w:r w:rsidRPr="006F5357">
        <w:t xml:space="preserve"> platība, kas tiek izmantota PSD nodrošināšanai, m2;</w:t>
      </w:r>
    </w:p>
    <w:p w:rsidR="009E5643" w:rsidP="009E5643" w14:paraId="34A56EE2" w14:textId="7BF5B405">
      <w:pPr>
        <w:spacing w:after="60"/>
        <w:ind w:left="567"/>
        <w:jc w:val="both"/>
      </w:pPr>
      <w:r>
        <w:t>P</w:t>
      </w:r>
      <w:r w:rsidRPr="008E2156">
        <w:rPr>
          <w:vertAlign w:val="subscript"/>
        </w:rPr>
        <w:t>kop</w:t>
      </w:r>
      <w:r>
        <w:t xml:space="preserve"> – projekta iesniedzēja īpašumā, lietošanā vai valdījumā esoš</w:t>
      </w:r>
      <w:r w:rsidR="009734D7">
        <w:t xml:space="preserve">oabu </w:t>
      </w:r>
      <w:r w:rsidR="00550538">
        <w:t>funkcionāli saistīto</w:t>
      </w:r>
      <w:r>
        <w:t xml:space="preserve"> ēku</w:t>
      </w:r>
      <w:r w:rsidR="009A5641">
        <w:t xml:space="preserve"> </w:t>
      </w:r>
      <w:r w:rsidRPr="00296D96">
        <w:rPr>
          <w:u w:val="single"/>
        </w:rPr>
        <w:t>kopējā platība</w:t>
      </w:r>
      <w:r>
        <w:t>, m</w:t>
      </w:r>
      <w:r w:rsidRPr="008E2156">
        <w:rPr>
          <w:vertAlign w:val="superscript"/>
        </w:rPr>
        <w:t>2</w:t>
      </w:r>
      <w:r w:rsidR="000C76B1">
        <w:t>;</w:t>
      </w:r>
    </w:p>
    <w:p w:rsidR="000C76B1" w:rsidP="009E5643" w14:paraId="7122999D" w14:textId="77777777">
      <w:pPr>
        <w:spacing w:after="60"/>
        <w:ind w:left="567"/>
        <w:jc w:val="both"/>
      </w:pPr>
    </w:p>
    <w:p w:rsidR="00FE69D3" w:rsidRPr="00F343AC" w:rsidP="00FE69D3" w14:paraId="1F13B0C6" w14:textId="662EF1B2">
      <w:pPr>
        <w:jc w:val="both"/>
      </w:pPr>
      <w:r w:rsidRPr="00ED7317">
        <w:t>VTMEC</w:t>
      </w:r>
      <w:r>
        <w:t xml:space="preserve"> tabulas veidā</w:t>
      </w:r>
      <w:r w:rsidR="00DE7338">
        <w:t xml:space="preserve"> (</w:t>
      </w:r>
      <w:r w:rsidR="002F686F">
        <w:t>1</w:t>
      </w:r>
      <w:r w:rsidR="00C95E73">
        <w:t>.</w:t>
      </w:r>
      <w:r w:rsidR="0023593D">
        <w:t> </w:t>
      </w:r>
      <w:r w:rsidR="00313A29">
        <w:t>p</w:t>
      </w:r>
      <w:r w:rsidR="00C95E73">
        <w:t>ielikums)</w:t>
      </w:r>
      <w:r>
        <w:t xml:space="preserve"> CFLA sniedz informāciju </w:t>
      </w:r>
      <w:r w:rsidR="00526973">
        <w:t xml:space="preserve">un skaidrojumu </w:t>
      </w:r>
      <w:r>
        <w:t>par savā īpašumā</w:t>
      </w:r>
      <w:r w:rsidR="004E2D74">
        <w:t>, lietošanā vai valdījumā</w:t>
      </w:r>
      <w:r>
        <w:t xml:space="preserve"> </w:t>
      </w:r>
      <w:r w:rsidRPr="00F343AC">
        <w:t xml:space="preserve">esošajām </w:t>
      </w:r>
      <w:r w:rsidRPr="00B138F3" w:rsidR="004E35E8">
        <w:t xml:space="preserve">funkcionāli saistītajām </w:t>
      </w:r>
      <w:r w:rsidRPr="00B138F3">
        <w:t>ēkām,</w:t>
      </w:r>
      <w:r w:rsidRPr="00F343AC">
        <w:t xml:space="preserve"> kuras tas izmanto aprēķinu veikšanai. Datos norāda:</w:t>
      </w:r>
    </w:p>
    <w:p w:rsidR="00A4638E" w:rsidRPr="00F343AC" w:rsidP="00A4638E" w14:paraId="66CA802C" w14:textId="32CF9715">
      <w:pPr>
        <w:pStyle w:val="ListParagraph"/>
        <w:numPr>
          <w:ilvl w:val="0"/>
          <w:numId w:val="2"/>
        </w:numPr>
        <w:jc w:val="both"/>
      </w:pPr>
      <w:r w:rsidRPr="00F343AC">
        <w:t>kalendāro gadu</w:t>
      </w:r>
      <w:r w:rsidRPr="00F343AC" w:rsidR="001C38DD">
        <w:t>,</w:t>
      </w:r>
      <w:r w:rsidRPr="00F343AC">
        <w:t xml:space="preserve"> par kuru aprēķins veikts;</w:t>
      </w:r>
    </w:p>
    <w:p w:rsidR="00FE69D3" w:rsidRPr="00CF66BC" w:rsidP="00FE69D3" w14:paraId="51717159" w14:textId="32BC24DB">
      <w:pPr>
        <w:pStyle w:val="ListParagraph"/>
        <w:numPr>
          <w:ilvl w:val="0"/>
          <w:numId w:val="2"/>
        </w:numPr>
        <w:jc w:val="both"/>
      </w:pPr>
      <w:r w:rsidRPr="00CF66BC">
        <w:t>katras</w:t>
      </w:r>
      <w:r w:rsidRPr="00CF66BC" w:rsidR="00CA7701">
        <w:t xml:space="preserve"> funkcionāli saistītās</w:t>
      </w:r>
      <w:r w:rsidRPr="00CF66BC">
        <w:t xml:space="preserve"> ēkas adresi, platību </w:t>
      </w:r>
      <w:r w:rsidRPr="00CF66BC" w:rsidR="00FA68CD">
        <w:t>(m</w:t>
      </w:r>
      <w:r w:rsidRPr="00CF66BC" w:rsidR="00FA68CD">
        <w:rPr>
          <w:vertAlign w:val="superscript"/>
        </w:rPr>
        <w:t>2</w:t>
      </w:r>
      <w:r w:rsidRPr="00CF66BC" w:rsidR="00FA68CD">
        <w:t xml:space="preserve">) </w:t>
      </w:r>
      <w:r w:rsidRPr="00CF66BC">
        <w:t>un izmantošanas veidu;</w:t>
      </w:r>
    </w:p>
    <w:p w:rsidR="007157FA" w:rsidP="000B3ADC" w14:paraId="27DB2FB5" w14:textId="1936DD95">
      <w:pPr>
        <w:pStyle w:val="ListParagraph"/>
        <w:numPr>
          <w:ilvl w:val="0"/>
          <w:numId w:val="2"/>
        </w:numPr>
        <w:jc w:val="both"/>
      </w:pPr>
      <w:r w:rsidRPr="00CF66BC">
        <w:t>platību</w:t>
      </w:r>
      <w:r w:rsidRPr="00CF66BC" w:rsidR="00FA68CD">
        <w:t xml:space="preserve"> (m</w:t>
      </w:r>
      <w:r w:rsidRPr="00CF66BC" w:rsidR="00FA68CD">
        <w:rPr>
          <w:vertAlign w:val="superscript"/>
        </w:rPr>
        <w:t>2</w:t>
      </w:r>
      <w:r w:rsidRPr="00CF66BC" w:rsidR="00FA68CD">
        <w:t>)</w:t>
      </w:r>
      <w:r w:rsidRPr="00CF66BC">
        <w:t xml:space="preserve">, kurā tiek veikta papildinošā saimnieciskā darbība </w:t>
      </w:r>
      <w:r w:rsidRPr="00CF66BC" w:rsidR="001273F0">
        <w:t>katr</w:t>
      </w:r>
      <w:r w:rsidR="00EE1A99">
        <w:t>ā</w:t>
      </w:r>
      <w:r w:rsidRPr="00CF66BC" w:rsidR="00262C07">
        <w:t xml:space="preserve"> funkc</w:t>
      </w:r>
      <w:r w:rsidRPr="00CF66BC" w:rsidR="00550538">
        <w:t>ionāli</w:t>
      </w:r>
      <w:r w:rsidRPr="00CF66BC" w:rsidR="00262C07">
        <w:t xml:space="preserve"> saist</w:t>
      </w:r>
      <w:r w:rsidRPr="00CF66BC" w:rsidR="00550538">
        <w:t>īta</w:t>
      </w:r>
      <w:r w:rsidR="00EE1A99">
        <w:t>jā</w:t>
      </w:r>
      <w:r w:rsidRPr="00CF66BC" w:rsidR="001273F0">
        <w:t xml:space="preserve"> </w:t>
      </w:r>
      <w:r w:rsidRPr="00CF66BC">
        <w:t>ēk</w:t>
      </w:r>
      <w:r w:rsidR="00EE1A99">
        <w:t>ā</w:t>
      </w:r>
      <w:r w:rsidRPr="00CF66BC" w:rsidR="00D52EF3">
        <w:t>;</w:t>
      </w:r>
    </w:p>
    <w:p w:rsidR="000B3ADC" w:rsidP="000B3ADC" w14:paraId="506614C2" w14:textId="1B256277">
      <w:pPr>
        <w:pStyle w:val="ListParagraph"/>
        <w:numPr>
          <w:ilvl w:val="0"/>
          <w:numId w:val="2"/>
        </w:numPr>
        <w:jc w:val="both"/>
      </w:pPr>
      <w:r>
        <w:t>platību (m</w:t>
      </w:r>
      <w:r w:rsidRPr="007157FA">
        <w:rPr>
          <w:vertAlign w:val="superscript"/>
        </w:rPr>
        <w:t>2</w:t>
      </w:r>
      <w:r>
        <w:t>), kurā tiek veikta saimnieciskā darbība</w:t>
      </w:r>
      <w:r w:rsidR="00550538">
        <w:t xml:space="preserve"> katr</w:t>
      </w:r>
      <w:r w:rsidR="00EE1A99">
        <w:t>ā</w:t>
      </w:r>
      <w:r w:rsidR="00550538">
        <w:t xml:space="preserve"> funkcionāli saistīta</w:t>
      </w:r>
      <w:r w:rsidR="00EE1A99">
        <w:t>jā</w:t>
      </w:r>
      <w:r w:rsidR="00550538">
        <w:t xml:space="preserve"> ēk</w:t>
      </w:r>
      <w:r w:rsidR="00EE1A99">
        <w:t>ā</w:t>
      </w:r>
      <w:r w:rsidR="00916F55">
        <w:t>;</w:t>
      </w:r>
      <w:r>
        <w:t xml:space="preserve"> </w:t>
      </w:r>
    </w:p>
    <w:p w:rsidR="007157FA" w:rsidRPr="007157FA" w:rsidP="000B3ADC" w14:paraId="3EAF2A96" w14:textId="090CA174">
      <w:pPr>
        <w:pStyle w:val="ListParagraph"/>
        <w:numPr>
          <w:ilvl w:val="0"/>
          <w:numId w:val="2"/>
        </w:numPr>
        <w:jc w:val="both"/>
      </w:pPr>
      <w:r>
        <w:t>pamatojumu</w:t>
      </w:r>
      <w:r w:rsidR="00EE1A99">
        <w:t>, kādēļ ēkas ir</w:t>
      </w:r>
      <w:r>
        <w:t xml:space="preserve"> funkcionāli saistīta</w:t>
      </w:r>
      <w:r w:rsidR="00EE1A99">
        <w:t>s</w:t>
      </w:r>
      <w:r>
        <w:t>.</w:t>
      </w:r>
    </w:p>
    <w:p w:rsidR="007157FA" w:rsidP="00221A29" w14:paraId="1890D2D3" w14:textId="77777777">
      <w:pPr>
        <w:jc w:val="both"/>
        <w:rPr>
          <w:i/>
        </w:rPr>
      </w:pPr>
    </w:p>
    <w:p w:rsidR="00B61E09" w:rsidRPr="009E7A8E" w:rsidP="000B3ADC" w14:paraId="7DAEC10E" w14:textId="58054BAC">
      <w:pPr>
        <w:jc w:val="both"/>
      </w:pPr>
    </w:p>
    <w:p w:rsidR="005C7B48" w:rsidP="009E7A8E" w14:paraId="06CDCDB7" w14:textId="77777777">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laika izteiksmē</w:t>
      </w:r>
      <w:r w:rsidRPr="005C7B48">
        <w:rPr>
          <w:b/>
        </w:rPr>
        <w:t xml:space="preserve"> aprēķina metodika</w:t>
      </w:r>
    </w:p>
    <w:p w:rsidR="00FE1663" w:rsidP="002F1166" w14:paraId="1A911D3D" w14:textId="3BDC5F2C">
      <w:pPr>
        <w:spacing w:after="120"/>
        <w:jc w:val="both"/>
      </w:pPr>
      <w:r w:rsidRPr="00ED7317">
        <w:t>VTMEC</w:t>
      </w:r>
      <w:r w:rsidR="00667564">
        <w:t>, izvēloties veikt papildinošās saimnieciskās darbības aprēķinu laika izteiksmē, aprēķiniem izmanto</w:t>
      </w:r>
      <w:r w:rsidR="00322A5D">
        <w:t xml:space="preserve"> </w:t>
      </w:r>
      <w:r w:rsidR="00056D78">
        <w:t>faktisk</w:t>
      </w:r>
      <w:r w:rsidR="00CF21CA">
        <w:t>o</w:t>
      </w:r>
      <w:r w:rsidR="00056D78">
        <w:t xml:space="preserve"> laiku, ko </w:t>
      </w:r>
      <w:r w:rsidRPr="00056D78" w:rsidR="00056D78">
        <w:t>aizņem nesaimnieciskās, un papildinošās saimnieciskās darbības veikšana</w:t>
      </w:r>
      <w:r w:rsidR="00CF21CA">
        <w:t xml:space="preserve"> attiecīgajā</w:t>
      </w:r>
      <w:r w:rsidR="006F5357">
        <w:t>s</w:t>
      </w:r>
      <w:r w:rsidR="00CF21CA">
        <w:t xml:space="preserve"> ēkā</w:t>
      </w:r>
      <w:r w:rsidR="006F5357">
        <w:t>s</w:t>
      </w:r>
      <w:r w:rsidR="00CF21CA">
        <w:t xml:space="preserve"> (0-24 h/diennaktī)</w:t>
      </w:r>
      <w:r w:rsidRPr="00056D78" w:rsidR="00056D78">
        <w:t>.</w:t>
      </w:r>
      <w:r w:rsidR="00336A2F">
        <w:t xml:space="preserve"> </w:t>
      </w:r>
    </w:p>
    <w:p w:rsidR="001E0DBF" w:rsidRPr="00182CAC" w:rsidP="00182CAC" w14:paraId="46D41123" w14:textId="0AD83BA5">
      <w:pPr>
        <w:spacing w:before="120"/>
        <w:jc w:val="both"/>
      </w:pPr>
      <w:r>
        <w:t>Aprēķina formula:</w:t>
      </w:r>
    </w:p>
    <w:p w:rsidR="00C10CB2" w:rsidRPr="00AC0DC4" w:rsidP="00182CAC" w14:paraId="328CBC4B" w14:textId="168AF321">
      <w:pPr>
        <w:spacing w:before="240" w:after="240"/>
        <w:ind w:left="-1134" w:right="-908" w:firstLine="1134"/>
        <w:jc w:val="center"/>
      </w:pPr>
      <w:r w:rsidRPr="00916F55">
        <w:rPr>
          <w:i/>
          <w:iCs/>
          <w:sz w:val="18"/>
        </w:rPr>
        <w:t>PSD</w:t>
      </w:r>
      <w:r>
        <w:rPr>
          <w:sz w:val="18"/>
        </w:rPr>
        <w:t xml:space="preserve">= </w:t>
      </w:r>
      <m:oMath>
        <m:f>
          <m:fPr>
            <m:ctrlPr>
              <w:rPr>
                <w:rFonts w:ascii="Cambria Math" w:hAnsi="Cambria Math"/>
                <w:i/>
              </w:rPr>
            </m:ctrlPr>
          </m:fPr>
          <m:num>
            <m:nary>
              <m:naryPr>
                <m:chr m:val="∑"/>
                <m:limLoc m:val="undOvr"/>
                <m:subHide/>
                <m:supHide/>
                <m:ctrlPr>
                  <w:rPr>
                    <w:rFonts w:ascii="Cambria Math" w:hAnsi="Cambria Math"/>
                    <w:i/>
                  </w:rPr>
                </m:ctrlPr>
              </m:naryPr>
              <m:sub/>
              <m:sup/>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L1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e>
                    </m:d>
                    <m:r>
                      <w:rPr>
                        <w:rFonts w:ascii="Cambria Math" w:hAnsi="Cambria Math"/>
                      </w:rPr>
                      <m:t>×D+</m:t>
                    </m:r>
                    <m:d>
                      <m:dPr>
                        <m:ctrlPr>
                          <w:rPr>
                            <w:rFonts w:ascii="Cambria Math" w:hAnsi="Cambria Math"/>
                            <w:i/>
                          </w:rPr>
                        </m:ctrlPr>
                      </m:dPr>
                      <m:e>
                        <m:sSub>
                          <m:sSubPr>
                            <m:ctrlPr>
                              <w:rPr>
                                <w:rFonts w:ascii="Cambria Math" w:hAnsi="Cambria Math"/>
                                <w:i/>
                              </w:rPr>
                            </m:ctrlPr>
                          </m:sSubPr>
                          <m:e>
                            <m:r>
                              <w:rPr>
                                <w:rFonts w:ascii="Cambria Math" w:hAnsi="Cambria Math"/>
                              </w:rPr>
                              <m:t>L2</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P2</m:t>
                            </m:r>
                          </m:e>
                          <m:sub>
                            <m:r>
                              <w:rPr>
                                <w:rFonts w:ascii="Cambria Math" w:hAnsi="Cambria Math"/>
                              </w:rPr>
                              <m:t>psd</m:t>
                            </m:r>
                          </m:sub>
                        </m:sSub>
                      </m:e>
                    </m:d>
                    <m:r>
                      <w:rPr>
                        <w:rFonts w:ascii="Cambria Math" w:hAnsi="Cambria Math"/>
                      </w:rPr>
                      <m:t>×D</m:t>
                    </m:r>
                  </m:e>
                </m:d>
              </m:e>
            </m:nary>
          </m:num>
          <m:den>
            <m:r>
              <w:rPr>
                <w:rFonts w:ascii="Cambria Math" w:hAnsi="Cambria Math"/>
              </w:rPr>
              <m:t>∑</m:t>
            </m:r>
            <m:d>
              <m:dPr>
                <m:ctrlPr>
                  <w:rPr>
                    <w:rFonts w:ascii="Cambria Math" w:hAnsi="Cambria Math"/>
                    <w:i/>
                  </w:rPr>
                </m:ctrlPr>
              </m:dPr>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L1</m:t>
                            </m:r>
                          </m:e>
                          <m:sub>
                            <m:r>
                              <w:rPr>
                                <w:rFonts w:ascii="Cambria Math" w:hAnsi="Cambria Math"/>
                              </w:rPr>
                              <m:t>kop</m:t>
                            </m:r>
                          </m:sub>
                        </m:sSub>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kop</m:t>
                            </m:r>
                          </m:sub>
                        </m:sSub>
                      </m:e>
                    </m:d>
                    <m:r>
                      <w:rPr>
                        <w:rFonts w:ascii="Cambria Math" w:hAnsi="Cambria Math"/>
                      </w:rPr>
                      <m:t>×D</m:t>
                    </m:r>
                  </m:e>
                </m:d>
                <m:r>
                  <w:rPr>
                    <w:rFonts w:ascii="Cambria Math" w:hAnsi="Cambria Math"/>
                  </w:rPr>
                  <m:t>+</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L2</m:t>
                            </m:r>
                          </m:e>
                          <m:sub>
                            <m:r>
                              <w:rPr>
                                <w:rFonts w:ascii="Cambria Math" w:hAnsi="Cambria Math"/>
                              </w:rPr>
                              <m:t>kop</m:t>
                            </m:r>
                          </m:sub>
                        </m:sSub>
                        <m:r>
                          <w:rPr>
                            <w:rFonts w:ascii="Cambria Math" w:hAnsi="Cambria Math"/>
                          </w:rPr>
                          <m:t>×</m:t>
                        </m:r>
                        <m:sSub>
                          <m:sSubPr>
                            <m:ctrlPr>
                              <w:rPr>
                                <w:rFonts w:ascii="Cambria Math" w:hAnsi="Cambria Math"/>
                                <w:i/>
                              </w:rPr>
                            </m:ctrlPr>
                          </m:sSubPr>
                          <m:e>
                            <m:r>
                              <w:rPr>
                                <w:rFonts w:ascii="Cambria Math" w:hAnsi="Cambria Math"/>
                              </w:rPr>
                              <m:t>P2</m:t>
                            </m:r>
                          </m:e>
                          <m:sub>
                            <m:r>
                              <w:rPr>
                                <w:rFonts w:ascii="Cambria Math" w:hAnsi="Cambria Math"/>
                              </w:rPr>
                              <m:t>kop</m:t>
                            </m:r>
                          </m:sub>
                        </m:sSub>
                      </m:e>
                    </m:d>
                    <m:r>
                      <w:rPr>
                        <w:rFonts w:ascii="Cambria Math" w:hAnsi="Cambria Math"/>
                      </w:rPr>
                      <m:t>×D</m:t>
                    </m:r>
                  </m:e>
                </m:d>
              </m:e>
            </m:d>
          </m:den>
        </m:f>
        <m:r>
          <w:rPr>
            <w:rFonts w:ascii="Cambria Math" w:hAnsi="Cambria Math"/>
          </w:rPr>
          <m:t>×100%,</m:t>
        </m:r>
      </m:oMath>
    </w:p>
    <w:p w:rsidR="00C10CB2" w:rsidP="001E0DBF" w14:paraId="72353B8B" w14:textId="77777777">
      <w:pPr>
        <w:spacing w:before="240" w:after="240"/>
        <w:ind w:left="-1134" w:right="-908"/>
        <w:jc w:val="both"/>
        <w:rPr>
          <w:sz w:val="20"/>
        </w:rPr>
      </w:pPr>
    </w:p>
    <w:p w:rsidR="00667564" w:rsidRPr="007D4CC0" w:rsidP="001E0DBF" w14:paraId="7776B84E" w14:textId="1D992AC2">
      <w:pPr>
        <w:spacing w:before="240" w:after="240"/>
        <w:ind w:left="-1134" w:right="-908"/>
        <w:jc w:val="both"/>
      </w:pPr>
      <m:oMathPara>
        <m:oMathParaPr>
          <m:jc m:val="left"/>
        </m:oMathParaPr>
        <m:oMath>
          <m:r>
            <w:rPr>
              <w:rFonts w:ascii="Cambria Math" w:hAnsi="Cambria Math"/>
              <w:sz w:val="20"/>
            </w:rPr>
            <m:t>kur</m:t>
          </m:r>
        </m:oMath>
      </m:oMathPara>
    </w:p>
    <w:p w:rsidR="00801F84" w:rsidP="00801F84" w14:paraId="7DADE184" w14:textId="77777777">
      <w:pPr>
        <w:spacing w:after="60"/>
        <w:ind w:left="567"/>
        <w:jc w:val="both"/>
      </w:pPr>
      <w:r>
        <w:t>PSD – papildinošā saimnieciskā darbība, %;</w:t>
      </w:r>
    </w:p>
    <w:p w:rsidR="00C10CB2" w:rsidP="00801F84" w14:paraId="6E46FA1F" w14:textId="39BC9D3E">
      <w:pPr>
        <w:spacing w:after="60"/>
        <w:ind w:left="567"/>
        <w:jc w:val="both"/>
      </w:pPr>
      <w:bookmarkStart w:id="3" w:name="_Hlk146289400"/>
      <w:r>
        <w:rPr>
          <w:rFonts w:ascii="Calibri" w:hAnsi="Calibri" w:cs="Calibri"/>
        </w:rPr>
        <w:t>∑</w:t>
      </w:r>
      <w:r>
        <w:t>- summa;</w:t>
      </w:r>
    </w:p>
    <w:bookmarkEnd w:id="3"/>
    <w:p w:rsidR="00801F84" w:rsidP="00801F84" w14:paraId="12B18A8E" w14:textId="7CCD7389">
      <w:pPr>
        <w:spacing w:after="60"/>
        <w:ind w:left="567"/>
        <w:jc w:val="both"/>
      </w:pPr>
      <w:r>
        <w:t>L1</w:t>
      </w:r>
      <w:r w:rsidRPr="009C2A66">
        <w:rPr>
          <w:vertAlign w:val="subscript"/>
        </w:rPr>
        <w:t>psd</w:t>
      </w:r>
      <w:r>
        <w:t xml:space="preserve"> – PSD veikšanas laiks ēkā</w:t>
      </w:r>
      <w:r w:rsidR="00366B63">
        <w:t xml:space="preserve"> Nr.1</w:t>
      </w:r>
      <w:r>
        <w:t xml:space="preserve"> pie attiecīgas platības (P1</w:t>
      </w:r>
      <w:r w:rsidRPr="009C2A66">
        <w:rPr>
          <w:vertAlign w:val="subscript"/>
        </w:rPr>
        <w:t>psd</w:t>
      </w:r>
      <w:r>
        <w:t>), h/</w:t>
      </w:r>
      <w:r w:rsidR="005A02F8">
        <w:t>diennaktī</w:t>
      </w:r>
      <w:r>
        <w:t>;</w:t>
      </w:r>
    </w:p>
    <w:p w:rsidR="00D268C2" w:rsidP="00D268C2" w14:paraId="72611ACC" w14:textId="1A948194">
      <w:pPr>
        <w:spacing w:after="60"/>
        <w:ind w:left="567"/>
        <w:jc w:val="both"/>
      </w:pPr>
      <w:r>
        <w:t>P1</w:t>
      </w:r>
      <w:r w:rsidRPr="009C2A66">
        <w:rPr>
          <w:vertAlign w:val="subscript"/>
        </w:rPr>
        <w:t>psd</w:t>
      </w:r>
      <w:r>
        <w:t xml:space="preserve"> – </w:t>
      </w:r>
      <w:r w:rsidR="00983571">
        <w:t>ēkas Nr.1</w:t>
      </w:r>
      <w:r>
        <w:t xml:space="preserve"> </w:t>
      </w:r>
      <w:r w:rsidR="00EE1A99">
        <w:t>platība</w:t>
      </w:r>
      <w:r>
        <w:t>, kurā attiecīgā laika brīdī (L1</w:t>
      </w:r>
      <w:r w:rsidRPr="009C2A66">
        <w:rPr>
          <w:vertAlign w:val="subscript"/>
        </w:rPr>
        <w:t>psd</w:t>
      </w:r>
      <w:r>
        <w:t>) tiek veikta PSD, m</w:t>
      </w:r>
      <w:r w:rsidRPr="008E2156">
        <w:rPr>
          <w:vertAlign w:val="superscript"/>
        </w:rPr>
        <w:t>2</w:t>
      </w:r>
      <w:r>
        <w:t>;</w:t>
      </w:r>
      <w:r w:rsidRPr="00D268C2">
        <w:t xml:space="preserve"> </w:t>
      </w:r>
    </w:p>
    <w:p w:rsidR="00D268C2" w:rsidP="00D268C2" w14:paraId="441EFFCD" w14:textId="433C10E6">
      <w:pPr>
        <w:spacing w:after="60"/>
        <w:ind w:left="567"/>
        <w:jc w:val="both"/>
      </w:pPr>
      <w:r>
        <w:t>D – dienu skaits kalendārajā gadā.</w:t>
      </w:r>
    </w:p>
    <w:p w:rsidR="00983571" w:rsidP="00983571" w14:paraId="1357924C" w14:textId="42E46B3B">
      <w:pPr>
        <w:spacing w:after="60"/>
        <w:ind w:left="567"/>
        <w:jc w:val="both"/>
      </w:pPr>
      <w:r>
        <w:t>L</w:t>
      </w:r>
      <w:r w:rsidR="00D268C2">
        <w:t>2</w:t>
      </w:r>
      <w:r w:rsidRPr="009C2A66">
        <w:rPr>
          <w:vertAlign w:val="subscript"/>
        </w:rPr>
        <w:t>psd</w:t>
      </w:r>
      <w:r>
        <w:t xml:space="preserve"> – PSD veikšanas laiks ēkā Nr.2 pie attiecīgas platības (P2</w:t>
      </w:r>
      <w:r w:rsidRPr="009C2A66">
        <w:rPr>
          <w:vertAlign w:val="subscript"/>
        </w:rPr>
        <w:t>psd</w:t>
      </w:r>
      <w:r>
        <w:t>), h/diennaktī;</w:t>
      </w:r>
    </w:p>
    <w:p w:rsidR="00983571" w:rsidP="00983571" w14:paraId="21942D3A" w14:textId="0B3E4F43">
      <w:pPr>
        <w:spacing w:after="60"/>
        <w:ind w:left="567"/>
        <w:jc w:val="both"/>
      </w:pPr>
      <w:r>
        <w:t>P2</w:t>
      </w:r>
      <w:r w:rsidRPr="009C2A66">
        <w:rPr>
          <w:vertAlign w:val="subscript"/>
        </w:rPr>
        <w:t>psd</w:t>
      </w:r>
      <w:r>
        <w:t xml:space="preserve"> – ēkas Nr.2 platība, kurā attiecīgā laika brīdī (L2</w:t>
      </w:r>
      <w:r w:rsidRPr="009C2A66">
        <w:rPr>
          <w:vertAlign w:val="subscript"/>
        </w:rPr>
        <w:t>psd</w:t>
      </w:r>
      <w:r>
        <w:t>) tiek veikta PSD, m</w:t>
      </w:r>
      <w:r w:rsidRPr="008E2156">
        <w:rPr>
          <w:vertAlign w:val="superscript"/>
        </w:rPr>
        <w:t>2</w:t>
      </w:r>
      <w:r>
        <w:t>;</w:t>
      </w:r>
    </w:p>
    <w:p w:rsidR="00801F84" w:rsidP="00801F84" w14:paraId="372D4948" w14:textId="434B6D25">
      <w:pPr>
        <w:spacing w:after="60"/>
        <w:ind w:left="567"/>
        <w:jc w:val="both"/>
      </w:pPr>
      <w:r>
        <w:t>L1</w:t>
      </w:r>
      <w:r w:rsidRPr="00667564">
        <w:rPr>
          <w:vertAlign w:val="subscript"/>
        </w:rPr>
        <w:t>kop</w:t>
      </w:r>
      <w:r>
        <w:t xml:space="preserve"> – projekta iesniedzēja īpašumā vai valdījumā esošās</w:t>
      </w:r>
      <w:r w:rsidR="007E3B6E">
        <w:t xml:space="preserve"> </w:t>
      </w:r>
      <w:r>
        <w:t>ēkas</w:t>
      </w:r>
      <w:r w:rsidR="00983571">
        <w:t xml:space="preserve"> Nr.1</w:t>
      </w:r>
      <w:r>
        <w:t xml:space="preserve"> izmantošanas laiks pie attiecīgas platības (</w:t>
      </w:r>
      <w:r w:rsidRPr="00B92AB3">
        <w:t>P1</w:t>
      </w:r>
      <w:r w:rsidRPr="00B92AB3">
        <w:rPr>
          <w:vertAlign w:val="subscript"/>
        </w:rPr>
        <w:t>kop</w:t>
      </w:r>
      <w:r w:rsidRPr="00B92AB3">
        <w:t>)</w:t>
      </w:r>
      <w:r>
        <w:t xml:space="preserve"> valsts</w:t>
      </w:r>
      <w:r w:rsidRPr="00FD3D80">
        <w:t xml:space="preserve"> pārvaldes</w:t>
      </w:r>
      <w:r>
        <w:t xml:space="preserve"> deleģēto</w:t>
      </w:r>
      <w:r w:rsidRPr="00FD3D80">
        <w:t xml:space="preserve"> uzdevumu</w:t>
      </w:r>
      <w:r w:rsidR="00983571">
        <w:t xml:space="preserve"> un </w:t>
      </w:r>
      <w:r>
        <w:t xml:space="preserve">PSD  </w:t>
      </w:r>
      <w:r w:rsidRPr="00FD3D80">
        <w:t xml:space="preserve">nodrošināšanai, </w:t>
      </w:r>
      <w:r>
        <w:t>h/</w:t>
      </w:r>
      <w:r w:rsidR="005A02F8">
        <w:t>diennaktī</w:t>
      </w:r>
      <w:r>
        <w:t>;</w:t>
      </w:r>
    </w:p>
    <w:p w:rsidR="00801F84" w:rsidP="00801F84" w14:paraId="5F610DDF" w14:textId="0B30A575">
      <w:pPr>
        <w:spacing w:after="60"/>
        <w:ind w:left="567"/>
        <w:jc w:val="both"/>
      </w:pPr>
      <w:r>
        <w:t>P1</w:t>
      </w:r>
      <w:r w:rsidRPr="008E2156">
        <w:rPr>
          <w:vertAlign w:val="subscript"/>
        </w:rPr>
        <w:t>kop</w:t>
      </w:r>
      <w:r>
        <w:t xml:space="preserve"> – projekta iesniedzēja īpašumā vai valdījumā esošās</w:t>
      </w:r>
      <w:r w:rsidRPr="007E3B6E" w:rsidR="007E3B6E">
        <w:t xml:space="preserve"> </w:t>
      </w:r>
      <w:r>
        <w:t>ēkas</w:t>
      </w:r>
      <w:r w:rsidR="00C10CB2">
        <w:t xml:space="preserve"> Nr.1</w:t>
      </w:r>
      <w:r>
        <w:t xml:space="preserve">, </w:t>
      </w:r>
      <w:r w:rsidRPr="00FD3D80">
        <w:t xml:space="preserve">kas </w:t>
      </w:r>
      <w:r w:rsidRPr="00B92AB3">
        <w:t>attiecīgā laika brīdī (L1</w:t>
      </w:r>
      <w:r w:rsidRPr="00B92AB3">
        <w:rPr>
          <w:vertAlign w:val="subscript"/>
        </w:rPr>
        <w:t>kop</w:t>
      </w:r>
      <w:r w:rsidRPr="00B92AB3">
        <w:t>)</w:t>
      </w:r>
      <w:r>
        <w:t xml:space="preserve"> </w:t>
      </w:r>
      <w:r w:rsidRPr="00FD3D80">
        <w:t>tiek izmantota</w:t>
      </w:r>
      <w:r>
        <w:t>s</w:t>
      </w:r>
      <w:r w:rsidRPr="00FD3D80">
        <w:t xml:space="preserve"> </w:t>
      </w:r>
      <w:r>
        <w:t xml:space="preserve">valsts </w:t>
      </w:r>
      <w:r w:rsidRPr="00FD3D80">
        <w:t>pārvaldes</w:t>
      </w:r>
      <w:r>
        <w:t xml:space="preserve"> deleģēto</w:t>
      </w:r>
      <w:r w:rsidRPr="00FD3D80">
        <w:t xml:space="preserve"> uzdevumu</w:t>
      </w:r>
      <w:r w:rsidR="00C10CB2">
        <w:t xml:space="preserve"> un</w:t>
      </w:r>
      <w:r>
        <w:t xml:space="preserve"> PSD </w:t>
      </w:r>
      <w:r w:rsidRPr="00FD3D80">
        <w:t xml:space="preserve">nodrošināšanai, </w:t>
      </w:r>
      <w:r>
        <w:t>kopējā platība (sakrīt ar valsts ēku sarakstā norādīto platību), m</w:t>
      </w:r>
      <w:r w:rsidRPr="008E2156">
        <w:rPr>
          <w:vertAlign w:val="superscript"/>
        </w:rPr>
        <w:t>2</w:t>
      </w:r>
      <w:r>
        <w:t>;</w:t>
      </w:r>
    </w:p>
    <w:p w:rsidR="00C10CB2" w:rsidP="00C10CB2" w14:paraId="5A8091E0" w14:textId="0D98F9E4">
      <w:pPr>
        <w:spacing w:after="60"/>
        <w:ind w:left="567"/>
        <w:jc w:val="both"/>
      </w:pPr>
      <w:r>
        <w:t>L2</w:t>
      </w:r>
      <w:r w:rsidRPr="00667564">
        <w:rPr>
          <w:vertAlign w:val="subscript"/>
        </w:rPr>
        <w:t>kop</w:t>
      </w:r>
      <w:r>
        <w:t xml:space="preserve"> – projekta iesniedzēja īpašumā vai valdījumā esošās ēkas Nr.2 izmantošanas laiks pie attiecīgas platības (</w:t>
      </w:r>
      <w:r w:rsidRPr="00B92AB3">
        <w:t>P</w:t>
      </w:r>
      <w:r>
        <w:t>2</w:t>
      </w:r>
      <w:r w:rsidRPr="00B92AB3">
        <w:rPr>
          <w:vertAlign w:val="subscript"/>
        </w:rPr>
        <w:t>kop</w:t>
      </w:r>
      <w:r w:rsidRPr="00B92AB3">
        <w:t>)</w:t>
      </w:r>
      <w:r>
        <w:t xml:space="preserve"> valsts</w:t>
      </w:r>
      <w:r w:rsidRPr="00FD3D80">
        <w:t xml:space="preserve"> pārvaldes</w:t>
      </w:r>
      <w:r>
        <w:t xml:space="preserve"> deleģēto</w:t>
      </w:r>
      <w:r w:rsidRPr="00FD3D80">
        <w:t xml:space="preserve"> uzdevumu</w:t>
      </w:r>
      <w:r>
        <w:t xml:space="preserve"> un PSD  </w:t>
      </w:r>
      <w:r w:rsidRPr="00FD3D80">
        <w:t xml:space="preserve">nodrošināšanai, </w:t>
      </w:r>
      <w:r>
        <w:t>h/diennaktī;</w:t>
      </w:r>
    </w:p>
    <w:p w:rsidR="00C10CB2" w:rsidP="00C10CB2" w14:paraId="11691F8F" w14:textId="03B69012">
      <w:pPr>
        <w:spacing w:after="60"/>
        <w:ind w:left="567"/>
        <w:jc w:val="both"/>
      </w:pPr>
      <w:r>
        <w:t>P2</w:t>
      </w:r>
      <w:r w:rsidRPr="008E2156">
        <w:rPr>
          <w:vertAlign w:val="subscript"/>
        </w:rPr>
        <w:t>kop</w:t>
      </w:r>
      <w:r>
        <w:t xml:space="preserve"> – projekta iesniedzēja īpašumā vai valdījumā esošās</w:t>
      </w:r>
      <w:r w:rsidRPr="007E3B6E">
        <w:t xml:space="preserve"> </w:t>
      </w:r>
      <w:r>
        <w:t xml:space="preserve">ēkas Nr.2, </w:t>
      </w:r>
      <w:r w:rsidRPr="00FD3D80">
        <w:t xml:space="preserve">kas </w:t>
      </w:r>
      <w:r w:rsidRPr="00B92AB3">
        <w:t>attiecīgā laika brīdī (L</w:t>
      </w:r>
      <w:r>
        <w:t>2</w:t>
      </w:r>
      <w:r w:rsidRPr="00B92AB3">
        <w:rPr>
          <w:vertAlign w:val="subscript"/>
        </w:rPr>
        <w:t>kop</w:t>
      </w:r>
      <w:r w:rsidRPr="00B92AB3">
        <w:t>)</w:t>
      </w:r>
      <w:r>
        <w:t xml:space="preserve"> </w:t>
      </w:r>
      <w:r w:rsidRPr="00FD3D80">
        <w:t>tiek izmantota</w:t>
      </w:r>
      <w:r>
        <w:t>s</w:t>
      </w:r>
      <w:r w:rsidRPr="00FD3D80">
        <w:t xml:space="preserve"> </w:t>
      </w:r>
      <w:r>
        <w:t xml:space="preserve">valsts </w:t>
      </w:r>
      <w:r w:rsidRPr="00FD3D80">
        <w:t>pārvaldes</w:t>
      </w:r>
      <w:r>
        <w:t xml:space="preserve"> deleģēto</w:t>
      </w:r>
      <w:r w:rsidRPr="00FD3D80">
        <w:t xml:space="preserve"> uzdevumu</w:t>
      </w:r>
      <w:r>
        <w:t xml:space="preserve"> un PSD </w:t>
      </w:r>
      <w:r w:rsidRPr="00FD3D80">
        <w:t xml:space="preserve">nodrošināšanai, </w:t>
      </w:r>
      <w:r>
        <w:t>kopējā platība (sakrīt ar valsts ēku sarakstā norādīto platību), m</w:t>
      </w:r>
      <w:r w:rsidRPr="008E2156">
        <w:rPr>
          <w:vertAlign w:val="superscript"/>
        </w:rPr>
        <w:t>2</w:t>
      </w:r>
      <w:r>
        <w:t>.</w:t>
      </w:r>
    </w:p>
    <w:p w:rsidR="00C10CB2" w:rsidP="00801F84" w14:paraId="196C5F0E" w14:textId="77777777">
      <w:pPr>
        <w:spacing w:after="60"/>
        <w:ind w:left="567"/>
        <w:jc w:val="both"/>
      </w:pPr>
    </w:p>
    <w:p w:rsidR="00FE69D3" w:rsidP="00FE69D3" w14:paraId="1AA43A94" w14:textId="77777777">
      <w:pPr>
        <w:jc w:val="both"/>
        <w:rPr>
          <w:sz w:val="18"/>
        </w:rPr>
      </w:pPr>
    </w:p>
    <w:p w:rsidR="008628B4" w:rsidP="008628B4" w14:paraId="7F1696D0" w14:textId="0D695104">
      <w:pPr>
        <w:jc w:val="both"/>
      </w:pPr>
      <w:r w:rsidRPr="00ED7317">
        <w:t>VTMEC</w:t>
      </w:r>
      <w:r>
        <w:t xml:space="preserve"> tabulas veidā</w:t>
      </w:r>
      <w:r w:rsidR="00DE7338">
        <w:t xml:space="preserve"> (</w:t>
      </w:r>
      <w:r w:rsidR="002F686F">
        <w:t>2</w:t>
      </w:r>
      <w:r w:rsidR="00313A29">
        <w:t>.</w:t>
      </w:r>
      <w:r w:rsidR="005F6DDE">
        <w:t> </w:t>
      </w:r>
      <w:r w:rsidR="00313A29">
        <w:t>pielikums)</w:t>
      </w:r>
      <w:r>
        <w:t xml:space="preserve"> CFLA sniedz informāciju par savā īpašumā</w:t>
      </w:r>
      <w:r w:rsidR="00044087">
        <w:t>, lietošanā vai valdījumā</w:t>
      </w:r>
      <w:r>
        <w:t xml:space="preserve"> esošajām</w:t>
      </w:r>
      <w:r w:rsidR="004E35E8">
        <w:t xml:space="preserve"> funkcionāli saistītajām</w:t>
      </w:r>
      <w:r>
        <w:t xml:space="preserve"> ēkām, kuras tas izmanto aprēķinu veikšanai. Datos norāda:</w:t>
      </w:r>
    </w:p>
    <w:p w:rsidR="00A4638E" w:rsidP="00A4638E" w14:paraId="17E1A42C" w14:textId="64B1AD22">
      <w:pPr>
        <w:pStyle w:val="ListParagraph"/>
        <w:numPr>
          <w:ilvl w:val="0"/>
          <w:numId w:val="2"/>
        </w:numPr>
        <w:jc w:val="both"/>
      </w:pPr>
      <w:r>
        <w:t>kalendāro gadu</w:t>
      </w:r>
      <w:r w:rsidR="001C38DD">
        <w:t>,</w:t>
      </w:r>
      <w:r>
        <w:t xml:space="preserve"> par kuru aprēķins veikts;</w:t>
      </w:r>
    </w:p>
    <w:p w:rsidR="008628B4" w:rsidP="008628B4" w14:paraId="20A4A6B2" w14:textId="19B9104D">
      <w:pPr>
        <w:pStyle w:val="ListParagraph"/>
        <w:numPr>
          <w:ilvl w:val="0"/>
          <w:numId w:val="2"/>
        </w:numPr>
        <w:jc w:val="both"/>
      </w:pPr>
      <w:r>
        <w:t>katras</w:t>
      </w:r>
      <w:r w:rsidR="00CA7701">
        <w:t xml:space="preserve"> funkcionāli saistītās</w:t>
      </w:r>
      <w:r>
        <w:t xml:space="preserve"> ēkas adresi, platību</w:t>
      </w:r>
      <w:r w:rsidR="00FA68CD">
        <w:t xml:space="preserve"> (m</w:t>
      </w:r>
      <w:r w:rsidRPr="00FA68CD" w:rsidR="00FA68CD">
        <w:rPr>
          <w:vertAlign w:val="superscript"/>
        </w:rPr>
        <w:t>2</w:t>
      </w:r>
      <w:r w:rsidR="00FA68CD">
        <w:t>)</w:t>
      </w:r>
      <w:r>
        <w:t xml:space="preserve">, izmantošanas laiku </w:t>
      </w:r>
      <w:r w:rsidR="00FA68CD">
        <w:t>(h/</w:t>
      </w:r>
      <w:r w:rsidR="007F166A">
        <w:t>dnn</w:t>
      </w:r>
      <w:r w:rsidR="00FA68CD">
        <w:t>)</w:t>
      </w:r>
      <w:r>
        <w:t xml:space="preserve"> un izmantošanas veidu;</w:t>
      </w:r>
    </w:p>
    <w:p w:rsidR="008628B4" w:rsidP="008628B4" w14:paraId="679BBB53" w14:textId="6BB31670">
      <w:pPr>
        <w:pStyle w:val="ListParagraph"/>
        <w:numPr>
          <w:ilvl w:val="0"/>
          <w:numId w:val="2"/>
        </w:numPr>
        <w:jc w:val="both"/>
      </w:pPr>
      <w:r>
        <w:t>katras</w:t>
      </w:r>
      <w:r w:rsidRPr="00CA7701" w:rsidR="00CA7701">
        <w:t xml:space="preserve"> </w:t>
      </w:r>
      <w:r w:rsidR="00CA7701">
        <w:t>funkcionāli saistītās</w:t>
      </w:r>
      <w:r>
        <w:t xml:space="preserve"> ēkas </w:t>
      </w:r>
      <w:r w:rsidR="00FA68CD">
        <w:t>izmantošanas laiku (h/</w:t>
      </w:r>
      <w:r w:rsidR="007F166A">
        <w:t>dnn</w:t>
      </w:r>
      <w:r w:rsidR="00FA68CD">
        <w:t>) reizinātu ar ēkas platību (</w:t>
      </w:r>
      <w:r>
        <w:t>m</w:t>
      </w:r>
      <w:r w:rsidRPr="008628B4">
        <w:rPr>
          <w:vertAlign w:val="superscript"/>
        </w:rPr>
        <w:t>2</w:t>
      </w:r>
      <w:r w:rsidR="00FA68CD">
        <w:t>);</w:t>
      </w:r>
    </w:p>
    <w:p w:rsidR="00D7500F" w:rsidP="00D7500F" w14:paraId="47F5A637" w14:textId="5070B6EE">
      <w:pPr>
        <w:pStyle w:val="ListParagraph"/>
        <w:numPr>
          <w:ilvl w:val="0"/>
          <w:numId w:val="2"/>
        </w:numPr>
        <w:jc w:val="both"/>
      </w:pPr>
      <w:r>
        <w:t>platību (m</w:t>
      </w:r>
      <w:r w:rsidRPr="00FA68CD">
        <w:rPr>
          <w:vertAlign w:val="superscript"/>
        </w:rPr>
        <w:t>2</w:t>
      </w:r>
      <w:r>
        <w:t>), kurā tiek veikta saimnieciskā darbība attiecīgajā ēkā un</w:t>
      </w:r>
      <w:r w:rsidR="00CF7055">
        <w:t xml:space="preserve"> </w:t>
      </w:r>
      <w:r>
        <w:t>saimnieciskai da</w:t>
      </w:r>
      <w:r w:rsidR="00044087">
        <w:t>rbībai izmantoto laiku (h/</w:t>
      </w:r>
      <w:r w:rsidR="007F166A">
        <w:t>dnn</w:t>
      </w:r>
      <w:r w:rsidR="00044087">
        <w:t>), šo abu vērtību reizinājumu;</w:t>
      </w:r>
    </w:p>
    <w:p w:rsidR="007157FA" w:rsidP="008628B4" w14:paraId="195A7809" w14:textId="0B9AA1F5">
      <w:pPr>
        <w:pStyle w:val="ListParagraph"/>
        <w:numPr>
          <w:ilvl w:val="0"/>
          <w:numId w:val="2"/>
        </w:numPr>
        <w:jc w:val="both"/>
      </w:pPr>
      <w:r>
        <w:t>platību</w:t>
      </w:r>
      <w:r w:rsidR="00FA68CD">
        <w:t xml:space="preserve"> (m</w:t>
      </w:r>
      <w:r w:rsidRPr="00FA68CD" w:rsidR="00FA68CD">
        <w:rPr>
          <w:vertAlign w:val="superscript"/>
        </w:rPr>
        <w:t>2</w:t>
      </w:r>
      <w:r w:rsidR="00FA68CD">
        <w:t>)</w:t>
      </w:r>
      <w:r>
        <w:t xml:space="preserve">, kurā tiek veikta papildinošā saimnieciskā darbība </w:t>
      </w:r>
      <w:r w:rsidR="00F70057">
        <w:t>attiecīgajā</w:t>
      </w:r>
      <w:r>
        <w:t xml:space="preserve"> ēkā</w:t>
      </w:r>
      <w:r w:rsidR="00333FB3">
        <w:t xml:space="preserve"> un papildinošai saimnieciskai darbībai izmantoto </w:t>
      </w:r>
      <w:r w:rsidR="00FA68CD">
        <w:t>laiku (h/</w:t>
      </w:r>
      <w:r w:rsidR="007F166A">
        <w:t>dnn</w:t>
      </w:r>
      <w:r w:rsidR="00FA68CD">
        <w:t>)</w:t>
      </w:r>
      <w:r w:rsidR="00044087">
        <w:t>,</w:t>
      </w:r>
      <w:r w:rsidRPr="00044087" w:rsidR="00044087">
        <w:t xml:space="preserve"> </w:t>
      </w:r>
      <w:r w:rsidR="00044087">
        <w:t>šo abu vērtību reizinājumu</w:t>
      </w:r>
      <w:r>
        <w:t>;</w:t>
      </w:r>
    </w:p>
    <w:p w:rsidR="008628B4" w:rsidP="007157FA" w14:paraId="0FE5A7E6" w14:textId="019F9EE1">
      <w:pPr>
        <w:pStyle w:val="ListParagraph"/>
        <w:numPr>
          <w:ilvl w:val="0"/>
          <w:numId w:val="2"/>
        </w:numPr>
        <w:jc w:val="both"/>
      </w:pPr>
      <w:r>
        <w:t>pamatojumu</w:t>
      </w:r>
      <w:r w:rsidR="00981871">
        <w:t>, kādēļ ēkas ir</w:t>
      </w:r>
      <w:r>
        <w:t xml:space="preserve"> funkcionāli saistīta</w:t>
      </w:r>
      <w:r w:rsidR="00981871">
        <w:t>s</w:t>
      </w:r>
      <w:r>
        <w:t>.</w:t>
      </w:r>
    </w:p>
    <w:p w:rsidR="00EB5E12" w:rsidP="00EB5E12" w14:paraId="7866E5FD" w14:textId="77777777">
      <w:pPr>
        <w:ind w:left="720"/>
        <w:jc w:val="both"/>
      </w:pPr>
    </w:p>
    <w:p w:rsidR="005C7B48" w:rsidP="009E7A8E" w14:paraId="797E99DB" w14:textId="77777777">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finanšu izteiksmē</w:t>
      </w:r>
      <w:r w:rsidRPr="005C7B48">
        <w:rPr>
          <w:b/>
        </w:rPr>
        <w:t xml:space="preserve"> aprēķina metodika</w:t>
      </w:r>
    </w:p>
    <w:p w:rsidR="00D31EF6" w:rsidP="00667564" w14:paraId="734CC9D1" w14:textId="1E270404">
      <w:pPr>
        <w:jc w:val="both"/>
      </w:pPr>
      <w:r w:rsidRPr="00ED7317">
        <w:t>VTMEC</w:t>
      </w:r>
      <w:r w:rsidR="00667564">
        <w:t>, izvēloties veikt papildinošās saimnieciskās darbības aprēķinu finanšu izteiksmē, ap</w:t>
      </w:r>
      <w:r w:rsidR="00395CA8">
        <w:t xml:space="preserve">rēķiniem izmanto </w:t>
      </w:r>
      <w:r w:rsidR="00E61E8C">
        <w:t xml:space="preserve"> kopējos </w:t>
      </w:r>
      <w:r w:rsidR="00395CA8">
        <w:t>ienākumus</w:t>
      </w:r>
      <w:r w:rsidR="00E61E8C">
        <w:t xml:space="preserve"> </w:t>
      </w:r>
      <w:r w:rsidR="007F17F1">
        <w:t>no funkc</w:t>
      </w:r>
      <w:r w:rsidR="00700435">
        <w:t>ionāli</w:t>
      </w:r>
      <w:r w:rsidR="007F17F1">
        <w:t xml:space="preserve"> saist</w:t>
      </w:r>
      <w:r w:rsidR="00700435">
        <w:t xml:space="preserve">ītās </w:t>
      </w:r>
      <w:r w:rsidR="007F17F1">
        <w:t>infr</w:t>
      </w:r>
      <w:r w:rsidR="00700435">
        <w:t>astruktūras</w:t>
      </w:r>
      <w:r w:rsidR="007F17F1">
        <w:t xml:space="preserve"> </w:t>
      </w:r>
      <w:r w:rsidR="00E61E8C">
        <w:t>valsts deleģēto pārvaldes uzdevumu nodrošināšanai</w:t>
      </w:r>
      <w:r w:rsidR="00586784">
        <w:t>,</w:t>
      </w:r>
      <w:r w:rsidR="004F7E78">
        <w:t xml:space="preserve"> ieskaitot</w:t>
      </w:r>
      <w:r w:rsidR="00E61E8C">
        <w:t xml:space="preserve"> ienākumus</w:t>
      </w:r>
      <w:r w:rsidR="00395CA8">
        <w:t xml:space="preserve"> no</w:t>
      </w:r>
      <w:r w:rsidR="004F7E78">
        <w:t xml:space="preserve"> papildinošās</w:t>
      </w:r>
      <w:r w:rsidR="00586784">
        <w:t xml:space="preserve"> saimnieciskās darbības</w:t>
      </w:r>
      <w:r w:rsidR="00FE1663">
        <w:t>.</w:t>
      </w:r>
    </w:p>
    <w:p w:rsidR="00B53EE1" w:rsidP="00704FD1" w14:paraId="0DC9C358" w14:textId="77777777">
      <w:pPr>
        <w:pStyle w:val="ListParagraph"/>
        <w:spacing w:after="60"/>
        <w:ind w:left="567"/>
        <w:contextualSpacing w:val="0"/>
        <w:jc w:val="both"/>
      </w:pPr>
    </w:p>
    <w:p w:rsidR="00B53EE1" w:rsidP="00656EAC" w14:paraId="1057D187" w14:textId="11891284">
      <w:pPr>
        <w:spacing w:after="60"/>
        <w:jc w:val="both"/>
      </w:pPr>
      <w:r>
        <w:t>Aprēķina formula:</w:t>
      </w:r>
    </w:p>
    <w:p w:rsidR="00B53EE1" w:rsidP="00B53EE1" w14:paraId="032FE885" w14:textId="71E33005">
      <w:pPr>
        <w:pStyle w:val="ListParagraph"/>
        <w:spacing w:before="120" w:after="240"/>
        <w:contextualSpacing w:val="0"/>
        <w:jc w:val="both"/>
      </w:pPr>
      <m:oMathPara>
        <m:oMath>
          <m:r>
            <w:rPr>
              <w:rFonts w:ascii="Cambria Math" w:hAnsi="Cambria Math"/>
            </w:rPr>
            <m:t>PSD=</m:t>
          </m:r>
          <m:f>
            <m:fPr>
              <m:ctrlPr>
                <w:rPr>
                  <w:rFonts w:ascii="Cambria Math" w:hAnsi="Cambria Math"/>
                  <w:i/>
                </w:rPr>
              </m:ctrlPr>
            </m:fPr>
            <m:num>
              <m:nary>
                <m:naryPr>
                  <m:chr m:val="∑"/>
                  <m:limLoc m:val="undOvr"/>
                  <m:subHide/>
                  <m:supHide/>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+F2</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den>
          </m:f>
          <m:r>
            <w:rPr>
              <w:rFonts w:ascii="Cambria Math" w:hAnsi="Cambria Math"/>
            </w:rPr>
            <m:t>×100%, kur</m:t>
          </m:r>
        </m:oMath>
      </m:oMathPara>
    </w:p>
    <w:p w:rsidR="00B53EE1" w:rsidP="00B53EE1" w14:paraId="5FF7EDD6" w14:textId="77777777">
      <w:pPr>
        <w:pStyle w:val="ListParagraph"/>
        <w:spacing w:after="60"/>
        <w:ind w:left="567"/>
        <w:contextualSpacing w:val="0"/>
        <w:jc w:val="both"/>
      </w:pPr>
      <w:r>
        <w:t>PSD – papildinošā saimnieciskā darbība, %;</w:t>
      </w:r>
    </w:p>
    <w:p w:rsidR="00172A12" w:rsidP="00172A12" w14:paraId="09E036A4" w14:textId="77777777">
      <w:pPr>
        <w:spacing w:after="60"/>
        <w:ind w:left="567"/>
        <w:jc w:val="both"/>
      </w:pPr>
      <w:r>
        <w:rPr>
          <w:rFonts w:ascii="Calibri" w:hAnsi="Calibri" w:cs="Calibri"/>
        </w:rPr>
        <w:t>∑</w:t>
      </w:r>
      <w:r>
        <w:t>- summa;</w:t>
      </w:r>
    </w:p>
    <w:p w:rsidR="00B53EE1" w:rsidP="00B53EE1" w14:paraId="456C1B70" w14:textId="3C1574BF">
      <w:pPr>
        <w:pStyle w:val="ListParagraph"/>
        <w:spacing w:after="60"/>
        <w:ind w:left="567"/>
        <w:contextualSpacing w:val="0"/>
        <w:jc w:val="both"/>
      </w:pPr>
      <w:bookmarkStart w:id="4" w:name="_Hlk146289506"/>
      <w:r>
        <w:t>F</w:t>
      </w:r>
      <w:r w:rsidR="006F49B9">
        <w:t>1</w:t>
      </w:r>
      <w:r w:rsidRPr="009D2EB9">
        <w:rPr>
          <w:vertAlign w:val="subscript"/>
        </w:rPr>
        <w:t>psd</w:t>
      </w:r>
      <w:r>
        <w:t xml:space="preserve"> – gūtie ienākumi </w:t>
      </w:r>
      <w:r w:rsidR="004B2FAB">
        <w:t xml:space="preserve">gadā </w:t>
      </w:r>
      <w:r>
        <w:t xml:space="preserve">no PSD </w:t>
      </w:r>
      <w:r w:rsidR="00172A12">
        <w:t xml:space="preserve">ēkā Nr.1 </w:t>
      </w:r>
      <w:r>
        <w:t>, EUR;</w:t>
      </w:r>
    </w:p>
    <w:bookmarkEnd w:id="4"/>
    <w:p w:rsidR="004C64EB" w:rsidP="004C64EB" w14:paraId="3D42F258" w14:textId="19DDEFE4">
      <w:pPr>
        <w:pStyle w:val="ListParagraph"/>
        <w:spacing w:after="60"/>
        <w:ind w:left="567"/>
        <w:contextualSpacing w:val="0"/>
        <w:jc w:val="both"/>
      </w:pPr>
      <w:r>
        <w:t>F2</w:t>
      </w:r>
      <w:r w:rsidRPr="009D2EB9">
        <w:rPr>
          <w:vertAlign w:val="subscript"/>
        </w:rPr>
        <w:t>psd</w:t>
      </w:r>
      <w:r>
        <w:t xml:space="preserve"> – gūtie ienākumi gadā no PSD ēkā Nr.2, EUR;</w:t>
      </w:r>
    </w:p>
    <w:p w:rsidR="00B53EE1" w:rsidP="00B53EE1" w14:paraId="5F65695C" w14:textId="64664E51">
      <w:pPr>
        <w:pStyle w:val="ListParagraph"/>
        <w:spacing w:after="60"/>
        <w:ind w:left="567"/>
        <w:contextualSpacing w:val="0"/>
        <w:jc w:val="both"/>
      </w:pPr>
      <w:r>
        <w:t>F</w:t>
      </w:r>
      <w:r w:rsidRPr="00667564">
        <w:rPr>
          <w:vertAlign w:val="subscript"/>
        </w:rPr>
        <w:t>kop</w:t>
      </w:r>
      <w:r>
        <w:t xml:space="preserve"> – kopējie </w:t>
      </w:r>
      <w:r w:rsidR="00D64712">
        <w:t>finansējuma saņēmēja</w:t>
      </w:r>
      <w:r>
        <w:t xml:space="preserve"> ienākumi</w:t>
      </w:r>
      <w:r w:rsidR="00423344">
        <w:t xml:space="preserve"> </w:t>
      </w:r>
      <w:r w:rsidR="004B2FAB">
        <w:t>gadā</w:t>
      </w:r>
      <w:r w:rsidRPr="001B0A42" w:rsidR="001B0A42">
        <w:t xml:space="preserve"> </w:t>
      </w:r>
      <w:r w:rsidR="001B0A42">
        <w:t>no funkcionāli saistītās infrastruktūras</w:t>
      </w:r>
      <w:r>
        <w:t>, ieskaitot saņemtās dotācijas no valsts budžeta un jebkuriem Eiropas Savienības fondu līdzekļiem, EUR</w:t>
      </w:r>
      <w:r w:rsidR="00172A12">
        <w:t>.</w:t>
      </w:r>
    </w:p>
    <w:p w:rsidR="00F629F2" w:rsidP="00704FD1" w14:paraId="1A206B7D" w14:textId="77777777">
      <w:pPr>
        <w:pStyle w:val="ListParagraph"/>
        <w:spacing w:after="60"/>
        <w:ind w:left="567"/>
        <w:contextualSpacing w:val="0"/>
        <w:jc w:val="both"/>
      </w:pPr>
    </w:p>
    <w:p w:rsidR="00257AB9" w:rsidP="00226980" w14:paraId="3C74A038" w14:textId="62C00FA5">
      <w:pPr>
        <w:spacing w:before="120"/>
        <w:jc w:val="both"/>
      </w:pPr>
      <w:r w:rsidRPr="00ED7317">
        <w:t>VTMEC</w:t>
      </w:r>
      <w:r>
        <w:t xml:space="preserve"> tabulas veidā</w:t>
      </w:r>
      <w:r w:rsidR="00DE7338">
        <w:t xml:space="preserve"> (</w:t>
      </w:r>
      <w:r w:rsidR="002F686F">
        <w:t>3</w:t>
      </w:r>
      <w:r w:rsidR="00492983">
        <w:t>.</w:t>
      </w:r>
      <w:r w:rsidR="004214E8">
        <w:t> </w:t>
      </w:r>
      <w:r w:rsidR="00492983">
        <w:t>pielikums)</w:t>
      </w:r>
      <w:r>
        <w:t xml:space="preserve"> CFLA sniedz informāciju par savā īpašumā</w:t>
      </w:r>
      <w:r w:rsidR="004C6984">
        <w:t>, lietošanā vai valdījumā</w:t>
      </w:r>
      <w:r>
        <w:t xml:space="preserve"> esošajām</w:t>
      </w:r>
      <w:r w:rsidR="004E35E8">
        <w:t xml:space="preserve"> funkcionāli saistītajām</w:t>
      </w:r>
      <w:r>
        <w:t xml:space="preserve"> ēkām, kuras tas izmanto aprēķinu veikšanai. Datos norāda:</w:t>
      </w:r>
    </w:p>
    <w:p w:rsidR="00A4638E" w:rsidP="00A4638E" w14:paraId="62EA4A08" w14:textId="52C6E25F">
      <w:pPr>
        <w:pStyle w:val="ListParagraph"/>
        <w:numPr>
          <w:ilvl w:val="0"/>
          <w:numId w:val="2"/>
        </w:numPr>
        <w:jc w:val="both"/>
      </w:pPr>
      <w:r>
        <w:t>kalendāro gadu</w:t>
      </w:r>
      <w:r w:rsidR="001C38DD">
        <w:t>,</w:t>
      </w:r>
      <w:r>
        <w:t xml:space="preserve"> par kuru aprēķins veikts;</w:t>
      </w:r>
    </w:p>
    <w:p w:rsidR="00257AB9" w:rsidP="00257AB9" w14:paraId="613346A7" w14:textId="5B03D562">
      <w:pPr>
        <w:pStyle w:val="ListParagraph"/>
        <w:numPr>
          <w:ilvl w:val="0"/>
          <w:numId w:val="2"/>
        </w:numPr>
        <w:jc w:val="both"/>
      </w:pPr>
      <w:r>
        <w:t>kopējos ienākumus</w:t>
      </w:r>
      <w:r w:rsidRPr="00423344" w:rsidR="00423344">
        <w:t xml:space="preserve"> </w:t>
      </w:r>
      <w:r w:rsidR="00423344">
        <w:t>no funkcionāli saistītās infrastruktūras</w:t>
      </w:r>
      <w:r w:rsidR="004B2FAB">
        <w:t xml:space="preserve"> gadā</w:t>
      </w:r>
      <w:r w:rsidR="00D330D1">
        <w:t>,</w:t>
      </w:r>
      <w:r w:rsidR="002F2EE6">
        <w:t xml:space="preserve"> </w:t>
      </w:r>
      <w:r w:rsidR="00D330D1">
        <w:t>EUR</w:t>
      </w:r>
      <w:r>
        <w:t>;</w:t>
      </w:r>
    </w:p>
    <w:p w:rsidR="00257AB9" w:rsidP="00257AB9" w14:paraId="26E56ADA" w14:textId="0F6EC684">
      <w:pPr>
        <w:pStyle w:val="ListParagraph"/>
        <w:numPr>
          <w:ilvl w:val="0"/>
          <w:numId w:val="2"/>
        </w:numPr>
        <w:jc w:val="both"/>
      </w:pPr>
      <w:r>
        <w:t xml:space="preserve">gūtos ienākumus </w:t>
      </w:r>
      <w:r w:rsidR="004B2FAB">
        <w:t xml:space="preserve">gadā </w:t>
      </w:r>
      <w:r>
        <w:t>no</w:t>
      </w:r>
      <w:r w:rsidR="006820E2">
        <w:t xml:space="preserve"> saimnieciskās darbības</w:t>
      </w:r>
      <w:r>
        <w:t>, EUR</w:t>
      </w:r>
      <w:r w:rsidR="00AD071E">
        <w:t>;</w:t>
      </w:r>
    </w:p>
    <w:p w:rsidR="007157FA" w:rsidP="007157FA" w14:paraId="7393886B" w14:textId="25CF1CA4">
      <w:pPr>
        <w:pStyle w:val="ListParagraph"/>
        <w:numPr>
          <w:ilvl w:val="0"/>
          <w:numId w:val="2"/>
        </w:numPr>
        <w:jc w:val="both"/>
      </w:pPr>
      <w:r>
        <w:t>gūtos ienākumu</w:t>
      </w:r>
      <w:r w:rsidR="004B2FAB">
        <w:t>s gadā</w:t>
      </w:r>
      <w:r>
        <w:t xml:space="preserve"> no PSD, EUR</w:t>
      </w:r>
      <w:r>
        <w:t>;</w:t>
      </w:r>
    </w:p>
    <w:p w:rsidR="007157FA" w:rsidP="007157FA" w14:paraId="65287AA5" w14:textId="3EE47F56">
      <w:pPr>
        <w:pStyle w:val="ListParagraph"/>
        <w:numPr>
          <w:ilvl w:val="0"/>
          <w:numId w:val="2"/>
        </w:numPr>
        <w:jc w:val="both"/>
      </w:pPr>
      <w:r>
        <w:t>pamatojumu</w:t>
      </w:r>
      <w:r w:rsidR="00D02DE5">
        <w:t>, kādēļ ēkas ir</w:t>
      </w:r>
      <w:r>
        <w:t xml:space="preserve"> funkcionāli saistīta</w:t>
      </w:r>
      <w:r w:rsidR="00D02DE5">
        <w:t>s</w:t>
      </w:r>
      <w:r>
        <w:t>.</w:t>
      </w:r>
    </w:p>
    <w:p w:rsidR="007157FA" w:rsidP="00112B1F" w14:paraId="6231E7AB" w14:textId="77777777">
      <w:pPr>
        <w:spacing w:after="60"/>
        <w:jc w:val="both"/>
      </w:pPr>
    </w:p>
    <w:p w:rsidR="00AD458B" w:rsidRPr="008012D3" w:rsidP="00B952B6" w14:paraId="1A84EF81" w14:textId="787E66D7">
      <w:pPr>
        <w:pStyle w:val="ListParagraph"/>
        <w:numPr>
          <w:ilvl w:val="0"/>
          <w:numId w:val="1"/>
        </w:numPr>
        <w:spacing w:before="600" w:after="240"/>
        <w:ind w:left="425" w:hanging="357"/>
        <w:contextualSpacing w:val="0"/>
        <w:rPr>
          <w:b/>
        </w:rPr>
      </w:pPr>
      <w:r>
        <w:rPr>
          <w:b/>
        </w:rPr>
        <w:t>Izpildes nosacī</w:t>
      </w:r>
      <w:r w:rsidRPr="007B7460">
        <w:rPr>
          <w:b/>
        </w:rPr>
        <w:t>jumi</w:t>
      </w:r>
    </w:p>
    <w:p w:rsidR="001457A0" w:rsidRPr="001457A0" w:rsidP="001457A0" w14:paraId="78E4F9AF" w14:textId="64BED07A">
      <w:pPr>
        <w:pStyle w:val="ListParagraph"/>
        <w:numPr>
          <w:ilvl w:val="1"/>
          <w:numId w:val="1"/>
        </w:numPr>
        <w:jc w:val="both"/>
        <w:rPr>
          <w:sz w:val="18"/>
        </w:rPr>
      </w:pPr>
      <w:r>
        <w:t xml:space="preserve">Iesniedzot aprēķinu, </w:t>
      </w:r>
      <w:r w:rsidRPr="00ED7317" w:rsidR="00DB5825">
        <w:t>VTMEC</w:t>
      </w:r>
      <w:r w:rsidR="006B3599">
        <w:t xml:space="preserve"> apliecina, ka sniegtā informācija ir patiesa. Ja CFLA rodas šaubas par sniegto datu patiesumu, CFLA informē </w:t>
      </w:r>
      <w:r w:rsidRPr="00ED7317" w:rsidR="00DB5825">
        <w:t>VTMEC</w:t>
      </w:r>
      <w:r w:rsidR="006B3599">
        <w:t xml:space="preserve">, norādot šaubu pamatu. </w:t>
      </w:r>
      <w:r w:rsidRPr="00ED7317" w:rsidR="00DB5825">
        <w:t>VTMEC</w:t>
      </w:r>
      <w:r w:rsidR="006B3599">
        <w:t xml:space="preserve"> tādā gadījumā</w:t>
      </w:r>
      <w:r>
        <w:t xml:space="preserve"> ar dokumentiem (līgumi, rēķini, </w:t>
      </w:r>
      <w:r w:rsidRPr="00A3060E">
        <w:t>izdrukas no grāmatvedības reģistriem, inventarizācijas lietas, iestādes iekšējie noteikumi, metodikas, dažādi vadības rīkojumi, bilances u.c.)</w:t>
      </w:r>
      <w:r>
        <w:t xml:space="preserve"> </w:t>
      </w:r>
      <w:r w:rsidR="006B3599">
        <w:t xml:space="preserve"> ir jāpierāda, ka viņa sniegtā informācija ir patiesa.</w:t>
      </w:r>
    </w:p>
    <w:p w:rsidR="001457A0" w:rsidRPr="001457A0" w:rsidP="001457A0" w14:paraId="034B95E8" w14:textId="3E2B9C6E">
      <w:pPr>
        <w:pStyle w:val="ListParagraph"/>
        <w:numPr>
          <w:ilvl w:val="1"/>
          <w:numId w:val="1"/>
        </w:numPr>
        <w:jc w:val="both"/>
        <w:rPr>
          <w:sz w:val="18"/>
        </w:rPr>
      </w:pPr>
      <w:r>
        <w:t xml:space="preserve">Ja </w:t>
      </w:r>
      <w:r w:rsidR="00AA23BD">
        <w:t xml:space="preserve">uz projekta iesniegšanas brīdi </w:t>
      </w:r>
      <w:r>
        <w:t xml:space="preserve">aprēķini parāda, ka papildinošā saimnieciskā darbība </w:t>
      </w:r>
      <w:r w:rsidR="008F713F">
        <w:t xml:space="preserve">iepriekšējā gadā </w:t>
      </w:r>
      <w:r>
        <w:t>pārsniedz</w:t>
      </w:r>
      <w:r w:rsidR="008F713F">
        <w:t>a</w:t>
      </w:r>
      <w:r>
        <w:t xml:space="preserve"> 20% no infrastruktūras gada jaudas, </w:t>
      </w:r>
      <w:r w:rsidRPr="00ED7317" w:rsidR="00DB5825">
        <w:t>VTMEC</w:t>
      </w:r>
      <w:r>
        <w:t xml:space="preserve"> var apliecināt, ka tas līdz ar projekta uzsākšanu pārtrauks daļu/visu papildinošo </w:t>
      </w:r>
      <w:r w:rsidR="001A7467">
        <w:t xml:space="preserve">saimniecisko </w:t>
      </w:r>
      <w:r>
        <w:t>darbību attiecīgajā ēkā/ēkās, par kuru iesniegts projekta iesniegums. Veiktā apņemšanās jāievēro visu projekta dzīves ciklu.</w:t>
      </w:r>
    </w:p>
    <w:p w:rsidR="0076155C" w:rsidRPr="003655E3" w:rsidP="00E23B2A" w14:paraId="05C284FB" w14:textId="13CEB57F">
      <w:pPr>
        <w:pStyle w:val="ListParagraph"/>
        <w:numPr>
          <w:ilvl w:val="1"/>
          <w:numId w:val="1"/>
        </w:numPr>
        <w:jc w:val="both"/>
        <w:rPr>
          <w:sz w:val="18"/>
        </w:rPr>
      </w:pPr>
      <w:r>
        <w:t>Ja kādā no kalendārajiem gadiem projekta dzīves cikla periodā</w:t>
      </w:r>
      <w:r w:rsidRPr="00E23B2A">
        <w:t xml:space="preserve"> papildinošā saimnieciskā darbība pārsniedz 20% no infrastruktūras gada jaudas</w:t>
      </w:r>
      <w:r>
        <w:t>, finansējuma saņēmēj</w:t>
      </w:r>
      <w:r w:rsidR="00660AA4">
        <w:t>am</w:t>
      </w:r>
      <w:r>
        <w:t xml:space="preserve"> piemēro atgūšanas mehānismu.</w:t>
      </w:r>
      <w:r w:rsidRPr="00E23B2A">
        <w:t xml:space="preserve"> </w:t>
      </w:r>
      <w:r>
        <w:t xml:space="preserve">Saskaņā ar </w:t>
      </w:r>
      <w:r w:rsidRPr="00E23B2A">
        <w:t xml:space="preserve">Eiropas Komisijas </w:t>
      </w:r>
      <w:r>
        <w:t>skaidrojumu</w:t>
      </w:r>
      <w:r>
        <w:rPr>
          <w:rStyle w:val="FootnoteReference"/>
        </w:rPr>
        <w:footnoteReference w:id="5"/>
      </w:r>
      <w:r w:rsidR="004C19DD">
        <w:t xml:space="preserve"> atgūšanas mehānisma gadījumā finansējuma saņēmējs at</w:t>
      </w:r>
      <w:r w:rsidRPr="00E23B2A">
        <w:t>maksā</w:t>
      </w:r>
      <w:r>
        <w:t xml:space="preserve"> publisko finansējumu</w:t>
      </w:r>
      <w:r w:rsidRPr="00E23B2A">
        <w:t xml:space="preserve"> proporcionāli</w:t>
      </w:r>
      <w:r w:rsidR="00660AA4">
        <w:t xml:space="preserve"> papildinošās</w:t>
      </w:r>
      <w:r w:rsidRPr="00E23B2A">
        <w:t xml:space="preserve"> saimnie</w:t>
      </w:r>
      <w:r>
        <w:t>ciskās darbības daļai</w:t>
      </w:r>
      <w:r w:rsidR="004C19DD">
        <w:t>.</w:t>
      </w:r>
      <w:r w:rsidRPr="00E23B2A">
        <w:t xml:space="preserve"> </w:t>
      </w:r>
    </w:p>
    <w:p w:rsidR="00275ADA" w:rsidRPr="003655E3" w:rsidP="003655E3" w14:paraId="1E86804F" w14:textId="77777777">
      <w:pPr>
        <w:ind w:left="360"/>
        <w:jc w:val="both"/>
        <w:rPr>
          <w:sz w:val="18"/>
        </w:rPr>
      </w:pPr>
    </w:p>
    <w:p w:rsidR="00F75640" w:rsidP="00656EAC" w14:paraId="2D573722" w14:textId="77777777">
      <w:pPr>
        <w:spacing w:before="480"/>
        <w:jc w:val="both"/>
        <w:rPr>
          <w:i/>
        </w:rPr>
      </w:pPr>
    </w:p>
    <w:p w:rsidR="0051115C" w:rsidRPr="00F44C19" w:rsidP="00656EAC" w14:paraId="12743E4C" w14:textId="2442AF99">
      <w:pPr>
        <w:spacing w:before="480"/>
        <w:jc w:val="both"/>
        <w:rPr>
          <w:i/>
        </w:rPr>
      </w:pPr>
      <w:r w:rsidRPr="00F44C19">
        <w:rPr>
          <w:i/>
        </w:rPr>
        <w:t>Piemērs:</w:t>
      </w:r>
    </w:p>
    <w:p w:rsidR="0051115C" w:rsidP="00F44C19" w14:paraId="16F72E2F" w14:textId="62F69A90">
      <w:pPr>
        <w:jc w:val="both"/>
      </w:pPr>
      <w:r>
        <w:t xml:space="preserve">Projekta attiecināmās izmaksas </w:t>
      </w:r>
      <w:r w:rsidR="009679F0">
        <w:t xml:space="preserve">bija </w:t>
      </w:r>
      <w:r>
        <w:t>100 000 EUR</w:t>
      </w:r>
      <w:r w:rsidR="009679F0">
        <w:t>.</w:t>
      </w:r>
      <w:r w:rsidR="00226FFC">
        <w:t xml:space="preserve"> </w:t>
      </w:r>
      <w:r>
        <w:t>P</w:t>
      </w:r>
      <w:r w:rsidR="004C19DD">
        <w:t>apildinošā saimnieciskā darbība</w:t>
      </w:r>
      <w:r>
        <w:t xml:space="preserve"> pirms projekta īstenošanas </w:t>
      </w:r>
      <w:r w:rsidR="004C19DD">
        <w:t>bija</w:t>
      </w:r>
      <w:r>
        <w:t xml:space="preserve"> </w:t>
      </w:r>
      <w:r w:rsidR="004C19DD">
        <w:t>15</w:t>
      </w:r>
      <w:r>
        <w:t>%</w:t>
      </w:r>
      <w:r w:rsidR="00226FFC">
        <w:t>.</w:t>
      </w:r>
      <w:r w:rsidR="00DC1645">
        <w:t xml:space="preserve"> </w:t>
      </w:r>
      <w:r w:rsidR="00B61622">
        <w:t xml:space="preserve">Projekts </w:t>
      </w:r>
      <w:r w:rsidR="004C19DD">
        <w:t xml:space="preserve">tika īstenots </w:t>
      </w:r>
      <w:r w:rsidR="00B61622">
        <w:t>2024</w:t>
      </w:r>
      <w:r w:rsidR="004C19DD">
        <w:t>.gadā, un tā</w:t>
      </w:r>
      <w:r w:rsidR="00DC1645">
        <w:t xml:space="preserve"> dzīves cikls</w:t>
      </w:r>
      <w:r w:rsidR="004C19DD">
        <w:t xml:space="preserve"> ir</w:t>
      </w:r>
      <w:r w:rsidR="00DC1645">
        <w:t xml:space="preserve"> 1</w:t>
      </w:r>
      <w:r w:rsidR="004C19DD">
        <w:t>0</w:t>
      </w:r>
      <w:r w:rsidR="00DC1645">
        <w:t xml:space="preserve"> gadi.</w:t>
      </w:r>
      <w:r w:rsidR="009D544D">
        <w:t xml:space="preserve"> </w:t>
      </w:r>
    </w:p>
    <w:p w:rsidR="00AC0DC4" w:rsidP="00F44C19" w14:paraId="69BB6757" w14:textId="77777777">
      <w:pPr>
        <w:jc w:val="both"/>
      </w:pPr>
    </w:p>
    <w:p w:rsidR="00AC0DC4" w:rsidP="00F44C19" w14:paraId="08A78091" w14:textId="77777777">
      <w:pPr>
        <w:jc w:val="both"/>
      </w:pPr>
    </w:p>
    <w:p w:rsidR="00226FFC" w:rsidP="0076155C" w14:paraId="28135703" w14:textId="5C86B375">
      <w:pPr>
        <w:spacing w:before="120"/>
        <w:jc w:val="both"/>
      </w:pPr>
      <w:r>
        <w:t>Atmaksājamā publiskā finansējuma daļa:</w:t>
      </w:r>
    </w:p>
    <w:tbl>
      <w:tblPr>
        <w:tblStyle w:val="TableGrid"/>
        <w:tblW w:w="7840" w:type="dxa"/>
        <w:jc w:val="center"/>
        <w:tblLook w:val="04A0"/>
      </w:tblPr>
      <w:tblGrid>
        <w:gridCol w:w="1123"/>
        <w:gridCol w:w="673"/>
        <w:gridCol w:w="672"/>
        <w:gridCol w:w="672"/>
        <w:gridCol w:w="672"/>
        <w:gridCol w:w="672"/>
        <w:gridCol w:w="672"/>
        <w:gridCol w:w="672"/>
        <w:gridCol w:w="672"/>
        <w:gridCol w:w="674"/>
        <w:gridCol w:w="666"/>
      </w:tblGrid>
      <w:tr w14:paraId="34174395" w14:textId="079FC001" w:rsidTr="00F01B0B">
        <w:tblPrEx>
          <w:tblW w:w="7840" w:type="dxa"/>
          <w:jc w:val="center"/>
          <w:tblLook w:val="04A0"/>
        </w:tblPrEx>
        <w:trPr>
          <w:jc w:val="center"/>
        </w:trPr>
        <w:tc>
          <w:tcPr>
            <w:tcW w:w="1123" w:type="dxa"/>
          </w:tcPr>
          <w:p w:rsidR="004C19DD" w:rsidRPr="004C19DD" w:rsidP="004C19DD" w14:paraId="23B384D9" w14:textId="77777777">
            <w:pPr>
              <w:spacing w:before="120"/>
              <w:jc w:val="both"/>
              <w:rPr>
                <w:sz w:val="20"/>
              </w:rPr>
            </w:pPr>
          </w:p>
        </w:tc>
        <w:tc>
          <w:tcPr>
            <w:tcW w:w="673" w:type="dxa"/>
            <w:vAlign w:val="center"/>
          </w:tcPr>
          <w:p w:rsidR="004C19DD" w:rsidRPr="004C19DD" w:rsidP="004C19DD" w14:paraId="73CAF081" w14:textId="43537907">
            <w:pPr>
              <w:jc w:val="center"/>
              <w:rPr>
                <w:sz w:val="20"/>
              </w:rPr>
            </w:pPr>
            <w:r>
              <w:rPr>
                <w:sz w:val="20"/>
              </w:rPr>
              <w:t>2025</w:t>
            </w:r>
            <w:r w:rsidRPr="004C19DD">
              <w:rPr>
                <w:sz w:val="20"/>
              </w:rPr>
              <w:t>.</w:t>
            </w:r>
          </w:p>
        </w:tc>
        <w:tc>
          <w:tcPr>
            <w:tcW w:w="672" w:type="dxa"/>
            <w:vAlign w:val="center"/>
          </w:tcPr>
          <w:p w:rsidR="004C19DD" w:rsidRPr="004C19DD" w:rsidP="004C19DD" w14:paraId="4B798896" w14:textId="40711031">
            <w:pPr>
              <w:jc w:val="center"/>
              <w:rPr>
                <w:sz w:val="20"/>
              </w:rPr>
            </w:pPr>
            <w:r>
              <w:rPr>
                <w:sz w:val="20"/>
              </w:rPr>
              <w:t>20</w:t>
            </w:r>
            <w:r w:rsidR="00B61622">
              <w:rPr>
                <w:sz w:val="20"/>
              </w:rPr>
              <w:t>26</w:t>
            </w:r>
            <w:r w:rsidRPr="004C19DD">
              <w:rPr>
                <w:sz w:val="20"/>
              </w:rPr>
              <w:t>.</w:t>
            </w:r>
          </w:p>
        </w:tc>
        <w:tc>
          <w:tcPr>
            <w:tcW w:w="672" w:type="dxa"/>
            <w:vAlign w:val="center"/>
          </w:tcPr>
          <w:p w:rsidR="004C19DD" w:rsidRPr="004C19DD" w:rsidP="004C19DD" w14:paraId="1079C8EC" w14:textId="7DCB5A61">
            <w:pPr>
              <w:jc w:val="center"/>
              <w:rPr>
                <w:sz w:val="20"/>
              </w:rPr>
            </w:pPr>
            <w:r>
              <w:rPr>
                <w:sz w:val="20"/>
              </w:rPr>
              <w:t>202</w:t>
            </w:r>
            <w:r w:rsidR="00B61622">
              <w:rPr>
                <w:sz w:val="20"/>
              </w:rPr>
              <w:t>7</w:t>
            </w:r>
            <w:r w:rsidRPr="004C19DD">
              <w:rPr>
                <w:sz w:val="20"/>
              </w:rPr>
              <w:t>.</w:t>
            </w:r>
          </w:p>
        </w:tc>
        <w:tc>
          <w:tcPr>
            <w:tcW w:w="672" w:type="dxa"/>
            <w:vAlign w:val="center"/>
          </w:tcPr>
          <w:p w:rsidR="004C19DD" w:rsidRPr="004C19DD" w:rsidP="004C19DD" w14:paraId="38FC4AC4" w14:textId="593DC861">
            <w:pPr>
              <w:jc w:val="center"/>
              <w:rPr>
                <w:sz w:val="20"/>
              </w:rPr>
            </w:pPr>
            <w:r w:rsidRPr="004C19DD">
              <w:rPr>
                <w:sz w:val="20"/>
              </w:rPr>
              <w:t>20</w:t>
            </w:r>
            <w:r>
              <w:rPr>
                <w:sz w:val="20"/>
              </w:rPr>
              <w:t>2</w:t>
            </w:r>
            <w:r w:rsidR="00B61622">
              <w:rPr>
                <w:sz w:val="20"/>
              </w:rPr>
              <w:t>8</w:t>
            </w:r>
            <w:r w:rsidRPr="004C19DD">
              <w:rPr>
                <w:sz w:val="20"/>
              </w:rPr>
              <w:t>.</w:t>
            </w:r>
          </w:p>
        </w:tc>
        <w:tc>
          <w:tcPr>
            <w:tcW w:w="672" w:type="dxa"/>
            <w:vAlign w:val="center"/>
          </w:tcPr>
          <w:p w:rsidR="004C19DD" w:rsidRPr="004C19DD" w:rsidP="004C19DD" w14:paraId="41CD1FCD" w14:textId="7822549C">
            <w:pPr>
              <w:jc w:val="center"/>
              <w:rPr>
                <w:sz w:val="20"/>
              </w:rPr>
            </w:pPr>
            <w:r w:rsidRPr="004C19DD">
              <w:rPr>
                <w:sz w:val="20"/>
              </w:rPr>
              <w:t>20</w:t>
            </w:r>
            <w:r>
              <w:rPr>
                <w:sz w:val="20"/>
              </w:rPr>
              <w:t>2</w:t>
            </w:r>
            <w:r w:rsidR="00B61622">
              <w:rPr>
                <w:sz w:val="20"/>
              </w:rPr>
              <w:t>9</w:t>
            </w:r>
            <w:r w:rsidRPr="004C19DD">
              <w:rPr>
                <w:sz w:val="20"/>
              </w:rPr>
              <w:t>.</w:t>
            </w:r>
          </w:p>
        </w:tc>
        <w:tc>
          <w:tcPr>
            <w:tcW w:w="672" w:type="dxa"/>
            <w:vAlign w:val="center"/>
          </w:tcPr>
          <w:p w:rsidR="004C19DD" w:rsidRPr="004C19DD" w:rsidP="004C19DD" w14:paraId="7549CE7E" w14:textId="58323829">
            <w:pPr>
              <w:jc w:val="center"/>
              <w:rPr>
                <w:sz w:val="20"/>
              </w:rPr>
            </w:pPr>
            <w:r w:rsidRPr="004C19DD">
              <w:rPr>
                <w:sz w:val="20"/>
              </w:rPr>
              <w:t>20</w:t>
            </w:r>
            <w:r>
              <w:rPr>
                <w:sz w:val="20"/>
              </w:rPr>
              <w:t>3</w:t>
            </w:r>
            <w:r w:rsidR="00B61622">
              <w:rPr>
                <w:sz w:val="20"/>
              </w:rPr>
              <w:t>0</w:t>
            </w:r>
            <w:r w:rsidRPr="004C19DD">
              <w:rPr>
                <w:sz w:val="20"/>
              </w:rPr>
              <w:t>.</w:t>
            </w:r>
          </w:p>
        </w:tc>
        <w:tc>
          <w:tcPr>
            <w:tcW w:w="672" w:type="dxa"/>
            <w:vAlign w:val="center"/>
          </w:tcPr>
          <w:p w:rsidR="004C19DD" w:rsidRPr="004C19DD" w:rsidP="004C19DD" w14:paraId="2B839B81" w14:textId="43390B8B">
            <w:pPr>
              <w:jc w:val="center"/>
              <w:rPr>
                <w:sz w:val="20"/>
              </w:rPr>
            </w:pPr>
            <w:r w:rsidRPr="004C19DD">
              <w:rPr>
                <w:sz w:val="20"/>
              </w:rPr>
              <w:t>20</w:t>
            </w:r>
            <w:r w:rsidR="00B61622">
              <w:rPr>
                <w:sz w:val="20"/>
              </w:rPr>
              <w:t>31</w:t>
            </w:r>
            <w:r w:rsidRPr="004C19DD">
              <w:rPr>
                <w:sz w:val="20"/>
              </w:rPr>
              <w:t>.</w:t>
            </w:r>
          </w:p>
        </w:tc>
        <w:tc>
          <w:tcPr>
            <w:tcW w:w="672" w:type="dxa"/>
            <w:vAlign w:val="center"/>
          </w:tcPr>
          <w:p w:rsidR="004C19DD" w:rsidRPr="004C19DD" w:rsidP="004C19DD" w14:paraId="09218348" w14:textId="35D0BB63">
            <w:pPr>
              <w:jc w:val="center"/>
              <w:rPr>
                <w:sz w:val="20"/>
              </w:rPr>
            </w:pPr>
            <w:r w:rsidRPr="004C19DD">
              <w:rPr>
                <w:sz w:val="20"/>
              </w:rPr>
              <w:t>20</w:t>
            </w:r>
            <w:r w:rsidR="00B61622">
              <w:rPr>
                <w:sz w:val="20"/>
              </w:rPr>
              <w:t>3</w:t>
            </w:r>
            <w:r>
              <w:rPr>
                <w:sz w:val="20"/>
              </w:rPr>
              <w:t>2</w:t>
            </w:r>
            <w:r w:rsidRPr="004C19DD">
              <w:rPr>
                <w:sz w:val="20"/>
              </w:rPr>
              <w:t>.</w:t>
            </w:r>
          </w:p>
        </w:tc>
        <w:tc>
          <w:tcPr>
            <w:tcW w:w="674" w:type="dxa"/>
            <w:vAlign w:val="center"/>
          </w:tcPr>
          <w:p w:rsidR="004C19DD" w:rsidRPr="004C19DD" w:rsidP="004C19DD" w14:paraId="65B6281D" w14:textId="7CE8FEEA">
            <w:pPr>
              <w:jc w:val="center"/>
              <w:rPr>
                <w:sz w:val="20"/>
              </w:rPr>
            </w:pPr>
            <w:r w:rsidRPr="004C19DD">
              <w:rPr>
                <w:sz w:val="20"/>
              </w:rPr>
              <w:t>20</w:t>
            </w:r>
            <w:r w:rsidR="00B61622">
              <w:rPr>
                <w:sz w:val="20"/>
              </w:rPr>
              <w:t>33</w:t>
            </w:r>
            <w:r w:rsidRPr="004C19DD">
              <w:rPr>
                <w:sz w:val="20"/>
              </w:rPr>
              <w:t>.</w:t>
            </w:r>
          </w:p>
        </w:tc>
        <w:tc>
          <w:tcPr>
            <w:tcW w:w="666" w:type="dxa"/>
            <w:vAlign w:val="center"/>
          </w:tcPr>
          <w:p w:rsidR="004C19DD" w:rsidRPr="004C19DD" w:rsidP="004C19DD" w14:paraId="16959DBD" w14:textId="4E3EC43D">
            <w:pPr>
              <w:jc w:val="center"/>
              <w:rPr>
                <w:sz w:val="20"/>
              </w:rPr>
            </w:pPr>
            <w:r>
              <w:rPr>
                <w:sz w:val="20"/>
              </w:rPr>
              <w:t>20</w:t>
            </w:r>
            <w:r w:rsidR="00B61622">
              <w:rPr>
                <w:sz w:val="20"/>
              </w:rPr>
              <w:t>34</w:t>
            </w:r>
            <w:r>
              <w:rPr>
                <w:sz w:val="20"/>
              </w:rPr>
              <w:t>.</w:t>
            </w:r>
          </w:p>
        </w:tc>
      </w:tr>
      <w:tr w14:paraId="405ACCF9" w14:textId="77777777" w:rsidTr="00F01B0B">
        <w:tblPrEx>
          <w:tblW w:w="7840" w:type="dxa"/>
          <w:jc w:val="center"/>
          <w:tblLook w:val="04A0"/>
        </w:tblPrEx>
        <w:trPr>
          <w:jc w:val="center"/>
        </w:trPr>
        <w:tc>
          <w:tcPr>
            <w:tcW w:w="1123" w:type="dxa"/>
          </w:tcPr>
          <w:p w:rsidR="004C19DD" w:rsidRPr="004C19DD" w:rsidP="004C19DD" w14:paraId="1A60EEF5" w14:textId="078124A2">
            <w:pPr>
              <w:spacing w:before="120"/>
              <w:jc w:val="both"/>
              <w:rPr>
                <w:sz w:val="20"/>
              </w:rPr>
            </w:pPr>
            <w:r>
              <w:rPr>
                <w:sz w:val="20"/>
              </w:rPr>
              <w:t>T</w:t>
            </w:r>
            <w:r w:rsidR="0045763E">
              <w:rPr>
                <w:sz w:val="20"/>
              </w:rPr>
              <w:t>ūks</w:t>
            </w:r>
            <w:r>
              <w:rPr>
                <w:sz w:val="20"/>
              </w:rPr>
              <w:t>t.EUR</w:t>
            </w:r>
          </w:p>
        </w:tc>
        <w:tc>
          <w:tcPr>
            <w:tcW w:w="673" w:type="dxa"/>
            <w:vAlign w:val="center"/>
          </w:tcPr>
          <w:p w:rsidR="004C19DD" w:rsidP="004C19DD" w14:paraId="296902D0" w14:textId="2C2EBCCF">
            <w:pPr>
              <w:jc w:val="center"/>
              <w:rPr>
                <w:sz w:val="20"/>
              </w:rPr>
            </w:pPr>
            <w:r>
              <w:rPr>
                <w:sz w:val="20"/>
              </w:rPr>
              <w:t>10</w:t>
            </w:r>
          </w:p>
        </w:tc>
        <w:tc>
          <w:tcPr>
            <w:tcW w:w="672" w:type="dxa"/>
            <w:vAlign w:val="center"/>
          </w:tcPr>
          <w:p w:rsidR="004C19DD" w:rsidP="004C19DD" w14:paraId="3C9DC087" w14:textId="180E1F6D">
            <w:pPr>
              <w:jc w:val="center"/>
              <w:rPr>
                <w:sz w:val="20"/>
              </w:rPr>
            </w:pPr>
            <w:r>
              <w:rPr>
                <w:sz w:val="20"/>
              </w:rPr>
              <w:t>10</w:t>
            </w:r>
          </w:p>
        </w:tc>
        <w:tc>
          <w:tcPr>
            <w:tcW w:w="672" w:type="dxa"/>
            <w:vAlign w:val="center"/>
          </w:tcPr>
          <w:p w:rsidR="004C19DD" w:rsidP="004C19DD" w14:paraId="0AEFC227" w14:textId="70D86459">
            <w:pPr>
              <w:jc w:val="center"/>
              <w:rPr>
                <w:sz w:val="20"/>
              </w:rPr>
            </w:pPr>
            <w:r>
              <w:rPr>
                <w:sz w:val="20"/>
              </w:rPr>
              <w:t>10</w:t>
            </w:r>
          </w:p>
        </w:tc>
        <w:tc>
          <w:tcPr>
            <w:tcW w:w="672" w:type="dxa"/>
            <w:vAlign w:val="center"/>
          </w:tcPr>
          <w:p w:rsidR="004C19DD" w:rsidRPr="004C19DD" w:rsidP="004C19DD" w14:paraId="2AF8141B" w14:textId="388E9CAC">
            <w:pPr>
              <w:jc w:val="center"/>
              <w:rPr>
                <w:sz w:val="20"/>
              </w:rPr>
            </w:pPr>
            <w:r>
              <w:rPr>
                <w:sz w:val="20"/>
              </w:rPr>
              <w:t>10</w:t>
            </w:r>
          </w:p>
        </w:tc>
        <w:tc>
          <w:tcPr>
            <w:tcW w:w="672" w:type="dxa"/>
            <w:vAlign w:val="center"/>
          </w:tcPr>
          <w:p w:rsidR="004C19DD" w:rsidRPr="004C19DD" w:rsidP="004C19DD" w14:paraId="0A2823A8" w14:textId="521D5384">
            <w:pPr>
              <w:jc w:val="center"/>
              <w:rPr>
                <w:sz w:val="20"/>
              </w:rPr>
            </w:pPr>
            <w:r>
              <w:rPr>
                <w:sz w:val="20"/>
              </w:rPr>
              <w:t>10</w:t>
            </w:r>
          </w:p>
        </w:tc>
        <w:tc>
          <w:tcPr>
            <w:tcW w:w="672" w:type="dxa"/>
            <w:vAlign w:val="center"/>
          </w:tcPr>
          <w:p w:rsidR="004C19DD" w:rsidRPr="004C19DD" w:rsidP="004C19DD" w14:paraId="40ECA153" w14:textId="4A19D169">
            <w:pPr>
              <w:jc w:val="center"/>
              <w:rPr>
                <w:sz w:val="20"/>
              </w:rPr>
            </w:pPr>
            <w:r>
              <w:rPr>
                <w:sz w:val="20"/>
              </w:rPr>
              <w:t>10</w:t>
            </w:r>
          </w:p>
        </w:tc>
        <w:tc>
          <w:tcPr>
            <w:tcW w:w="672" w:type="dxa"/>
            <w:vAlign w:val="center"/>
          </w:tcPr>
          <w:p w:rsidR="004C19DD" w:rsidRPr="004C19DD" w:rsidP="004C19DD" w14:paraId="50F5B6F5" w14:textId="5B83768B">
            <w:pPr>
              <w:jc w:val="center"/>
              <w:rPr>
                <w:sz w:val="20"/>
              </w:rPr>
            </w:pPr>
            <w:r>
              <w:rPr>
                <w:sz w:val="20"/>
              </w:rPr>
              <w:t>10</w:t>
            </w:r>
          </w:p>
        </w:tc>
        <w:tc>
          <w:tcPr>
            <w:tcW w:w="672" w:type="dxa"/>
            <w:vAlign w:val="center"/>
          </w:tcPr>
          <w:p w:rsidR="004C19DD" w:rsidRPr="004C19DD" w:rsidP="004C19DD" w14:paraId="7D78AB9E" w14:textId="5D67A4AF">
            <w:pPr>
              <w:jc w:val="center"/>
              <w:rPr>
                <w:sz w:val="20"/>
              </w:rPr>
            </w:pPr>
            <w:r>
              <w:rPr>
                <w:sz w:val="20"/>
              </w:rPr>
              <w:t>10</w:t>
            </w:r>
          </w:p>
        </w:tc>
        <w:tc>
          <w:tcPr>
            <w:tcW w:w="674" w:type="dxa"/>
            <w:vAlign w:val="center"/>
          </w:tcPr>
          <w:p w:rsidR="004C19DD" w:rsidRPr="004C19DD" w:rsidP="004C19DD" w14:paraId="195CCBB4" w14:textId="6C25C6E1">
            <w:pPr>
              <w:jc w:val="center"/>
              <w:rPr>
                <w:sz w:val="20"/>
              </w:rPr>
            </w:pPr>
            <w:r>
              <w:rPr>
                <w:sz w:val="20"/>
              </w:rPr>
              <w:t>10</w:t>
            </w:r>
          </w:p>
        </w:tc>
        <w:tc>
          <w:tcPr>
            <w:tcW w:w="666" w:type="dxa"/>
            <w:vAlign w:val="center"/>
          </w:tcPr>
          <w:p w:rsidR="004C19DD" w:rsidP="004C19DD" w14:paraId="17FF833F" w14:textId="004BA8DE">
            <w:pPr>
              <w:jc w:val="center"/>
              <w:rPr>
                <w:sz w:val="20"/>
              </w:rPr>
            </w:pPr>
            <w:r>
              <w:rPr>
                <w:sz w:val="20"/>
              </w:rPr>
              <w:t>10</w:t>
            </w:r>
          </w:p>
        </w:tc>
      </w:tr>
      <w:tr w14:paraId="116E29F0" w14:textId="649493FF" w:rsidTr="00F01B0B">
        <w:tblPrEx>
          <w:tblW w:w="7840" w:type="dxa"/>
          <w:jc w:val="center"/>
          <w:tblLook w:val="04A0"/>
        </w:tblPrEx>
        <w:trPr>
          <w:jc w:val="center"/>
        </w:trPr>
        <w:tc>
          <w:tcPr>
            <w:tcW w:w="1123" w:type="dxa"/>
          </w:tcPr>
          <w:p w:rsidR="004C19DD" w:rsidRPr="004C19DD" w:rsidP="004C19DD" w14:paraId="7B888078" w14:textId="77777777">
            <w:pPr>
              <w:spacing w:before="60" w:after="60"/>
              <w:jc w:val="both"/>
              <w:rPr>
                <w:sz w:val="20"/>
              </w:rPr>
            </w:pPr>
            <w:r w:rsidRPr="004C19DD">
              <w:rPr>
                <w:sz w:val="20"/>
              </w:rPr>
              <w:t>PSD, %</w:t>
            </w:r>
          </w:p>
        </w:tc>
        <w:tc>
          <w:tcPr>
            <w:tcW w:w="673" w:type="dxa"/>
          </w:tcPr>
          <w:p w:rsidR="004C19DD" w:rsidRPr="004C19DD" w:rsidP="004C19DD" w14:paraId="23D3F354" w14:textId="47D56D44">
            <w:pPr>
              <w:spacing w:before="60" w:after="60"/>
              <w:jc w:val="center"/>
              <w:rPr>
                <w:sz w:val="20"/>
              </w:rPr>
            </w:pPr>
            <w:r>
              <w:rPr>
                <w:sz w:val="20"/>
              </w:rPr>
              <w:t>15</w:t>
            </w:r>
          </w:p>
        </w:tc>
        <w:tc>
          <w:tcPr>
            <w:tcW w:w="672" w:type="dxa"/>
          </w:tcPr>
          <w:p w:rsidR="004C19DD" w:rsidRPr="004C19DD" w:rsidP="004C19DD" w14:paraId="152A9916" w14:textId="61CDAD82">
            <w:pPr>
              <w:spacing w:before="60" w:after="60"/>
              <w:jc w:val="center"/>
              <w:rPr>
                <w:sz w:val="20"/>
              </w:rPr>
            </w:pPr>
            <w:r>
              <w:rPr>
                <w:sz w:val="20"/>
              </w:rPr>
              <w:t>20</w:t>
            </w:r>
          </w:p>
        </w:tc>
        <w:tc>
          <w:tcPr>
            <w:tcW w:w="672" w:type="dxa"/>
          </w:tcPr>
          <w:p w:rsidR="004C19DD" w:rsidRPr="004C19DD" w:rsidP="004C19DD" w14:paraId="1E3FA3FB" w14:textId="2A862BF8">
            <w:pPr>
              <w:spacing w:before="60" w:after="60"/>
              <w:jc w:val="center"/>
              <w:rPr>
                <w:sz w:val="20"/>
              </w:rPr>
            </w:pPr>
            <w:r>
              <w:rPr>
                <w:sz w:val="20"/>
              </w:rPr>
              <w:t>25</w:t>
            </w:r>
          </w:p>
        </w:tc>
        <w:tc>
          <w:tcPr>
            <w:tcW w:w="672" w:type="dxa"/>
            <w:vAlign w:val="center"/>
          </w:tcPr>
          <w:p w:rsidR="004C19DD" w:rsidRPr="004C19DD" w:rsidP="006D2AAC" w14:paraId="3EB57787" w14:textId="6673A454">
            <w:pPr>
              <w:spacing w:before="60" w:after="60"/>
              <w:jc w:val="center"/>
              <w:rPr>
                <w:sz w:val="20"/>
              </w:rPr>
            </w:pPr>
            <w:r>
              <w:rPr>
                <w:sz w:val="20"/>
              </w:rPr>
              <w:t>18</w:t>
            </w:r>
          </w:p>
        </w:tc>
        <w:tc>
          <w:tcPr>
            <w:tcW w:w="672" w:type="dxa"/>
            <w:vAlign w:val="center"/>
          </w:tcPr>
          <w:p w:rsidR="004C19DD" w:rsidRPr="004C19DD" w:rsidP="004C19DD" w14:paraId="52B73A4D" w14:textId="77777777">
            <w:pPr>
              <w:spacing w:before="60" w:after="60"/>
              <w:jc w:val="center"/>
              <w:rPr>
                <w:sz w:val="20"/>
              </w:rPr>
            </w:pPr>
            <w:r w:rsidRPr="004C19DD">
              <w:rPr>
                <w:sz w:val="20"/>
              </w:rPr>
              <w:t>22</w:t>
            </w:r>
          </w:p>
        </w:tc>
        <w:tc>
          <w:tcPr>
            <w:tcW w:w="672" w:type="dxa"/>
            <w:vAlign w:val="center"/>
          </w:tcPr>
          <w:p w:rsidR="004C19DD" w:rsidRPr="004C19DD" w:rsidP="004C19DD" w14:paraId="5A448805" w14:textId="4F301F43">
            <w:pPr>
              <w:spacing w:before="60" w:after="60"/>
              <w:jc w:val="center"/>
              <w:rPr>
                <w:sz w:val="20"/>
              </w:rPr>
            </w:pPr>
            <w:r>
              <w:rPr>
                <w:sz w:val="20"/>
              </w:rPr>
              <w:t>15</w:t>
            </w:r>
          </w:p>
        </w:tc>
        <w:tc>
          <w:tcPr>
            <w:tcW w:w="672" w:type="dxa"/>
            <w:vAlign w:val="center"/>
          </w:tcPr>
          <w:p w:rsidR="004C19DD" w:rsidRPr="004C19DD" w:rsidP="004C19DD" w14:paraId="1222FED0" w14:textId="77777777">
            <w:pPr>
              <w:spacing w:before="60" w:after="60"/>
              <w:jc w:val="center"/>
              <w:rPr>
                <w:sz w:val="20"/>
              </w:rPr>
            </w:pPr>
            <w:r w:rsidRPr="004C19DD">
              <w:rPr>
                <w:sz w:val="20"/>
              </w:rPr>
              <w:t>20</w:t>
            </w:r>
          </w:p>
        </w:tc>
        <w:tc>
          <w:tcPr>
            <w:tcW w:w="672" w:type="dxa"/>
          </w:tcPr>
          <w:p w:rsidR="004C19DD" w:rsidRPr="004C19DD" w:rsidP="004C19DD" w14:paraId="2D67E5A5" w14:textId="7D741330">
            <w:pPr>
              <w:spacing w:before="60" w:after="60"/>
              <w:jc w:val="center"/>
              <w:rPr>
                <w:sz w:val="20"/>
              </w:rPr>
            </w:pPr>
            <w:r>
              <w:rPr>
                <w:sz w:val="20"/>
              </w:rPr>
              <w:t>15</w:t>
            </w:r>
          </w:p>
        </w:tc>
        <w:tc>
          <w:tcPr>
            <w:tcW w:w="674" w:type="dxa"/>
          </w:tcPr>
          <w:p w:rsidR="004C19DD" w:rsidRPr="004C19DD" w:rsidP="004C19DD" w14:paraId="05E1A77D" w14:textId="69110F1F">
            <w:pPr>
              <w:spacing w:before="60" w:after="60"/>
              <w:jc w:val="center"/>
              <w:rPr>
                <w:sz w:val="20"/>
              </w:rPr>
            </w:pPr>
            <w:r>
              <w:rPr>
                <w:sz w:val="20"/>
              </w:rPr>
              <w:t>10</w:t>
            </w:r>
          </w:p>
        </w:tc>
        <w:tc>
          <w:tcPr>
            <w:tcW w:w="666" w:type="dxa"/>
          </w:tcPr>
          <w:p w:rsidR="004C19DD" w:rsidRPr="004C19DD" w:rsidP="004C19DD" w14:paraId="32FE7F58" w14:textId="07EC355E">
            <w:pPr>
              <w:spacing w:before="60" w:after="60"/>
              <w:jc w:val="center"/>
              <w:rPr>
                <w:sz w:val="20"/>
              </w:rPr>
            </w:pPr>
            <w:r>
              <w:rPr>
                <w:sz w:val="20"/>
              </w:rPr>
              <w:t>24</w:t>
            </w:r>
          </w:p>
        </w:tc>
      </w:tr>
      <w:tr w14:paraId="37C989A4" w14:textId="7EBCDC2E" w:rsidTr="006D2AAC">
        <w:tblPrEx>
          <w:tblW w:w="7840" w:type="dxa"/>
          <w:jc w:val="center"/>
          <w:tblLook w:val="04A0"/>
        </w:tblPrEx>
        <w:trPr>
          <w:jc w:val="center"/>
        </w:trPr>
        <w:tc>
          <w:tcPr>
            <w:tcW w:w="1123" w:type="dxa"/>
          </w:tcPr>
          <w:p w:rsidR="004C19DD" w:rsidRPr="004C19DD" w:rsidP="004C19DD" w14:paraId="4A4B9C2D" w14:textId="77777777">
            <w:pPr>
              <w:spacing w:before="60" w:after="60"/>
              <w:jc w:val="both"/>
              <w:rPr>
                <w:sz w:val="20"/>
              </w:rPr>
            </w:pPr>
            <w:r w:rsidRPr="004C19DD">
              <w:rPr>
                <w:sz w:val="20"/>
              </w:rPr>
              <w:t>Jāatmaksā, EUR</w:t>
            </w:r>
          </w:p>
        </w:tc>
        <w:tc>
          <w:tcPr>
            <w:tcW w:w="673" w:type="dxa"/>
            <w:vAlign w:val="center"/>
          </w:tcPr>
          <w:p w:rsidR="004C19DD" w:rsidRPr="004C19DD" w:rsidP="004C19DD" w14:paraId="4305BBEB" w14:textId="19F0EA53">
            <w:pPr>
              <w:spacing w:before="60" w:after="60"/>
              <w:jc w:val="center"/>
              <w:rPr>
                <w:sz w:val="20"/>
              </w:rPr>
            </w:pPr>
            <w:r>
              <w:rPr>
                <w:sz w:val="20"/>
              </w:rPr>
              <w:t>0</w:t>
            </w:r>
          </w:p>
        </w:tc>
        <w:tc>
          <w:tcPr>
            <w:tcW w:w="672" w:type="dxa"/>
            <w:vAlign w:val="center"/>
          </w:tcPr>
          <w:p w:rsidR="004C19DD" w:rsidRPr="004C19DD" w:rsidP="004C19DD" w14:paraId="4E06F20C" w14:textId="4A5A37C3">
            <w:pPr>
              <w:spacing w:before="60" w:after="60"/>
              <w:jc w:val="center"/>
              <w:rPr>
                <w:sz w:val="20"/>
              </w:rPr>
            </w:pPr>
            <w:r>
              <w:rPr>
                <w:sz w:val="20"/>
              </w:rPr>
              <w:t>0</w:t>
            </w:r>
          </w:p>
        </w:tc>
        <w:tc>
          <w:tcPr>
            <w:tcW w:w="672" w:type="dxa"/>
            <w:vAlign w:val="center"/>
          </w:tcPr>
          <w:p w:rsidR="004C19DD" w:rsidRPr="004C19DD" w:rsidP="004C19DD" w14:paraId="7B80A1BA" w14:textId="61506B82">
            <w:pPr>
              <w:spacing w:before="60" w:after="60"/>
              <w:jc w:val="center"/>
              <w:rPr>
                <w:sz w:val="20"/>
              </w:rPr>
            </w:pPr>
            <w:r>
              <w:rPr>
                <w:sz w:val="20"/>
              </w:rPr>
              <w:t>2</w:t>
            </w:r>
            <w:r w:rsidR="004E0231">
              <w:rPr>
                <w:sz w:val="20"/>
              </w:rPr>
              <w:t>500</w:t>
            </w:r>
          </w:p>
        </w:tc>
        <w:tc>
          <w:tcPr>
            <w:tcW w:w="672" w:type="dxa"/>
            <w:vAlign w:val="center"/>
          </w:tcPr>
          <w:p w:rsidR="004C19DD" w:rsidRPr="004C19DD" w:rsidP="004C19DD" w14:paraId="51B348D5" w14:textId="021A03DE">
            <w:pPr>
              <w:spacing w:before="60" w:after="60"/>
              <w:jc w:val="center"/>
              <w:rPr>
                <w:sz w:val="20"/>
              </w:rPr>
            </w:pPr>
            <w:r>
              <w:rPr>
                <w:sz w:val="20"/>
              </w:rPr>
              <w:t>0</w:t>
            </w:r>
          </w:p>
        </w:tc>
        <w:tc>
          <w:tcPr>
            <w:tcW w:w="672" w:type="dxa"/>
            <w:vAlign w:val="center"/>
          </w:tcPr>
          <w:p w:rsidR="004C19DD" w:rsidRPr="004C19DD" w:rsidP="004C19DD" w14:paraId="65FDEF17" w14:textId="653946A5">
            <w:pPr>
              <w:spacing w:before="60" w:after="60"/>
              <w:jc w:val="center"/>
              <w:rPr>
                <w:sz w:val="20"/>
              </w:rPr>
            </w:pPr>
            <w:r>
              <w:rPr>
                <w:sz w:val="20"/>
              </w:rPr>
              <w:t>2200</w:t>
            </w:r>
          </w:p>
        </w:tc>
        <w:tc>
          <w:tcPr>
            <w:tcW w:w="672" w:type="dxa"/>
            <w:vAlign w:val="center"/>
          </w:tcPr>
          <w:p w:rsidR="004C19DD" w:rsidRPr="004C19DD" w:rsidP="004C19DD" w14:paraId="59CA2BC8" w14:textId="042C3F4F">
            <w:pPr>
              <w:spacing w:before="60" w:after="60"/>
              <w:jc w:val="center"/>
              <w:rPr>
                <w:sz w:val="20"/>
              </w:rPr>
            </w:pPr>
            <w:r>
              <w:rPr>
                <w:sz w:val="20"/>
              </w:rPr>
              <w:t>0</w:t>
            </w:r>
          </w:p>
        </w:tc>
        <w:tc>
          <w:tcPr>
            <w:tcW w:w="672" w:type="dxa"/>
            <w:vAlign w:val="center"/>
          </w:tcPr>
          <w:p w:rsidR="004C19DD" w:rsidRPr="004C19DD" w:rsidP="004C19DD" w14:paraId="3BFE7D1C" w14:textId="3B130ED3">
            <w:pPr>
              <w:spacing w:before="60" w:after="60"/>
              <w:jc w:val="center"/>
              <w:rPr>
                <w:sz w:val="20"/>
              </w:rPr>
            </w:pPr>
            <w:r>
              <w:rPr>
                <w:sz w:val="20"/>
              </w:rPr>
              <w:t>0</w:t>
            </w:r>
          </w:p>
        </w:tc>
        <w:tc>
          <w:tcPr>
            <w:tcW w:w="672" w:type="dxa"/>
            <w:vAlign w:val="center"/>
          </w:tcPr>
          <w:p w:rsidR="004C19DD" w:rsidRPr="004C19DD" w:rsidP="004C19DD" w14:paraId="6E0BFAA7" w14:textId="652C90D1">
            <w:pPr>
              <w:spacing w:before="60" w:after="60"/>
              <w:jc w:val="center"/>
              <w:rPr>
                <w:sz w:val="20"/>
              </w:rPr>
            </w:pPr>
            <w:r>
              <w:rPr>
                <w:sz w:val="20"/>
              </w:rPr>
              <w:t>0</w:t>
            </w:r>
          </w:p>
        </w:tc>
        <w:tc>
          <w:tcPr>
            <w:tcW w:w="674" w:type="dxa"/>
            <w:vAlign w:val="center"/>
          </w:tcPr>
          <w:p w:rsidR="004C19DD" w:rsidRPr="004C19DD" w:rsidP="004C19DD" w14:paraId="5C9BD439" w14:textId="79BC7C70">
            <w:pPr>
              <w:spacing w:before="60" w:after="60"/>
              <w:jc w:val="center"/>
              <w:rPr>
                <w:sz w:val="20"/>
              </w:rPr>
            </w:pPr>
            <w:r>
              <w:rPr>
                <w:sz w:val="20"/>
              </w:rPr>
              <w:t>0</w:t>
            </w:r>
          </w:p>
        </w:tc>
        <w:tc>
          <w:tcPr>
            <w:tcW w:w="666" w:type="dxa"/>
            <w:vAlign w:val="center"/>
          </w:tcPr>
          <w:p w:rsidR="004C19DD" w:rsidRPr="004C19DD" w:rsidP="004C19DD" w14:paraId="2E57C646" w14:textId="68E93A37">
            <w:pPr>
              <w:spacing w:before="60" w:after="60"/>
              <w:jc w:val="center"/>
              <w:rPr>
                <w:sz w:val="20"/>
              </w:rPr>
            </w:pPr>
            <w:r>
              <w:rPr>
                <w:sz w:val="20"/>
              </w:rPr>
              <w:t>2400</w:t>
            </w:r>
          </w:p>
        </w:tc>
      </w:tr>
    </w:tbl>
    <w:p w:rsidR="006E6DDA" w:rsidRPr="00D27D4C" w:rsidP="00800829" w14:paraId="72C9F0E6" w14:textId="63DA12AD">
      <w:pPr>
        <w:pStyle w:val="ListParagraph"/>
        <w:numPr>
          <w:ilvl w:val="0"/>
          <w:numId w:val="10"/>
        </w:numPr>
        <w:spacing w:before="120" w:after="120"/>
        <w:ind w:left="714" w:hanging="357"/>
        <w:contextualSpacing w:val="0"/>
        <w:jc w:val="both"/>
      </w:pPr>
      <m:oMath>
        <m:r>
          <m:rPr>
            <m:sty m:val="p"/>
          </m:rPr>
          <w:rPr>
            <w:rFonts w:ascii="Cambria Math" w:hAnsi="Cambria Math"/>
            <w:sz w:val="22"/>
          </w:rPr>
          <m:t>Projekta dzīves cikla ikgadējā daļa</m:t>
        </m:r>
        <m:r>
          <w:rPr>
            <w:rFonts w:ascii="Cambria Math" w:hAnsi="Cambria Math"/>
            <w:sz w:val="22"/>
          </w:rPr>
          <m:t>=</m:t>
        </m:r>
        <m:f>
          <m:fPr>
            <m:ctrlPr>
              <w:rPr>
                <w:rFonts w:ascii="Cambria Math" w:hAnsi="Cambria Math"/>
                <w:i/>
                <w:sz w:val="22"/>
              </w:rPr>
            </m:ctrlPr>
          </m:fPr>
          <m:num>
            <m:r>
              <w:rPr>
                <w:rFonts w:ascii="Cambria Math" w:hAnsi="Cambria Math"/>
                <w:sz w:val="22"/>
              </w:rPr>
              <m:t>100 000</m:t>
            </m:r>
          </m:num>
          <m:den>
            <m:r>
              <w:rPr>
                <w:rFonts w:ascii="Cambria Math" w:hAnsi="Cambria Math"/>
                <w:sz w:val="22"/>
              </w:rPr>
              <m:t>10</m:t>
            </m:r>
          </m:den>
        </m:f>
        <m:r>
          <w:rPr>
            <w:rFonts w:ascii="Cambria Math" w:hAnsi="Cambria Math"/>
            <w:sz w:val="22"/>
          </w:rPr>
          <m:t>=10 000 EUR</m:t>
        </m:r>
      </m:oMath>
    </w:p>
    <w:p w:rsidR="00661507" w:rsidRPr="00D27D4C" w:rsidP="002B689F" w14:paraId="16409AFC" w14:textId="1D125F5E">
      <w:pPr>
        <w:pStyle w:val="ListParagraph"/>
        <w:numPr>
          <w:ilvl w:val="0"/>
          <w:numId w:val="10"/>
        </w:numPr>
        <w:spacing w:before="120" w:after="120"/>
        <w:ind w:left="714" w:hanging="357"/>
        <w:contextualSpacing w:val="0"/>
        <w:jc w:val="both"/>
      </w:pPr>
      <w:r w:rsidRPr="00D27D4C">
        <w:t xml:space="preserve">Par </w:t>
      </w:r>
      <w:r w:rsidRPr="00D27D4C" w:rsidR="00B61622">
        <w:t>202</w:t>
      </w:r>
      <w:r w:rsidR="00B61622">
        <w:t>7</w:t>
      </w:r>
      <w:r w:rsidRPr="00D27D4C">
        <w:t>.gad</w:t>
      </w:r>
      <w:r w:rsidRPr="00D27D4C">
        <w:t>u</w:t>
      </w:r>
      <w:r w:rsidRPr="00D27D4C">
        <w:t xml:space="preserve"> jāatmaksā</w:t>
      </w:r>
      <w:r w:rsidRPr="00D27D4C" w:rsidR="004E0231">
        <w:t xml:space="preserve"> </w:t>
      </w:r>
      <m:oMath>
        <m:r>
          <w:rPr>
            <w:rFonts w:ascii="Cambria Math" w:hAnsi="Cambria Math"/>
          </w:rPr>
          <m:t>=10 000×0,25=2500 EUR</m:t>
        </m:r>
      </m:oMath>
    </w:p>
    <w:p w:rsidR="00661507" w:rsidRPr="00D27D4C" w:rsidP="002B689F" w14:paraId="61869190" w14:textId="7FF8547C">
      <w:pPr>
        <w:pStyle w:val="ListParagraph"/>
        <w:numPr>
          <w:ilvl w:val="0"/>
          <w:numId w:val="10"/>
        </w:numPr>
        <w:spacing w:before="120" w:after="120"/>
        <w:ind w:left="714" w:hanging="357"/>
        <w:contextualSpacing w:val="0"/>
        <w:jc w:val="both"/>
      </w:pPr>
      <w:r w:rsidRPr="00D27D4C">
        <w:t xml:space="preserve">Par </w:t>
      </w:r>
      <w:r w:rsidRPr="00D27D4C" w:rsidR="00B61622">
        <w:t>202</w:t>
      </w:r>
      <w:r w:rsidR="00B61622">
        <w:t>9</w:t>
      </w:r>
      <w:r w:rsidRPr="00D27D4C">
        <w:t>.gad</w:t>
      </w:r>
      <w:r w:rsidRPr="00D27D4C">
        <w:t>u</w:t>
      </w:r>
      <w:r w:rsidRPr="00D27D4C">
        <w:t xml:space="preserve"> jāatmaksā</w:t>
      </w:r>
      <w:r w:rsidRPr="00D27D4C" w:rsidR="002B689F">
        <w:t xml:space="preserve"> </w:t>
      </w:r>
      <m:oMath>
        <m:r>
          <w:rPr>
            <w:rFonts w:ascii="Cambria Math" w:hAnsi="Cambria Math"/>
          </w:rPr>
          <m:t>=10 000×0,22=2200 EUR</m:t>
        </m:r>
      </m:oMath>
    </w:p>
    <w:p w:rsidR="00661507" w:rsidRPr="00D27D4C" w:rsidP="002B689F" w14:paraId="6D6D284C" w14:textId="5695915D">
      <w:pPr>
        <w:pStyle w:val="ListParagraph"/>
        <w:numPr>
          <w:ilvl w:val="0"/>
          <w:numId w:val="10"/>
        </w:numPr>
        <w:spacing w:before="120" w:after="120"/>
        <w:ind w:left="714" w:hanging="357"/>
        <w:contextualSpacing w:val="0"/>
        <w:jc w:val="both"/>
      </w:pPr>
      <w:r w:rsidRPr="00D27D4C">
        <w:t xml:space="preserve">Par </w:t>
      </w:r>
      <w:r w:rsidRPr="00D27D4C">
        <w:t>20</w:t>
      </w:r>
      <w:r w:rsidR="00B61622">
        <w:t>34</w:t>
      </w:r>
      <w:r w:rsidRPr="00D27D4C">
        <w:t>.gad</w:t>
      </w:r>
      <w:r w:rsidRPr="00D27D4C">
        <w:t>u</w:t>
      </w:r>
      <w:r w:rsidRPr="00D27D4C">
        <w:t xml:space="preserve"> jāatmaksā</w:t>
      </w:r>
      <w:r w:rsidRPr="00D27D4C" w:rsidR="002B689F">
        <w:t xml:space="preserve"> </w:t>
      </w:r>
      <m:oMath>
        <m:r>
          <w:rPr>
            <w:rFonts w:ascii="Cambria Math" w:hAnsi="Cambria Math"/>
          </w:rPr>
          <m:t>=10 000×0,24=2400 EUR</m:t>
        </m:r>
      </m:oMath>
    </w:p>
    <w:p w:rsidR="005054BA" w:rsidRPr="00D27D4C" w:rsidP="005054BA" w14:paraId="146358A5" w14:textId="41DC94C5">
      <w:pPr>
        <w:pStyle w:val="ListParagraph"/>
        <w:numPr>
          <w:ilvl w:val="0"/>
          <w:numId w:val="10"/>
        </w:numPr>
        <w:spacing w:before="120" w:after="120"/>
        <w:contextualSpacing w:val="0"/>
        <w:jc w:val="both"/>
      </w:pPr>
      <w:r w:rsidRPr="00D27D4C">
        <w:t xml:space="preserve">Finansējuma </w:t>
      </w:r>
      <w:r w:rsidRPr="00D27D4C" w:rsidR="007E1C92">
        <w:t>saņēmējs projekta dzīves cikla periodā</w:t>
      </w:r>
      <w:r w:rsidRPr="00D27D4C">
        <w:t xml:space="preserve"> kopā atmaksās </w:t>
      </w:r>
      <w:r w:rsidRPr="00D27D4C" w:rsidR="00B42244">
        <w:t>7100</w:t>
      </w:r>
      <w:r w:rsidRPr="00D27D4C">
        <w:t xml:space="preserve"> EUR.</w:t>
      </w:r>
    </w:p>
    <w:p w:rsidR="007A77D5" w:rsidP="006059AF" w14:paraId="08CA4E32" w14:textId="3345C4E4">
      <w:pPr>
        <w:spacing w:after="160" w:line="259" w:lineRule="auto"/>
        <w:jc w:val="both"/>
      </w:pPr>
      <w:r>
        <w:t>4.4</w:t>
      </w:r>
      <w:r w:rsidRPr="003655E3">
        <w:t>.</w:t>
      </w:r>
      <w:r w:rsidRPr="003655E3">
        <w:tab/>
        <w:t xml:space="preserve">Ja iepriekš vai uz projekta iesniegšanas brīdi tiek veikta cita saimnieciskā darbība, </w:t>
      </w:r>
      <w:r w:rsidRPr="00ED7317" w:rsidR="00DB5825">
        <w:t>VTMEC</w:t>
      </w:r>
      <w:r w:rsidRPr="003655E3">
        <w:t xml:space="preserve"> var apliecināt, ka tas līdz ar projekta uzsākšanu pārtrauks citu saimniecisko darbību ēkās, par kurām iesniegts projekta iesniegums. Veiktā apņemšanās jāievēro visu projekta dzīves ciklu.</w:t>
      </w:r>
    </w:p>
    <w:sectPr>
      <w:headerReference w:type="default" r:id="rId9"/>
      <w:footerReference w:type="defaul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0026520"/>
      <w:docPartObj>
        <w:docPartGallery w:val="Page Numbers (Bottom of Page)"/>
        <w:docPartUnique/>
      </w:docPartObj>
    </w:sdtPr>
    <w:sdtEndPr>
      <w:rPr>
        <w:noProof/>
      </w:rPr>
    </w:sdtEndPr>
    <w:sdtContent>
      <w:p w:rsidR="00576C67" w14:paraId="462119CF" w14:textId="185E5677">
        <w:pPr>
          <w:pStyle w:val="Footer"/>
          <w:jc w:val="center"/>
        </w:pPr>
        <w:r>
          <w:fldChar w:fldCharType="begin"/>
        </w:r>
        <w:r>
          <w:instrText xml:space="preserve"> PAGE   \* MERGEFORMAT </w:instrText>
        </w:r>
        <w:r>
          <w:fldChar w:fldCharType="separate"/>
        </w:r>
        <w:r w:rsidR="005F6A64">
          <w:rPr>
            <w:noProof/>
          </w:rPr>
          <w:t>6</w:t>
        </w:r>
        <w:r>
          <w:rPr>
            <w:noProof/>
          </w:rPr>
          <w:fldChar w:fldCharType="end"/>
        </w:r>
      </w:p>
    </w:sdtContent>
  </w:sdt>
  <w:p w:rsidR="00576C67" w14:paraId="6059CE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7425" w:rsidP="00B46C75" w14:paraId="0300C718" w14:textId="77777777">
      <w:r>
        <w:separator/>
      </w:r>
    </w:p>
  </w:footnote>
  <w:footnote w:type="continuationSeparator" w:id="1">
    <w:p w:rsidR="00DF7425" w:rsidP="00B46C75" w14:paraId="4502917E" w14:textId="77777777">
      <w:r>
        <w:continuationSeparator/>
      </w:r>
    </w:p>
  </w:footnote>
  <w:footnote w:type="continuationNotice" w:id="2">
    <w:p w:rsidR="00DF7425" w14:paraId="6BCF1F9D" w14:textId="77777777"/>
  </w:footnote>
  <w:footnote w:id="3">
    <w:p w:rsidR="00576C67" w14:paraId="2BE5A43D" w14:textId="79CD6665">
      <w:pPr>
        <w:pStyle w:val="FootnoteText"/>
      </w:pPr>
      <w:r>
        <w:rPr>
          <w:rStyle w:val="FootnoteReference"/>
        </w:rPr>
        <w:footnoteRef/>
      </w:r>
      <w:r>
        <w:t xml:space="preserve"> </w:t>
      </w:r>
      <w:r w:rsidRPr="005F5508">
        <w:t>Tiesas 1987. gada 16. jūnija spriedumu Komisija/Itālija, 118/85, ECLI:EU:C:1987:283, 7. punkts; Tiesas 1998. gada 18. jūnija spriedumu Komisija/Itālija, C-35/96, ECLI:EU:C:1998:303, 36. punkts; Tiesas 2000. gada 12. septembra spriedumu Pavlov un citi, apvienotās lietas no C-180/98 līdz C-184/98, ECLI:EU:C:2000:428, 75. punkts</w:t>
      </w:r>
    </w:p>
  </w:footnote>
  <w:footnote w:id="4">
    <w:p w:rsidR="00576C67" w:rsidP="00956A5F" w14:paraId="2F5619B1" w14:textId="2E57BF1B">
      <w:pPr>
        <w:pStyle w:val="FootnoteText"/>
      </w:pPr>
      <w:r w:rsidRPr="0069187B">
        <w:rPr>
          <w:rStyle w:val="FootnoteReference"/>
        </w:rPr>
        <w:footnoteRef/>
      </w:r>
      <w:r w:rsidRPr="0069187B">
        <w:t xml:space="preserve"> Projekta dzīves ciklu nosaka atbilstoši Komisijas 2014.gada 3.marta Deleģētās Regulas (ES)</w:t>
      </w:r>
      <w:r w:rsidRPr="00956A5F">
        <w:t xml:space="preserve">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t xml:space="preserve"> (turpmāk – </w:t>
      </w:r>
      <w:r w:rsidRPr="00956A5F">
        <w:t xml:space="preserve">Deleģētā </w:t>
      </w:r>
      <w:r>
        <w:t>r</w:t>
      </w:r>
      <w:r w:rsidRPr="00956A5F">
        <w:t>egula</w:t>
      </w:r>
      <w:r>
        <w:t xml:space="preserve"> </w:t>
      </w:r>
      <w:r w:rsidRPr="00956A5F">
        <w:t>Nr.480/2014</w:t>
      </w:r>
      <w:r>
        <w:t>)</w:t>
      </w:r>
      <w:r w:rsidRPr="00956A5F">
        <w:t xml:space="preserve"> I pielikumam, kas piemērojams atkarībā</w:t>
      </w:r>
      <w:r>
        <w:t xml:space="preserve"> no projekta investīciju jomas. Metodikā noteikts dzīves cikls “Citai nozarei” atbilstoši </w:t>
      </w:r>
      <w:r w:rsidRPr="00956A5F">
        <w:t xml:space="preserve">Deleģētā </w:t>
      </w:r>
      <w:r>
        <w:t>r</w:t>
      </w:r>
      <w:r w:rsidRPr="00956A5F">
        <w:t>egula</w:t>
      </w:r>
      <w:r>
        <w:t xml:space="preserve">s </w:t>
      </w:r>
      <w:r w:rsidRPr="00956A5F">
        <w:t>Nr.480/2014</w:t>
      </w:r>
      <w:r>
        <w:t xml:space="preserve"> sadalījumam.</w:t>
      </w:r>
    </w:p>
  </w:footnote>
  <w:footnote w:id="5">
    <w:p w:rsidR="00576C67" w14:paraId="6A962275" w14:textId="64B96C20">
      <w:pPr>
        <w:pStyle w:val="FootnoteText"/>
      </w:pPr>
      <w:r>
        <w:rPr>
          <w:rStyle w:val="FootnoteReference"/>
        </w:rPr>
        <w:footnoteRef/>
      </w:r>
      <w:r>
        <w:t xml:space="preserve"> Igaunijas 17.11.2016. uzdots jautājums par </w:t>
      </w:r>
      <w:r w:rsidRPr="001644FA">
        <w:t>Komisijas 2014.gada 17.jūnija Regulas (ES) Nr.651/2014 ar ko noteiktas atbalsta kategorijas atzīst par saderīgām ar iekšējo tirgu, piemērojot Līguma 107.un 108.pantu</w:t>
      </w:r>
      <w:r>
        <w:t xml:space="preserve"> 26.panta 7.punktu, un Eiropas Komisijas 22.02.2017. sniegtā atbilde par atgūšanas mehānismu un papildinošo saimniecisko darbību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B32" w:rsidRPr="00E043BD" w:rsidP="00DE1B32" w14:paraId="26EDD692" w14:textId="77777777">
    <w:pPr>
      <w:jc w:val="right"/>
    </w:pPr>
    <w:r>
      <w:t>Pielikums</w:t>
    </w:r>
  </w:p>
  <w:p w:rsidR="00DE1B32" w:rsidP="00DE1B32" w14:paraId="0D4D6267" w14:textId="77777777">
    <w:pPr>
      <w:pStyle w:val="Header"/>
      <w:jc w:val="right"/>
      <w:rPr>
        <w:sz w:val="28"/>
        <w:szCs w:val="28"/>
      </w:rPr>
    </w:pPr>
    <w:r w:rsidRPr="00F6432C">
      <w:t>Veselības ministrijas</w:t>
    </w:r>
    <w:r>
      <w:t xml:space="preserve"> </w:t>
    </w:r>
    <w:r w:rsidRPr="00F57FE1">
      <w:rPr>
        <w:noProof/>
        <w:u w:val="single"/>
      </w:rPr>
      <w:t>02.10.2023</w:t>
    </w:r>
  </w:p>
  <w:p w:rsidR="00DE1B32" w:rsidP="00DE1B32" w14:paraId="2BED5F55" w14:textId="6CC4C835">
    <w:pPr>
      <w:pStyle w:val="Header"/>
      <w:jc w:val="right"/>
    </w:pPr>
    <w:r>
      <w:t>rīkojumam</w:t>
    </w:r>
    <w:r w:rsidRPr="00E043BD">
      <w:t xml:space="preserve"> Nr. </w:t>
    </w:r>
    <w:r w:rsidRPr="001450BC">
      <w:rPr>
        <w:noProof/>
        <w:u w:val="single"/>
      </w:rPr>
      <w:t>01-01.1/131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EF669F"/>
    <w:multiLevelType w:val="hybridMultilevel"/>
    <w:tmpl w:val="B1B0255A"/>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814D1E"/>
    <w:multiLevelType w:val="hybridMultilevel"/>
    <w:tmpl w:val="A97EBE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245701"/>
    <w:multiLevelType w:val="multilevel"/>
    <w:tmpl w:val="EF28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C95BF9"/>
    <w:multiLevelType w:val="multilevel"/>
    <w:tmpl w:val="E702E2B2"/>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CF2BC7"/>
    <w:multiLevelType w:val="hybridMultilevel"/>
    <w:tmpl w:val="76227A9E"/>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5">
    <w:nsid w:val="43C51572"/>
    <w:multiLevelType w:val="hybridMultilevel"/>
    <w:tmpl w:val="8E606CC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5F6B90"/>
    <w:multiLevelType w:val="hybridMultilevel"/>
    <w:tmpl w:val="84AC4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CF5C65"/>
    <w:multiLevelType w:val="hybridMultilevel"/>
    <w:tmpl w:val="928ED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B8C5670"/>
    <w:multiLevelType w:val="hybridMultilevel"/>
    <w:tmpl w:val="B0E00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85A644F"/>
    <w:multiLevelType w:val="hybridMultilevel"/>
    <w:tmpl w:val="E60CE3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3938481">
    <w:abstractNumId w:val="3"/>
  </w:num>
  <w:num w:numId="2" w16cid:durableId="1717466139">
    <w:abstractNumId w:val="5"/>
  </w:num>
  <w:num w:numId="3" w16cid:durableId="233051607">
    <w:abstractNumId w:val="7"/>
  </w:num>
  <w:num w:numId="4" w16cid:durableId="677465144">
    <w:abstractNumId w:val="8"/>
  </w:num>
  <w:num w:numId="5" w16cid:durableId="396635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9894372">
    <w:abstractNumId w:val="4"/>
  </w:num>
  <w:num w:numId="7" w16cid:durableId="1777140670">
    <w:abstractNumId w:val="9"/>
  </w:num>
  <w:num w:numId="8" w16cid:durableId="809786883">
    <w:abstractNumId w:val="2"/>
  </w:num>
  <w:num w:numId="9" w16cid:durableId="1458110548">
    <w:abstractNumId w:val="6"/>
  </w:num>
  <w:num w:numId="10" w16cid:durableId="1375957683">
    <w:abstractNumId w:val="1"/>
  </w:num>
  <w:num w:numId="11" w16cid:durableId="148269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73"/>
    <w:rsid w:val="000043D7"/>
    <w:rsid w:val="00006AA6"/>
    <w:rsid w:val="00010917"/>
    <w:rsid w:val="00010A06"/>
    <w:rsid w:val="00011B26"/>
    <w:rsid w:val="00012D41"/>
    <w:rsid w:val="00021E6E"/>
    <w:rsid w:val="0002277E"/>
    <w:rsid w:val="00030134"/>
    <w:rsid w:val="00035373"/>
    <w:rsid w:val="00044087"/>
    <w:rsid w:val="00047665"/>
    <w:rsid w:val="00053E4C"/>
    <w:rsid w:val="00053FE4"/>
    <w:rsid w:val="00056D78"/>
    <w:rsid w:val="00071474"/>
    <w:rsid w:val="00072A40"/>
    <w:rsid w:val="00073C12"/>
    <w:rsid w:val="000775FF"/>
    <w:rsid w:val="00090172"/>
    <w:rsid w:val="00091F22"/>
    <w:rsid w:val="000937D0"/>
    <w:rsid w:val="00093AF8"/>
    <w:rsid w:val="00094D73"/>
    <w:rsid w:val="000974AE"/>
    <w:rsid w:val="000A068B"/>
    <w:rsid w:val="000A075A"/>
    <w:rsid w:val="000A0E45"/>
    <w:rsid w:val="000A1F78"/>
    <w:rsid w:val="000A4AE4"/>
    <w:rsid w:val="000B21B2"/>
    <w:rsid w:val="000B234A"/>
    <w:rsid w:val="000B3ADC"/>
    <w:rsid w:val="000B668E"/>
    <w:rsid w:val="000C4418"/>
    <w:rsid w:val="000C4D56"/>
    <w:rsid w:val="000C5CA1"/>
    <w:rsid w:val="000C5E5D"/>
    <w:rsid w:val="000C76B1"/>
    <w:rsid w:val="000D0C30"/>
    <w:rsid w:val="000D1FE0"/>
    <w:rsid w:val="000D285C"/>
    <w:rsid w:val="000D5B50"/>
    <w:rsid w:val="000E5D54"/>
    <w:rsid w:val="000F23A8"/>
    <w:rsid w:val="000F2B58"/>
    <w:rsid w:val="000F2C24"/>
    <w:rsid w:val="000F7774"/>
    <w:rsid w:val="00100428"/>
    <w:rsid w:val="00102289"/>
    <w:rsid w:val="00112696"/>
    <w:rsid w:val="00112B1F"/>
    <w:rsid w:val="00112B6C"/>
    <w:rsid w:val="001209DD"/>
    <w:rsid w:val="00124821"/>
    <w:rsid w:val="001253D6"/>
    <w:rsid w:val="00126650"/>
    <w:rsid w:val="001273F0"/>
    <w:rsid w:val="0013104D"/>
    <w:rsid w:val="001353F8"/>
    <w:rsid w:val="00140F22"/>
    <w:rsid w:val="001450BC"/>
    <w:rsid w:val="00145542"/>
    <w:rsid w:val="001457A0"/>
    <w:rsid w:val="001535C9"/>
    <w:rsid w:val="0015467B"/>
    <w:rsid w:val="00157130"/>
    <w:rsid w:val="0016325B"/>
    <w:rsid w:val="001644FA"/>
    <w:rsid w:val="0016760B"/>
    <w:rsid w:val="001700A7"/>
    <w:rsid w:val="00171FE5"/>
    <w:rsid w:val="00172A12"/>
    <w:rsid w:val="00182BD7"/>
    <w:rsid w:val="00182C1B"/>
    <w:rsid w:val="00182CAC"/>
    <w:rsid w:val="00184FF7"/>
    <w:rsid w:val="00186E4E"/>
    <w:rsid w:val="00192971"/>
    <w:rsid w:val="001A50A7"/>
    <w:rsid w:val="001A7467"/>
    <w:rsid w:val="001B055E"/>
    <w:rsid w:val="001B0A42"/>
    <w:rsid w:val="001B3DDA"/>
    <w:rsid w:val="001B4F4A"/>
    <w:rsid w:val="001B6F09"/>
    <w:rsid w:val="001C38DD"/>
    <w:rsid w:val="001C5EA7"/>
    <w:rsid w:val="001C5EED"/>
    <w:rsid w:val="001C62CD"/>
    <w:rsid w:val="001C6B8D"/>
    <w:rsid w:val="001D14B5"/>
    <w:rsid w:val="001E0D60"/>
    <w:rsid w:val="001E0DBF"/>
    <w:rsid w:val="001E6547"/>
    <w:rsid w:val="001E7AC2"/>
    <w:rsid w:val="001F0AC1"/>
    <w:rsid w:val="001F359A"/>
    <w:rsid w:val="001F4DC7"/>
    <w:rsid w:val="001F654D"/>
    <w:rsid w:val="001F656C"/>
    <w:rsid w:val="001F7397"/>
    <w:rsid w:val="00212FED"/>
    <w:rsid w:val="002147B6"/>
    <w:rsid w:val="00214E15"/>
    <w:rsid w:val="00215227"/>
    <w:rsid w:val="00221A29"/>
    <w:rsid w:val="0022370B"/>
    <w:rsid w:val="00226980"/>
    <w:rsid w:val="00226FFC"/>
    <w:rsid w:val="00227DF7"/>
    <w:rsid w:val="00233255"/>
    <w:rsid w:val="0023593D"/>
    <w:rsid w:val="00240536"/>
    <w:rsid w:val="00244C14"/>
    <w:rsid w:val="00246904"/>
    <w:rsid w:val="00252D87"/>
    <w:rsid w:val="00257AB9"/>
    <w:rsid w:val="00257F38"/>
    <w:rsid w:val="0026065F"/>
    <w:rsid w:val="00261909"/>
    <w:rsid w:val="00262C07"/>
    <w:rsid w:val="00265A12"/>
    <w:rsid w:val="00273BF3"/>
    <w:rsid w:val="00275118"/>
    <w:rsid w:val="00275ADA"/>
    <w:rsid w:val="00276A19"/>
    <w:rsid w:val="0028007C"/>
    <w:rsid w:val="002812C4"/>
    <w:rsid w:val="00283D19"/>
    <w:rsid w:val="002867F4"/>
    <w:rsid w:val="00293E93"/>
    <w:rsid w:val="002949A9"/>
    <w:rsid w:val="002956BE"/>
    <w:rsid w:val="00296D96"/>
    <w:rsid w:val="002B076B"/>
    <w:rsid w:val="002B0E79"/>
    <w:rsid w:val="002B136D"/>
    <w:rsid w:val="002B2A77"/>
    <w:rsid w:val="002B689F"/>
    <w:rsid w:val="002C0E79"/>
    <w:rsid w:val="002C2DF6"/>
    <w:rsid w:val="002C35B5"/>
    <w:rsid w:val="002D0848"/>
    <w:rsid w:val="002D243C"/>
    <w:rsid w:val="002D6C09"/>
    <w:rsid w:val="002D6C28"/>
    <w:rsid w:val="002E36C0"/>
    <w:rsid w:val="002E5847"/>
    <w:rsid w:val="002E626C"/>
    <w:rsid w:val="002F1166"/>
    <w:rsid w:val="002F2EE6"/>
    <w:rsid w:val="002F686F"/>
    <w:rsid w:val="003054F2"/>
    <w:rsid w:val="00313A29"/>
    <w:rsid w:val="003221FC"/>
    <w:rsid w:val="00322A5D"/>
    <w:rsid w:val="00323995"/>
    <w:rsid w:val="003248DA"/>
    <w:rsid w:val="00324BE9"/>
    <w:rsid w:val="00327BC1"/>
    <w:rsid w:val="0033367E"/>
    <w:rsid w:val="00333FB3"/>
    <w:rsid w:val="0033663F"/>
    <w:rsid w:val="00336A2F"/>
    <w:rsid w:val="00341491"/>
    <w:rsid w:val="003428DC"/>
    <w:rsid w:val="00346599"/>
    <w:rsid w:val="00347B79"/>
    <w:rsid w:val="00347BE4"/>
    <w:rsid w:val="0035364D"/>
    <w:rsid w:val="003642FC"/>
    <w:rsid w:val="003655E3"/>
    <w:rsid w:val="00365D5A"/>
    <w:rsid w:val="00366B63"/>
    <w:rsid w:val="00371E6A"/>
    <w:rsid w:val="00372DD3"/>
    <w:rsid w:val="003865B1"/>
    <w:rsid w:val="00386C87"/>
    <w:rsid w:val="00395CA8"/>
    <w:rsid w:val="00395EAA"/>
    <w:rsid w:val="00396C1B"/>
    <w:rsid w:val="003A0101"/>
    <w:rsid w:val="003A01AC"/>
    <w:rsid w:val="003A1230"/>
    <w:rsid w:val="003A182B"/>
    <w:rsid w:val="003A33C2"/>
    <w:rsid w:val="003A45AB"/>
    <w:rsid w:val="003A67FB"/>
    <w:rsid w:val="003B129A"/>
    <w:rsid w:val="003B3E72"/>
    <w:rsid w:val="003C78A0"/>
    <w:rsid w:val="003D0199"/>
    <w:rsid w:val="003E3B9B"/>
    <w:rsid w:val="003F4F66"/>
    <w:rsid w:val="003F580C"/>
    <w:rsid w:val="003F68D2"/>
    <w:rsid w:val="004050B2"/>
    <w:rsid w:val="00407D24"/>
    <w:rsid w:val="00410EC6"/>
    <w:rsid w:val="004116BA"/>
    <w:rsid w:val="004214E8"/>
    <w:rsid w:val="00423344"/>
    <w:rsid w:val="00425F4C"/>
    <w:rsid w:val="00427086"/>
    <w:rsid w:val="00435E60"/>
    <w:rsid w:val="004428F0"/>
    <w:rsid w:val="00442ADC"/>
    <w:rsid w:val="004538B2"/>
    <w:rsid w:val="00454E41"/>
    <w:rsid w:val="004560D4"/>
    <w:rsid w:val="0045763E"/>
    <w:rsid w:val="00457D9C"/>
    <w:rsid w:val="00464B2C"/>
    <w:rsid w:val="0047295A"/>
    <w:rsid w:val="00482375"/>
    <w:rsid w:val="00492983"/>
    <w:rsid w:val="00497C5B"/>
    <w:rsid w:val="004A29E4"/>
    <w:rsid w:val="004A583C"/>
    <w:rsid w:val="004B2FAB"/>
    <w:rsid w:val="004B5757"/>
    <w:rsid w:val="004C19DD"/>
    <w:rsid w:val="004C64EB"/>
    <w:rsid w:val="004C6984"/>
    <w:rsid w:val="004C763F"/>
    <w:rsid w:val="004D11CD"/>
    <w:rsid w:val="004D7454"/>
    <w:rsid w:val="004E0231"/>
    <w:rsid w:val="004E2502"/>
    <w:rsid w:val="004E2D74"/>
    <w:rsid w:val="004E35E8"/>
    <w:rsid w:val="004E5C1F"/>
    <w:rsid w:val="004E6FE6"/>
    <w:rsid w:val="004F4CC3"/>
    <w:rsid w:val="004F6450"/>
    <w:rsid w:val="004F7E78"/>
    <w:rsid w:val="0050067A"/>
    <w:rsid w:val="0050477C"/>
    <w:rsid w:val="0050523B"/>
    <w:rsid w:val="005054BA"/>
    <w:rsid w:val="00510212"/>
    <w:rsid w:val="00510924"/>
    <w:rsid w:val="0051115C"/>
    <w:rsid w:val="0052143B"/>
    <w:rsid w:val="00526973"/>
    <w:rsid w:val="005407D9"/>
    <w:rsid w:val="00543659"/>
    <w:rsid w:val="00544134"/>
    <w:rsid w:val="00546294"/>
    <w:rsid w:val="005471E7"/>
    <w:rsid w:val="00550538"/>
    <w:rsid w:val="00555547"/>
    <w:rsid w:val="00557E28"/>
    <w:rsid w:val="005718BE"/>
    <w:rsid w:val="00571A7F"/>
    <w:rsid w:val="00574883"/>
    <w:rsid w:val="00576C67"/>
    <w:rsid w:val="00581348"/>
    <w:rsid w:val="00581D58"/>
    <w:rsid w:val="00581EA6"/>
    <w:rsid w:val="00582C16"/>
    <w:rsid w:val="00585A8A"/>
    <w:rsid w:val="005864B9"/>
    <w:rsid w:val="00586784"/>
    <w:rsid w:val="0058686C"/>
    <w:rsid w:val="005902E5"/>
    <w:rsid w:val="005906FF"/>
    <w:rsid w:val="0059094C"/>
    <w:rsid w:val="00596708"/>
    <w:rsid w:val="005A02F8"/>
    <w:rsid w:val="005A18C9"/>
    <w:rsid w:val="005A625A"/>
    <w:rsid w:val="005B00E3"/>
    <w:rsid w:val="005B3025"/>
    <w:rsid w:val="005B4F7F"/>
    <w:rsid w:val="005B5D33"/>
    <w:rsid w:val="005C021C"/>
    <w:rsid w:val="005C2ABD"/>
    <w:rsid w:val="005C4564"/>
    <w:rsid w:val="005C7B48"/>
    <w:rsid w:val="005D4DB4"/>
    <w:rsid w:val="005E0050"/>
    <w:rsid w:val="005E26BC"/>
    <w:rsid w:val="005E4F9B"/>
    <w:rsid w:val="005E5B95"/>
    <w:rsid w:val="005E720A"/>
    <w:rsid w:val="005E789D"/>
    <w:rsid w:val="005F2D1E"/>
    <w:rsid w:val="005F4EA8"/>
    <w:rsid w:val="005F5508"/>
    <w:rsid w:val="005F6A64"/>
    <w:rsid w:val="005F6DDE"/>
    <w:rsid w:val="005F708F"/>
    <w:rsid w:val="0060056A"/>
    <w:rsid w:val="00600D58"/>
    <w:rsid w:val="00600EC3"/>
    <w:rsid w:val="00601269"/>
    <w:rsid w:val="006059AF"/>
    <w:rsid w:val="00611240"/>
    <w:rsid w:val="00614765"/>
    <w:rsid w:val="00615DE0"/>
    <w:rsid w:val="00616ADE"/>
    <w:rsid w:val="006262F2"/>
    <w:rsid w:val="00631B66"/>
    <w:rsid w:val="00635675"/>
    <w:rsid w:val="00653F16"/>
    <w:rsid w:val="00654A5D"/>
    <w:rsid w:val="00656EAC"/>
    <w:rsid w:val="00660AA4"/>
    <w:rsid w:val="00661507"/>
    <w:rsid w:val="00663FB9"/>
    <w:rsid w:val="00664CC8"/>
    <w:rsid w:val="00665A36"/>
    <w:rsid w:val="00667564"/>
    <w:rsid w:val="006723A6"/>
    <w:rsid w:val="0067356B"/>
    <w:rsid w:val="00673B6A"/>
    <w:rsid w:val="006820E2"/>
    <w:rsid w:val="00683E1C"/>
    <w:rsid w:val="006864E9"/>
    <w:rsid w:val="0069187B"/>
    <w:rsid w:val="00694D93"/>
    <w:rsid w:val="006A2B38"/>
    <w:rsid w:val="006A4CB2"/>
    <w:rsid w:val="006A72B5"/>
    <w:rsid w:val="006A7472"/>
    <w:rsid w:val="006B3522"/>
    <w:rsid w:val="006B3599"/>
    <w:rsid w:val="006B63A7"/>
    <w:rsid w:val="006B643C"/>
    <w:rsid w:val="006C0DF1"/>
    <w:rsid w:val="006C2591"/>
    <w:rsid w:val="006C77E6"/>
    <w:rsid w:val="006D0620"/>
    <w:rsid w:val="006D2AAC"/>
    <w:rsid w:val="006D3017"/>
    <w:rsid w:val="006D7976"/>
    <w:rsid w:val="006E187F"/>
    <w:rsid w:val="006E623F"/>
    <w:rsid w:val="006E6DDA"/>
    <w:rsid w:val="006F2E65"/>
    <w:rsid w:val="006F49B9"/>
    <w:rsid w:val="006F5357"/>
    <w:rsid w:val="006F6738"/>
    <w:rsid w:val="007002A2"/>
    <w:rsid w:val="00700435"/>
    <w:rsid w:val="00704669"/>
    <w:rsid w:val="00704FD1"/>
    <w:rsid w:val="007078B6"/>
    <w:rsid w:val="00707904"/>
    <w:rsid w:val="007107A9"/>
    <w:rsid w:val="007113EE"/>
    <w:rsid w:val="00711BB2"/>
    <w:rsid w:val="00711FDA"/>
    <w:rsid w:val="00713021"/>
    <w:rsid w:val="007157FA"/>
    <w:rsid w:val="00717401"/>
    <w:rsid w:val="00727CA7"/>
    <w:rsid w:val="0073007C"/>
    <w:rsid w:val="00731002"/>
    <w:rsid w:val="007360A3"/>
    <w:rsid w:val="00740214"/>
    <w:rsid w:val="007450A0"/>
    <w:rsid w:val="00752329"/>
    <w:rsid w:val="0075686C"/>
    <w:rsid w:val="0076155C"/>
    <w:rsid w:val="007621C4"/>
    <w:rsid w:val="0076323A"/>
    <w:rsid w:val="00766105"/>
    <w:rsid w:val="00767A1C"/>
    <w:rsid w:val="00767A82"/>
    <w:rsid w:val="007706E1"/>
    <w:rsid w:val="00776809"/>
    <w:rsid w:val="00777496"/>
    <w:rsid w:val="00780A9B"/>
    <w:rsid w:val="007953DB"/>
    <w:rsid w:val="007A434D"/>
    <w:rsid w:val="007A7381"/>
    <w:rsid w:val="007A77D5"/>
    <w:rsid w:val="007B5911"/>
    <w:rsid w:val="007B7460"/>
    <w:rsid w:val="007B7992"/>
    <w:rsid w:val="007C716E"/>
    <w:rsid w:val="007D3D18"/>
    <w:rsid w:val="007D4CC0"/>
    <w:rsid w:val="007E1C92"/>
    <w:rsid w:val="007E3B6E"/>
    <w:rsid w:val="007E3F5B"/>
    <w:rsid w:val="007E4698"/>
    <w:rsid w:val="007E642A"/>
    <w:rsid w:val="007E7FCE"/>
    <w:rsid w:val="007F166A"/>
    <w:rsid w:val="007F17F1"/>
    <w:rsid w:val="007F2BC7"/>
    <w:rsid w:val="007F397B"/>
    <w:rsid w:val="007F756E"/>
    <w:rsid w:val="007F7889"/>
    <w:rsid w:val="00800829"/>
    <w:rsid w:val="008012D3"/>
    <w:rsid w:val="00801B20"/>
    <w:rsid w:val="00801F84"/>
    <w:rsid w:val="008052B4"/>
    <w:rsid w:val="00807E8E"/>
    <w:rsid w:val="00812BC1"/>
    <w:rsid w:val="008219E4"/>
    <w:rsid w:val="0082685B"/>
    <w:rsid w:val="00835E40"/>
    <w:rsid w:val="00836619"/>
    <w:rsid w:val="0084488B"/>
    <w:rsid w:val="0084536C"/>
    <w:rsid w:val="00845B64"/>
    <w:rsid w:val="0085080F"/>
    <w:rsid w:val="00851DDD"/>
    <w:rsid w:val="00856179"/>
    <w:rsid w:val="008628B4"/>
    <w:rsid w:val="008661B4"/>
    <w:rsid w:val="00872CE8"/>
    <w:rsid w:val="00874034"/>
    <w:rsid w:val="0087750F"/>
    <w:rsid w:val="0088584D"/>
    <w:rsid w:val="00885D58"/>
    <w:rsid w:val="008908F2"/>
    <w:rsid w:val="00890D57"/>
    <w:rsid w:val="008934C0"/>
    <w:rsid w:val="008A14E2"/>
    <w:rsid w:val="008A1F66"/>
    <w:rsid w:val="008A3620"/>
    <w:rsid w:val="008B0B0F"/>
    <w:rsid w:val="008B1007"/>
    <w:rsid w:val="008B1D24"/>
    <w:rsid w:val="008C0D63"/>
    <w:rsid w:val="008C2F2B"/>
    <w:rsid w:val="008C6AC4"/>
    <w:rsid w:val="008C6E58"/>
    <w:rsid w:val="008E2156"/>
    <w:rsid w:val="008E21AE"/>
    <w:rsid w:val="008F713F"/>
    <w:rsid w:val="00900217"/>
    <w:rsid w:val="00901038"/>
    <w:rsid w:val="00901530"/>
    <w:rsid w:val="00901871"/>
    <w:rsid w:val="00901D2B"/>
    <w:rsid w:val="0090612A"/>
    <w:rsid w:val="00910E69"/>
    <w:rsid w:val="00913835"/>
    <w:rsid w:val="00916F55"/>
    <w:rsid w:val="009177C2"/>
    <w:rsid w:val="0092106D"/>
    <w:rsid w:val="00927A7C"/>
    <w:rsid w:val="00935EF7"/>
    <w:rsid w:val="00940579"/>
    <w:rsid w:val="0094786A"/>
    <w:rsid w:val="00952D06"/>
    <w:rsid w:val="00953282"/>
    <w:rsid w:val="0095351F"/>
    <w:rsid w:val="00953E42"/>
    <w:rsid w:val="00956A5F"/>
    <w:rsid w:val="00962F37"/>
    <w:rsid w:val="00963A36"/>
    <w:rsid w:val="0096673E"/>
    <w:rsid w:val="009669DC"/>
    <w:rsid w:val="009674F5"/>
    <w:rsid w:val="009679D6"/>
    <w:rsid w:val="009679F0"/>
    <w:rsid w:val="00971452"/>
    <w:rsid w:val="00971C90"/>
    <w:rsid w:val="009734D7"/>
    <w:rsid w:val="009760F2"/>
    <w:rsid w:val="00977862"/>
    <w:rsid w:val="00981871"/>
    <w:rsid w:val="00983571"/>
    <w:rsid w:val="00994265"/>
    <w:rsid w:val="009A1072"/>
    <w:rsid w:val="009A2918"/>
    <w:rsid w:val="009A3F9E"/>
    <w:rsid w:val="009A3FB0"/>
    <w:rsid w:val="009A5641"/>
    <w:rsid w:val="009A6417"/>
    <w:rsid w:val="009B3E8D"/>
    <w:rsid w:val="009B618E"/>
    <w:rsid w:val="009B77F4"/>
    <w:rsid w:val="009C1A8E"/>
    <w:rsid w:val="009C2A66"/>
    <w:rsid w:val="009C3FE9"/>
    <w:rsid w:val="009D2CA0"/>
    <w:rsid w:val="009D2EB9"/>
    <w:rsid w:val="009D3622"/>
    <w:rsid w:val="009D39A2"/>
    <w:rsid w:val="009D3DA4"/>
    <w:rsid w:val="009D544D"/>
    <w:rsid w:val="009D7EB8"/>
    <w:rsid w:val="009E4CA8"/>
    <w:rsid w:val="009E5643"/>
    <w:rsid w:val="009E66B0"/>
    <w:rsid w:val="009E7A8E"/>
    <w:rsid w:val="009F37AF"/>
    <w:rsid w:val="009F7281"/>
    <w:rsid w:val="00A0099E"/>
    <w:rsid w:val="00A022E0"/>
    <w:rsid w:val="00A051E6"/>
    <w:rsid w:val="00A10CE9"/>
    <w:rsid w:val="00A1164F"/>
    <w:rsid w:val="00A11B3C"/>
    <w:rsid w:val="00A179B2"/>
    <w:rsid w:val="00A2069E"/>
    <w:rsid w:val="00A24AD0"/>
    <w:rsid w:val="00A3060E"/>
    <w:rsid w:val="00A3108F"/>
    <w:rsid w:val="00A32795"/>
    <w:rsid w:val="00A327B9"/>
    <w:rsid w:val="00A35BFF"/>
    <w:rsid w:val="00A44604"/>
    <w:rsid w:val="00A4638E"/>
    <w:rsid w:val="00A46BD5"/>
    <w:rsid w:val="00A47E6A"/>
    <w:rsid w:val="00A50001"/>
    <w:rsid w:val="00A53B4D"/>
    <w:rsid w:val="00A5481C"/>
    <w:rsid w:val="00A55482"/>
    <w:rsid w:val="00A566B5"/>
    <w:rsid w:val="00A56738"/>
    <w:rsid w:val="00A573A3"/>
    <w:rsid w:val="00A6073A"/>
    <w:rsid w:val="00A60868"/>
    <w:rsid w:val="00A62A5D"/>
    <w:rsid w:val="00A66B8C"/>
    <w:rsid w:val="00A80877"/>
    <w:rsid w:val="00A819C2"/>
    <w:rsid w:val="00A8308F"/>
    <w:rsid w:val="00A875B0"/>
    <w:rsid w:val="00A9547C"/>
    <w:rsid w:val="00A96448"/>
    <w:rsid w:val="00A9693D"/>
    <w:rsid w:val="00AA23BD"/>
    <w:rsid w:val="00AA3C93"/>
    <w:rsid w:val="00AB03BC"/>
    <w:rsid w:val="00AB087A"/>
    <w:rsid w:val="00AB0EB3"/>
    <w:rsid w:val="00AC0DC4"/>
    <w:rsid w:val="00AC3E8B"/>
    <w:rsid w:val="00AD071E"/>
    <w:rsid w:val="00AD338B"/>
    <w:rsid w:val="00AD458B"/>
    <w:rsid w:val="00AD46B2"/>
    <w:rsid w:val="00AE047A"/>
    <w:rsid w:val="00AE3943"/>
    <w:rsid w:val="00AE7789"/>
    <w:rsid w:val="00AE77F0"/>
    <w:rsid w:val="00AE7F86"/>
    <w:rsid w:val="00AF025C"/>
    <w:rsid w:val="00AF0EEC"/>
    <w:rsid w:val="00AF4FF3"/>
    <w:rsid w:val="00AF61FD"/>
    <w:rsid w:val="00B005E4"/>
    <w:rsid w:val="00B0490D"/>
    <w:rsid w:val="00B11EAA"/>
    <w:rsid w:val="00B138F3"/>
    <w:rsid w:val="00B1787E"/>
    <w:rsid w:val="00B20587"/>
    <w:rsid w:val="00B21A89"/>
    <w:rsid w:val="00B226DF"/>
    <w:rsid w:val="00B22FBE"/>
    <w:rsid w:val="00B231F4"/>
    <w:rsid w:val="00B23A88"/>
    <w:rsid w:val="00B42244"/>
    <w:rsid w:val="00B43594"/>
    <w:rsid w:val="00B452BA"/>
    <w:rsid w:val="00B45FEE"/>
    <w:rsid w:val="00B46C75"/>
    <w:rsid w:val="00B46CB1"/>
    <w:rsid w:val="00B51937"/>
    <w:rsid w:val="00B53EE1"/>
    <w:rsid w:val="00B54513"/>
    <w:rsid w:val="00B5627F"/>
    <w:rsid w:val="00B576B2"/>
    <w:rsid w:val="00B600E0"/>
    <w:rsid w:val="00B61622"/>
    <w:rsid w:val="00B61E09"/>
    <w:rsid w:val="00B6393F"/>
    <w:rsid w:val="00B706DC"/>
    <w:rsid w:val="00B805E4"/>
    <w:rsid w:val="00B8145B"/>
    <w:rsid w:val="00B85A7B"/>
    <w:rsid w:val="00B90FC1"/>
    <w:rsid w:val="00B92AB3"/>
    <w:rsid w:val="00B952B6"/>
    <w:rsid w:val="00BA0315"/>
    <w:rsid w:val="00BA06BE"/>
    <w:rsid w:val="00BA33ED"/>
    <w:rsid w:val="00BA4D3F"/>
    <w:rsid w:val="00BB04E5"/>
    <w:rsid w:val="00BB276F"/>
    <w:rsid w:val="00BB6DDA"/>
    <w:rsid w:val="00BC0DBA"/>
    <w:rsid w:val="00BC2333"/>
    <w:rsid w:val="00BC2878"/>
    <w:rsid w:val="00BD09DD"/>
    <w:rsid w:val="00BD42F4"/>
    <w:rsid w:val="00BE043B"/>
    <w:rsid w:val="00BE52B2"/>
    <w:rsid w:val="00BF453C"/>
    <w:rsid w:val="00BF5205"/>
    <w:rsid w:val="00C00F42"/>
    <w:rsid w:val="00C014B8"/>
    <w:rsid w:val="00C029B0"/>
    <w:rsid w:val="00C10BA1"/>
    <w:rsid w:val="00C10CB2"/>
    <w:rsid w:val="00C13B4D"/>
    <w:rsid w:val="00C15EAD"/>
    <w:rsid w:val="00C173BC"/>
    <w:rsid w:val="00C26596"/>
    <w:rsid w:val="00C31F77"/>
    <w:rsid w:val="00C32615"/>
    <w:rsid w:val="00C34150"/>
    <w:rsid w:val="00C36D83"/>
    <w:rsid w:val="00C37924"/>
    <w:rsid w:val="00C502A1"/>
    <w:rsid w:val="00C523C6"/>
    <w:rsid w:val="00C54918"/>
    <w:rsid w:val="00C64CCB"/>
    <w:rsid w:val="00C66C86"/>
    <w:rsid w:val="00C70BFB"/>
    <w:rsid w:val="00C74DE6"/>
    <w:rsid w:val="00C75DB7"/>
    <w:rsid w:val="00C84670"/>
    <w:rsid w:val="00C84DB3"/>
    <w:rsid w:val="00C85905"/>
    <w:rsid w:val="00C95E73"/>
    <w:rsid w:val="00C968B9"/>
    <w:rsid w:val="00CA271D"/>
    <w:rsid w:val="00CA69CA"/>
    <w:rsid w:val="00CA7701"/>
    <w:rsid w:val="00CB1969"/>
    <w:rsid w:val="00CB2F87"/>
    <w:rsid w:val="00CB3602"/>
    <w:rsid w:val="00CB4018"/>
    <w:rsid w:val="00CB4BAA"/>
    <w:rsid w:val="00CC0842"/>
    <w:rsid w:val="00CC540B"/>
    <w:rsid w:val="00CD4267"/>
    <w:rsid w:val="00CD4727"/>
    <w:rsid w:val="00CE7B69"/>
    <w:rsid w:val="00CF21CA"/>
    <w:rsid w:val="00CF66BC"/>
    <w:rsid w:val="00CF7055"/>
    <w:rsid w:val="00CF775D"/>
    <w:rsid w:val="00D02DE5"/>
    <w:rsid w:val="00D0731A"/>
    <w:rsid w:val="00D12285"/>
    <w:rsid w:val="00D14823"/>
    <w:rsid w:val="00D24DA5"/>
    <w:rsid w:val="00D268C2"/>
    <w:rsid w:val="00D27D4C"/>
    <w:rsid w:val="00D31EF6"/>
    <w:rsid w:val="00D330D1"/>
    <w:rsid w:val="00D3329A"/>
    <w:rsid w:val="00D3332F"/>
    <w:rsid w:val="00D350EC"/>
    <w:rsid w:val="00D41361"/>
    <w:rsid w:val="00D414C3"/>
    <w:rsid w:val="00D42056"/>
    <w:rsid w:val="00D429F0"/>
    <w:rsid w:val="00D42FF3"/>
    <w:rsid w:val="00D52EF3"/>
    <w:rsid w:val="00D53D1B"/>
    <w:rsid w:val="00D5440E"/>
    <w:rsid w:val="00D55F77"/>
    <w:rsid w:val="00D605DC"/>
    <w:rsid w:val="00D62AEC"/>
    <w:rsid w:val="00D64712"/>
    <w:rsid w:val="00D726A1"/>
    <w:rsid w:val="00D730D6"/>
    <w:rsid w:val="00D73C99"/>
    <w:rsid w:val="00D742B2"/>
    <w:rsid w:val="00D7500F"/>
    <w:rsid w:val="00D76916"/>
    <w:rsid w:val="00D77941"/>
    <w:rsid w:val="00D77E49"/>
    <w:rsid w:val="00D86ECB"/>
    <w:rsid w:val="00D87065"/>
    <w:rsid w:val="00D941FC"/>
    <w:rsid w:val="00D95957"/>
    <w:rsid w:val="00D961AF"/>
    <w:rsid w:val="00D96626"/>
    <w:rsid w:val="00DA3671"/>
    <w:rsid w:val="00DA527C"/>
    <w:rsid w:val="00DA7043"/>
    <w:rsid w:val="00DA7269"/>
    <w:rsid w:val="00DB02B7"/>
    <w:rsid w:val="00DB0AAF"/>
    <w:rsid w:val="00DB5825"/>
    <w:rsid w:val="00DC086B"/>
    <w:rsid w:val="00DC1645"/>
    <w:rsid w:val="00DC4B3E"/>
    <w:rsid w:val="00DC5A64"/>
    <w:rsid w:val="00DD0762"/>
    <w:rsid w:val="00DD1F63"/>
    <w:rsid w:val="00DD400C"/>
    <w:rsid w:val="00DD5193"/>
    <w:rsid w:val="00DD6342"/>
    <w:rsid w:val="00DE02BB"/>
    <w:rsid w:val="00DE16A4"/>
    <w:rsid w:val="00DE1B32"/>
    <w:rsid w:val="00DE2B85"/>
    <w:rsid w:val="00DE4B0B"/>
    <w:rsid w:val="00DE6927"/>
    <w:rsid w:val="00DE7338"/>
    <w:rsid w:val="00DF4BF9"/>
    <w:rsid w:val="00DF7425"/>
    <w:rsid w:val="00E043BD"/>
    <w:rsid w:val="00E06525"/>
    <w:rsid w:val="00E0672A"/>
    <w:rsid w:val="00E12569"/>
    <w:rsid w:val="00E23B2A"/>
    <w:rsid w:val="00E274DB"/>
    <w:rsid w:val="00E325AD"/>
    <w:rsid w:val="00E32C5D"/>
    <w:rsid w:val="00E35672"/>
    <w:rsid w:val="00E4272D"/>
    <w:rsid w:val="00E428C5"/>
    <w:rsid w:val="00E45B78"/>
    <w:rsid w:val="00E46285"/>
    <w:rsid w:val="00E539FE"/>
    <w:rsid w:val="00E56826"/>
    <w:rsid w:val="00E61110"/>
    <w:rsid w:val="00E61E8C"/>
    <w:rsid w:val="00E63F7F"/>
    <w:rsid w:val="00E6715A"/>
    <w:rsid w:val="00E7236E"/>
    <w:rsid w:val="00E72419"/>
    <w:rsid w:val="00E74A70"/>
    <w:rsid w:val="00E81E30"/>
    <w:rsid w:val="00E838C4"/>
    <w:rsid w:val="00E85B56"/>
    <w:rsid w:val="00E868B6"/>
    <w:rsid w:val="00E90979"/>
    <w:rsid w:val="00E92273"/>
    <w:rsid w:val="00E95556"/>
    <w:rsid w:val="00E9600A"/>
    <w:rsid w:val="00EA0487"/>
    <w:rsid w:val="00EA08A9"/>
    <w:rsid w:val="00EA139E"/>
    <w:rsid w:val="00EA1DDD"/>
    <w:rsid w:val="00EA4DD7"/>
    <w:rsid w:val="00EA54C8"/>
    <w:rsid w:val="00EB11BB"/>
    <w:rsid w:val="00EB27E8"/>
    <w:rsid w:val="00EB28D4"/>
    <w:rsid w:val="00EB4A51"/>
    <w:rsid w:val="00EB5E12"/>
    <w:rsid w:val="00EC3108"/>
    <w:rsid w:val="00EC5AE1"/>
    <w:rsid w:val="00ED0A36"/>
    <w:rsid w:val="00ED4387"/>
    <w:rsid w:val="00ED7317"/>
    <w:rsid w:val="00EE14A0"/>
    <w:rsid w:val="00EE1A99"/>
    <w:rsid w:val="00EE7106"/>
    <w:rsid w:val="00EF1B45"/>
    <w:rsid w:val="00EF2908"/>
    <w:rsid w:val="00F01B0B"/>
    <w:rsid w:val="00F022CF"/>
    <w:rsid w:val="00F02F3A"/>
    <w:rsid w:val="00F04891"/>
    <w:rsid w:val="00F07C4F"/>
    <w:rsid w:val="00F07EE0"/>
    <w:rsid w:val="00F24558"/>
    <w:rsid w:val="00F2721A"/>
    <w:rsid w:val="00F30C11"/>
    <w:rsid w:val="00F32625"/>
    <w:rsid w:val="00F330B2"/>
    <w:rsid w:val="00F343AC"/>
    <w:rsid w:val="00F370E5"/>
    <w:rsid w:val="00F40728"/>
    <w:rsid w:val="00F44B4E"/>
    <w:rsid w:val="00F44C19"/>
    <w:rsid w:val="00F479E2"/>
    <w:rsid w:val="00F54FD6"/>
    <w:rsid w:val="00F554DD"/>
    <w:rsid w:val="00F57FE1"/>
    <w:rsid w:val="00F629F2"/>
    <w:rsid w:val="00F63135"/>
    <w:rsid w:val="00F6432C"/>
    <w:rsid w:val="00F64A3E"/>
    <w:rsid w:val="00F66FDD"/>
    <w:rsid w:val="00F6766B"/>
    <w:rsid w:val="00F67944"/>
    <w:rsid w:val="00F70057"/>
    <w:rsid w:val="00F74A63"/>
    <w:rsid w:val="00F75640"/>
    <w:rsid w:val="00F9136F"/>
    <w:rsid w:val="00FA321F"/>
    <w:rsid w:val="00FA35A3"/>
    <w:rsid w:val="00FA5F70"/>
    <w:rsid w:val="00FA68CD"/>
    <w:rsid w:val="00FB3608"/>
    <w:rsid w:val="00FB39A2"/>
    <w:rsid w:val="00FB78B3"/>
    <w:rsid w:val="00FC31BC"/>
    <w:rsid w:val="00FC3ACF"/>
    <w:rsid w:val="00FC4457"/>
    <w:rsid w:val="00FD31CC"/>
    <w:rsid w:val="00FD3D80"/>
    <w:rsid w:val="00FD6E1D"/>
    <w:rsid w:val="00FE0C85"/>
    <w:rsid w:val="00FE1663"/>
    <w:rsid w:val="00FE2257"/>
    <w:rsid w:val="00FE5B18"/>
    <w:rsid w:val="00FE69D3"/>
    <w:rsid w:val="00FE78B0"/>
    <w:rsid w:val="00FF3F1B"/>
    <w:rsid w:val="00FF61A6"/>
    <w:rsid w:val="00FF798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234420F"/>
  <w15:docId w15:val="{DAD3C9A8-DFD2-4B3C-93EB-A8ED334D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D7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B48"/>
    <w:pPr>
      <w:ind w:left="720"/>
      <w:contextualSpacing/>
    </w:pPr>
  </w:style>
  <w:style w:type="character" w:styleId="Hyperlink">
    <w:name w:val="Hyperlink"/>
    <w:uiPriority w:val="99"/>
    <w:unhideWhenUsed/>
    <w:rsid w:val="00601269"/>
    <w:rPr>
      <w:color w:val="0000FF"/>
      <w:u w:val="single"/>
    </w:rPr>
  </w:style>
  <w:style w:type="paragraph" w:styleId="BalloonText">
    <w:name w:val="Balloon Text"/>
    <w:basedOn w:val="Normal"/>
    <w:link w:val="BalloonTextChar"/>
    <w:uiPriority w:val="99"/>
    <w:semiHidden/>
    <w:unhideWhenUsed/>
    <w:rsid w:val="00FD3D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D80"/>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E0C85"/>
    <w:rPr>
      <w:sz w:val="16"/>
      <w:szCs w:val="16"/>
    </w:rPr>
  </w:style>
  <w:style w:type="paragraph" w:styleId="CommentText">
    <w:name w:val="annotation text"/>
    <w:basedOn w:val="Normal"/>
    <w:link w:val="CommentTextChar"/>
    <w:uiPriority w:val="99"/>
    <w:unhideWhenUsed/>
    <w:rsid w:val="00FE0C85"/>
    <w:rPr>
      <w:sz w:val="20"/>
      <w:szCs w:val="20"/>
    </w:rPr>
  </w:style>
  <w:style w:type="character" w:customStyle="1" w:styleId="CommentTextChar">
    <w:name w:val="Comment Text Char"/>
    <w:basedOn w:val="DefaultParagraphFont"/>
    <w:link w:val="CommentText"/>
    <w:uiPriority w:val="99"/>
    <w:rsid w:val="00FE0C8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E0C85"/>
    <w:rPr>
      <w:b/>
      <w:bCs/>
    </w:rPr>
  </w:style>
  <w:style w:type="character" w:customStyle="1" w:styleId="CommentSubjectChar">
    <w:name w:val="Comment Subject Char"/>
    <w:basedOn w:val="CommentTextChar"/>
    <w:link w:val="CommentSubject"/>
    <w:uiPriority w:val="99"/>
    <w:semiHidden/>
    <w:rsid w:val="00FE0C85"/>
    <w:rPr>
      <w:rFonts w:ascii="Times New Roman" w:eastAsia="Times New Roman" w:hAnsi="Times New Roman" w:cs="Times New Roman"/>
      <w:b/>
      <w:bCs/>
      <w:sz w:val="20"/>
      <w:szCs w:val="20"/>
      <w:lang w:eastAsia="lv-LV"/>
    </w:rPr>
  </w:style>
  <w:style w:type="paragraph" w:styleId="FootnoteText">
    <w:name w:val="footnote text"/>
    <w:basedOn w:val="Normal"/>
    <w:link w:val="FootnoteTextChar"/>
    <w:uiPriority w:val="99"/>
    <w:semiHidden/>
    <w:unhideWhenUsed/>
    <w:rsid w:val="00B46C75"/>
    <w:rPr>
      <w:sz w:val="20"/>
      <w:szCs w:val="20"/>
    </w:rPr>
  </w:style>
  <w:style w:type="character" w:customStyle="1" w:styleId="FootnoteTextChar">
    <w:name w:val="Footnote Text Char"/>
    <w:basedOn w:val="DefaultParagraphFont"/>
    <w:link w:val="FootnoteText"/>
    <w:uiPriority w:val="99"/>
    <w:semiHidden/>
    <w:rsid w:val="00B46C75"/>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46C75"/>
    <w:rPr>
      <w:vertAlign w:val="superscript"/>
    </w:rPr>
  </w:style>
  <w:style w:type="table" w:styleId="TableGrid">
    <w:name w:val="Table Grid"/>
    <w:basedOn w:val="TableNormal"/>
    <w:uiPriority w:val="39"/>
    <w:rsid w:val="0051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654D"/>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C1645"/>
    <w:pPr>
      <w:tabs>
        <w:tab w:val="center" w:pos="4153"/>
        <w:tab w:val="right" w:pos="8306"/>
      </w:tabs>
    </w:pPr>
  </w:style>
  <w:style w:type="character" w:customStyle="1" w:styleId="HeaderChar">
    <w:name w:val="Header Char"/>
    <w:basedOn w:val="DefaultParagraphFont"/>
    <w:link w:val="Header"/>
    <w:uiPriority w:val="99"/>
    <w:rsid w:val="00DC1645"/>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C1645"/>
    <w:pPr>
      <w:tabs>
        <w:tab w:val="center" w:pos="4153"/>
        <w:tab w:val="right" w:pos="8306"/>
      </w:tabs>
    </w:pPr>
  </w:style>
  <w:style w:type="character" w:customStyle="1" w:styleId="FooterChar">
    <w:name w:val="Footer Char"/>
    <w:basedOn w:val="DefaultParagraphFont"/>
    <w:link w:val="Footer"/>
    <w:uiPriority w:val="99"/>
    <w:rsid w:val="00DC1645"/>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6C09"/>
    <w:pPr>
      <w:spacing w:before="100" w:beforeAutospacing="1" w:after="100" w:afterAutospacing="1"/>
    </w:pPr>
  </w:style>
  <w:style w:type="character" w:styleId="PlaceholderText">
    <w:name w:val="Placeholder Text"/>
    <w:basedOn w:val="DefaultParagraphFont"/>
    <w:uiPriority w:val="99"/>
    <w:semiHidden/>
    <w:rsid w:val="005054BA"/>
    <w:rPr>
      <w:color w:val="808080"/>
    </w:rPr>
  </w:style>
  <w:style w:type="character" w:customStyle="1" w:styleId="UnresolvedMention1">
    <w:name w:val="Unresolved Mention1"/>
    <w:basedOn w:val="DefaultParagraphFont"/>
    <w:uiPriority w:val="99"/>
    <w:semiHidden/>
    <w:unhideWhenUsed/>
    <w:rsid w:val="002F6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2A03C-B0F1-4103-BBE1-461EDDB02796}"/>
</file>

<file path=customXml/itemProps2.xml><?xml version="1.0" encoding="utf-8"?>
<ds:datastoreItem xmlns:ds="http://schemas.openxmlformats.org/officeDocument/2006/customXml" ds:itemID="{7DD2A95A-CD6E-43A3-964C-6674764C297D}">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3.xml><?xml version="1.0" encoding="utf-8"?>
<ds:datastoreItem xmlns:ds="http://schemas.openxmlformats.org/officeDocument/2006/customXml" ds:itemID="{375CE4D0-3C7C-4FB0-A09B-5C7F601C247D}">
  <ds:schemaRefs>
    <ds:schemaRef ds:uri="http://schemas.openxmlformats.org/officeDocument/2006/bibliography"/>
  </ds:schemaRefs>
</ds:datastoreItem>
</file>

<file path=customXml/itemProps4.xml><?xml version="1.0" encoding="utf-8"?>
<ds:datastoreItem xmlns:ds="http://schemas.openxmlformats.org/officeDocument/2006/customXml" ds:itemID="{76334AA0-461B-440A-9B5C-C04E685E7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8171</Words>
  <Characters>4659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Kristaps Zvaigznītis</dc:creator>
  <cp:lastModifiedBy>Jūlija Grabovska</cp:lastModifiedBy>
  <cp:revision>9</cp:revision>
  <dcterms:created xsi:type="dcterms:W3CDTF">2023-09-27T07:41:00Z</dcterms:created>
  <dcterms:modified xsi:type="dcterms:W3CDTF">2023-10-02T08:29:00Z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